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267CA">
      <w:pPr>
        <w:spacing w:line="360" w:lineRule="auto"/>
        <w:ind w:firstLine="4082" w:firstLineChars="567"/>
        <w:rPr>
          <w:rFonts w:ascii="宋体" w:hAnsi="宋体"/>
          <w:sz w:val="72"/>
          <w:szCs w:val="72"/>
        </w:rPr>
      </w:pPr>
      <w:bookmarkStart w:id="627" w:name="_GoBack"/>
      <w:bookmarkEnd w:id="627"/>
    </w:p>
    <w:p w14:paraId="28DCB55B">
      <w:pPr>
        <w:jc w:val="center"/>
        <w:rPr>
          <w:rFonts w:hint="default" w:ascii="黑体" w:hAnsi="黑体" w:eastAsia="黑体"/>
          <w:sz w:val="28"/>
          <w:szCs w:val="28"/>
          <w:lang w:val="en-US" w:eastAsia="zh-CN"/>
        </w:rPr>
      </w:pPr>
      <w:r>
        <w:rPr>
          <w:rFonts w:hint="eastAsia" w:ascii="黑体" w:hAnsi="黑体" w:eastAsia="黑体"/>
          <w:sz w:val="44"/>
          <w:lang w:eastAsia="zh-CN"/>
        </w:rPr>
        <w:t>河北交投绿色建材有限公司2026-2027年度预制构件运输服务商入库（</w:t>
      </w:r>
      <w:r>
        <w:rPr>
          <w:rFonts w:hint="eastAsia" w:ascii="黑体" w:hAnsi="黑体" w:eastAsia="黑体"/>
          <w:sz w:val="44"/>
          <w:lang w:val="en-US" w:eastAsia="zh-CN"/>
        </w:rPr>
        <w:t>补充入库）</w:t>
      </w:r>
    </w:p>
    <w:p w14:paraId="3E9BEF64">
      <w:pPr>
        <w:ind w:firstLine="2800" w:firstLineChars="1000"/>
        <w:rPr>
          <w:rFonts w:ascii="黑体" w:hAnsi="黑体" w:eastAsia="黑体"/>
          <w:sz w:val="28"/>
          <w:szCs w:val="28"/>
        </w:rPr>
      </w:pPr>
    </w:p>
    <w:p w14:paraId="4F60E835">
      <w:pPr>
        <w:rPr>
          <w:rFonts w:ascii="黑体" w:hAnsi="黑体" w:eastAsia="黑体"/>
          <w:b/>
          <w:sz w:val="36"/>
          <w:szCs w:val="36"/>
        </w:rPr>
      </w:pPr>
    </w:p>
    <w:p w14:paraId="4AED7EBF">
      <w:pPr>
        <w:pStyle w:val="39"/>
        <w:ind w:firstLine="480"/>
        <w:rPr>
          <w:rFonts w:ascii="黑体" w:hAnsi="黑体" w:eastAsia="黑体"/>
        </w:rPr>
      </w:pPr>
    </w:p>
    <w:p w14:paraId="43CA39F7">
      <w:pPr>
        <w:rPr>
          <w:rFonts w:ascii="黑体" w:hAnsi="黑体" w:eastAsia="黑体"/>
        </w:rPr>
      </w:pPr>
    </w:p>
    <w:p w14:paraId="0425FC66">
      <w:pPr>
        <w:pStyle w:val="15"/>
        <w:rPr>
          <w:rFonts w:ascii="黑体" w:hAnsi="黑体" w:eastAsia="黑体" w:cs="Times New Roman"/>
          <w:lang w:eastAsia="zh-CN"/>
        </w:rPr>
      </w:pPr>
    </w:p>
    <w:p w14:paraId="45A167A5">
      <w:pPr>
        <w:jc w:val="center"/>
        <w:rPr>
          <w:rFonts w:ascii="黑体" w:hAnsi="黑体" w:eastAsia="黑体"/>
          <w:sz w:val="56"/>
          <w:szCs w:val="36"/>
        </w:rPr>
      </w:pPr>
      <w:r>
        <w:rPr>
          <w:rFonts w:ascii="黑体" w:hAnsi="黑体" w:eastAsia="黑体"/>
          <w:sz w:val="56"/>
          <w:szCs w:val="36"/>
        </w:rPr>
        <w:t>框架协议采购文件</w:t>
      </w:r>
    </w:p>
    <w:p w14:paraId="7217F71B">
      <w:pPr>
        <w:pStyle w:val="79"/>
        <w:jc w:val="center"/>
        <w:rPr>
          <w:rFonts w:ascii="黑体" w:hAnsi="黑体" w:eastAsia="黑体"/>
          <w:b/>
          <w:bCs/>
          <w:kern w:val="28"/>
          <w:sz w:val="28"/>
          <w:szCs w:val="28"/>
        </w:rPr>
      </w:pPr>
    </w:p>
    <w:p w14:paraId="18AFD73B">
      <w:pPr>
        <w:spacing w:line="700" w:lineRule="exact"/>
        <w:jc w:val="center"/>
        <w:rPr>
          <w:rFonts w:hint="default" w:ascii="黑体" w:hAnsi="黑体" w:eastAsia="宋体"/>
          <w:b/>
          <w:bCs/>
          <w:sz w:val="30"/>
          <w:highlight w:val="none"/>
          <w:lang w:val="en-US" w:eastAsia="zh-CN"/>
        </w:rPr>
      </w:pPr>
      <w:r>
        <w:rPr>
          <w:rFonts w:hint="eastAsia" w:ascii="宋体" w:hAnsi="宋体" w:cs="宋体"/>
          <w:sz w:val="24"/>
          <w:highlight w:val="none"/>
        </w:rPr>
        <w:t>采购编号：XJTZB-202</w:t>
      </w:r>
      <w:r>
        <w:rPr>
          <w:rFonts w:hint="eastAsia" w:ascii="宋体" w:hAnsi="宋体" w:cs="宋体"/>
          <w:sz w:val="24"/>
          <w:highlight w:val="none"/>
          <w:lang w:val="en-US" w:eastAsia="zh-CN"/>
        </w:rPr>
        <w:t>5</w:t>
      </w:r>
      <w:r>
        <w:rPr>
          <w:rFonts w:hint="eastAsia" w:ascii="宋体" w:hAnsi="宋体" w:cs="宋体"/>
          <w:sz w:val="24"/>
          <w:highlight w:val="none"/>
        </w:rPr>
        <w:t>-</w:t>
      </w:r>
      <w:r>
        <w:rPr>
          <w:rFonts w:hint="eastAsia" w:ascii="宋体" w:hAnsi="宋体" w:cs="宋体"/>
          <w:sz w:val="24"/>
          <w:highlight w:val="none"/>
          <w:lang w:val="en-US" w:eastAsia="zh-CN"/>
        </w:rPr>
        <w:t>178</w:t>
      </w:r>
    </w:p>
    <w:p w14:paraId="5711F612">
      <w:pPr>
        <w:spacing w:line="700" w:lineRule="exact"/>
        <w:rPr>
          <w:rFonts w:ascii="黑体" w:hAnsi="黑体" w:eastAsia="黑体"/>
          <w:b/>
          <w:bCs/>
          <w:sz w:val="30"/>
        </w:rPr>
      </w:pPr>
    </w:p>
    <w:p w14:paraId="10100B85">
      <w:pPr>
        <w:pStyle w:val="17"/>
        <w:ind w:left="0" w:firstLine="0"/>
        <w:rPr>
          <w:rFonts w:ascii="黑体" w:hAnsi="黑体" w:eastAsia="黑体"/>
        </w:rPr>
      </w:pPr>
    </w:p>
    <w:p w14:paraId="73B74379">
      <w:pPr>
        <w:pStyle w:val="17"/>
        <w:ind w:left="0" w:firstLine="0"/>
        <w:rPr>
          <w:rFonts w:ascii="黑体" w:hAnsi="黑体" w:eastAsia="黑体"/>
        </w:rPr>
      </w:pPr>
    </w:p>
    <w:p w14:paraId="681C0520">
      <w:pPr>
        <w:pStyle w:val="17"/>
        <w:ind w:left="0" w:firstLine="0"/>
        <w:rPr>
          <w:rFonts w:ascii="黑体" w:hAnsi="黑体" w:eastAsia="黑体"/>
        </w:rPr>
      </w:pPr>
    </w:p>
    <w:p w14:paraId="07E4D73E">
      <w:pPr>
        <w:pStyle w:val="17"/>
        <w:ind w:left="0" w:firstLine="0"/>
        <w:rPr>
          <w:rFonts w:ascii="黑体" w:hAnsi="黑体" w:eastAsia="黑体"/>
        </w:rPr>
      </w:pPr>
    </w:p>
    <w:p w14:paraId="48DB4452">
      <w:pPr>
        <w:pStyle w:val="17"/>
        <w:ind w:left="0" w:firstLine="0"/>
        <w:rPr>
          <w:rFonts w:ascii="黑体" w:hAnsi="黑体" w:eastAsia="黑体"/>
        </w:rPr>
      </w:pPr>
    </w:p>
    <w:p w14:paraId="48B3B4B8">
      <w:pPr>
        <w:pStyle w:val="17"/>
        <w:ind w:left="0" w:firstLine="0"/>
        <w:rPr>
          <w:rFonts w:ascii="黑体" w:hAnsi="黑体" w:eastAsia="黑体"/>
        </w:rPr>
      </w:pPr>
    </w:p>
    <w:p w14:paraId="35EC0366">
      <w:pPr>
        <w:pStyle w:val="17"/>
        <w:ind w:left="0" w:firstLine="0"/>
        <w:rPr>
          <w:rFonts w:ascii="黑体" w:hAnsi="黑体" w:eastAsia="黑体"/>
        </w:rPr>
      </w:pPr>
    </w:p>
    <w:p w14:paraId="2725EAF4">
      <w:pPr>
        <w:pStyle w:val="17"/>
        <w:ind w:left="0" w:firstLine="0"/>
        <w:rPr>
          <w:rFonts w:ascii="黑体" w:hAnsi="黑体" w:eastAsia="黑体"/>
        </w:rPr>
      </w:pPr>
    </w:p>
    <w:p w14:paraId="425DA6F6">
      <w:pPr>
        <w:jc w:val="center"/>
        <w:rPr>
          <w:rFonts w:ascii="黑体" w:hAnsi="黑体" w:eastAsia="黑体"/>
          <w:u w:val="single"/>
        </w:rPr>
      </w:pPr>
      <w:bookmarkStart w:id="0" w:name="_Toc343613061"/>
      <w:bookmarkStart w:id="1" w:name="_Toc339233557"/>
      <w:bookmarkStart w:id="2" w:name="_Toc331322144"/>
      <w:bookmarkStart w:id="3" w:name="_Toc320201553"/>
      <w:bookmarkStart w:id="4" w:name="_Toc322614128"/>
      <w:bookmarkStart w:id="5" w:name="_Toc320210815"/>
      <w:bookmarkStart w:id="6" w:name="_Toc339215420"/>
      <w:bookmarkStart w:id="7" w:name="_Toc325057844"/>
      <w:bookmarkStart w:id="8" w:name="_Toc320201745"/>
      <w:bookmarkStart w:id="9" w:name="_Toc320201939"/>
      <w:bookmarkStart w:id="10" w:name="_Toc320201124"/>
      <w:bookmarkStart w:id="11" w:name="_Toc365441066"/>
      <w:bookmarkStart w:id="12" w:name="_Toc365441052"/>
      <w:bookmarkStart w:id="13" w:name="_Toc320200989"/>
      <w:bookmarkStart w:id="14" w:name="_Toc323022469"/>
      <w:bookmarkStart w:id="15" w:name="_Toc327973217"/>
      <w:bookmarkStart w:id="16" w:name="_Toc320200097"/>
      <w:bookmarkStart w:id="17" w:name="_Toc323194961"/>
      <w:bookmarkStart w:id="18" w:name="_Toc327973437"/>
      <w:bookmarkStart w:id="19" w:name="_Toc320202323"/>
      <w:bookmarkStart w:id="20" w:name="_Toc325058107"/>
      <w:r>
        <w:rPr>
          <w:rFonts w:ascii="黑体" w:hAnsi="黑体" w:eastAsia="黑体"/>
          <w:sz w:val="28"/>
        </w:rPr>
        <w:t>采   购   人：</w:t>
      </w:r>
      <w:r>
        <w:rPr>
          <w:rFonts w:hint="eastAsia" w:ascii="黑体" w:hAnsi="黑体" w:eastAsia="黑体"/>
          <w:sz w:val="28"/>
          <w:u w:val="single"/>
        </w:rPr>
        <w:t>河北交投绿色建材有限公司</w:t>
      </w:r>
    </w:p>
    <w:p w14:paraId="26C8582F">
      <w:pPr>
        <w:spacing w:line="360" w:lineRule="auto"/>
        <w:jc w:val="center"/>
        <w:rPr>
          <w:rFonts w:ascii="黑体" w:hAnsi="黑体" w:eastAsia="黑体"/>
          <w:sz w:val="24"/>
        </w:rPr>
      </w:pPr>
    </w:p>
    <w:p w14:paraId="3C43CB9C">
      <w:pPr>
        <w:spacing w:line="360" w:lineRule="auto"/>
        <w:jc w:val="center"/>
        <w:rPr>
          <w:rFonts w:ascii="黑体" w:hAnsi="黑体" w:eastAsia="黑体"/>
          <w:sz w:val="24"/>
        </w:rPr>
      </w:pPr>
      <w:r>
        <w:rPr>
          <w:rFonts w:ascii="黑体" w:hAnsi="黑体" w:eastAsia="黑体"/>
          <w:sz w:val="28"/>
        </w:rPr>
        <w:t>采购代理机构：</w:t>
      </w:r>
      <w:r>
        <w:rPr>
          <w:rFonts w:hint="eastAsia" w:ascii="黑体" w:hAnsi="黑体" w:eastAsia="黑体"/>
          <w:sz w:val="28"/>
          <w:u w:val="single"/>
        </w:rPr>
        <w:t>河北雄安交投工程咨询有限公司</w:t>
      </w:r>
    </w:p>
    <w:p w14:paraId="0D5A7D3A">
      <w:pPr>
        <w:jc w:val="center"/>
        <w:rPr>
          <w:rFonts w:ascii="黑体" w:hAnsi="黑体" w:eastAsia="黑体"/>
          <w:sz w:val="28"/>
        </w:rPr>
      </w:pPr>
    </w:p>
    <w:p w14:paraId="79664CC1">
      <w:pPr>
        <w:jc w:val="center"/>
        <w:rPr>
          <w:rFonts w:ascii="黑体" w:hAnsi="黑体" w:eastAsia="黑体"/>
          <w:sz w:val="28"/>
        </w:rPr>
      </w:pPr>
      <w:r>
        <w:rPr>
          <w:rFonts w:ascii="黑体" w:hAnsi="黑体" w:eastAsia="黑体"/>
          <w:sz w:val="28"/>
        </w:rPr>
        <w:t>日期：</w:t>
      </w:r>
      <w:r>
        <w:rPr>
          <w:rFonts w:hint="eastAsia" w:ascii="黑体" w:hAnsi="黑体" w:eastAsia="黑体"/>
          <w:sz w:val="28"/>
          <w:u w:val="single"/>
        </w:rPr>
        <w:t>二零二</w:t>
      </w:r>
      <w:r>
        <w:rPr>
          <w:rFonts w:hint="eastAsia" w:ascii="黑体" w:hAnsi="黑体" w:eastAsia="黑体"/>
          <w:sz w:val="28"/>
          <w:u w:val="single"/>
          <w:lang w:val="en-US" w:eastAsia="zh-CN"/>
        </w:rPr>
        <w:t>五</w:t>
      </w:r>
      <w:r>
        <w:rPr>
          <w:rFonts w:ascii="黑体" w:hAnsi="黑体" w:eastAsia="黑体"/>
          <w:sz w:val="28"/>
        </w:rPr>
        <w:t>年</w:t>
      </w:r>
      <w:r>
        <w:rPr>
          <w:rFonts w:hint="eastAsia" w:ascii="黑体" w:hAnsi="黑体" w:eastAsia="黑体"/>
          <w:sz w:val="28"/>
          <w:u w:val="single"/>
          <w:lang w:val="en-US" w:eastAsia="zh-CN"/>
        </w:rPr>
        <w:t>十二</w:t>
      </w:r>
      <w:r>
        <w:rPr>
          <w:rFonts w:ascii="黑体" w:hAnsi="黑体" w:eastAsia="黑体"/>
          <w:sz w:val="28"/>
        </w:rPr>
        <w:t>月</w:t>
      </w:r>
    </w:p>
    <w:p w14:paraId="0230FE4B">
      <w:pPr>
        <w:jc w:val="center"/>
        <w:rPr>
          <w:rFonts w:ascii="宋体" w:hAnsi="宋体"/>
          <w:b/>
          <w:bCs/>
          <w:sz w:val="30"/>
          <w:szCs w:val="30"/>
        </w:rPr>
      </w:pPr>
      <w:r>
        <w:rPr>
          <w:rFonts w:ascii="宋体" w:hAnsi="宋体"/>
          <w:b/>
          <w:bCs/>
          <w:sz w:val="30"/>
          <w:szCs w:val="30"/>
        </w:rPr>
        <w:br w:type="page"/>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14:paraId="4AAE10E1">
      <w:pPr>
        <w:jc w:val="center"/>
        <w:rPr>
          <w:rFonts w:ascii="宋体" w:hAnsi="宋体"/>
          <w:b/>
          <w:bCs/>
          <w:sz w:val="36"/>
          <w:szCs w:val="36"/>
        </w:rPr>
      </w:pPr>
      <w:bookmarkStart w:id="21" w:name="_Toc8483_WPSOffice_Type3"/>
      <w:r>
        <w:rPr>
          <w:rFonts w:ascii="宋体" w:hAnsi="宋体"/>
          <w:b/>
          <w:bCs/>
          <w:sz w:val="36"/>
          <w:szCs w:val="36"/>
        </w:rPr>
        <w:t>目  录</w:t>
      </w:r>
    </w:p>
    <w:bookmarkEnd w:id="21"/>
    <w:p w14:paraId="7A5FF12B">
      <w:pPr>
        <w:pStyle w:val="26"/>
        <w:tabs>
          <w:tab w:val="right" w:leader="dot" w:pos="8630"/>
        </w:tabs>
        <w:spacing w:beforeLines="50" w:afterLines="50" w:line="300" w:lineRule="exact"/>
        <w:rPr>
          <w:rFonts w:ascii="Times New Roman" w:hAnsi="Times New Roman" w:cs="Times New Roman"/>
          <w:b w:val="0"/>
          <w:bCs w:val="0"/>
          <w:caps w:val="0"/>
          <w:sz w:val="21"/>
          <w:szCs w:val="22"/>
          <w14:ligatures w14:val="standardContextual"/>
        </w:rPr>
      </w:pPr>
      <w:r>
        <w:rPr>
          <w:rFonts w:ascii="宋体" w:hAnsi="宋体" w:cs="Times New Roman"/>
        </w:rPr>
        <w:fldChar w:fldCharType="begin"/>
      </w:r>
      <w:r>
        <w:rPr>
          <w:rFonts w:ascii="宋体" w:hAnsi="宋体" w:cs="Times New Roman"/>
        </w:rPr>
        <w:instrText xml:space="preserve"> TOC \o "1-3" \h \z \u </w:instrText>
      </w:r>
      <w:r>
        <w:rPr>
          <w:rFonts w:ascii="宋体" w:hAnsi="宋体" w:cs="Times New Roman"/>
        </w:rPr>
        <w:fldChar w:fldCharType="separate"/>
      </w:r>
      <w:r>
        <w:fldChar w:fldCharType="begin"/>
      </w:r>
      <w:r>
        <w:instrText xml:space="preserve"> HYPERLINK \l "_Toc149140163" </w:instrText>
      </w:r>
      <w:r>
        <w:fldChar w:fldCharType="separate"/>
      </w:r>
      <w:r>
        <w:rPr>
          <w:rStyle w:val="46"/>
          <w:rFonts w:ascii="Times New Roman" w:hAnsi="Times New Roman"/>
          <w:b w:val="0"/>
          <w:bCs w:val="0"/>
        </w:rPr>
        <w:t>第一章 框架协议采购公告</w:t>
      </w:r>
      <w:r>
        <w:rPr>
          <w:rFonts w:ascii="Times New Roman" w:hAnsi="Times New Roman" w:cs="Times New Roman"/>
          <w:b w:val="0"/>
          <w:bCs w:val="0"/>
        </w:rPr>
        <w:tab/>
      </w:r>
      <w:r>
        <w:rPr>
          <w:rFonts w:hint="eastAsia" w:ascii="Times New Roman" w:hAnsi="Times New Roman" w:cs="Times New Roman"/>
          <w:b w:val="0"/>
          <w:bCs w:val="0"/>
          <w:lang w:val="en-US" w:eastAsia="zh-CN"/>
        </w:rPr>
        <w:t>1</w:t>
      </w:r>
      <w:r>
        <w:rPr>
          <w:rFonts w:ascii="Times New Roman" w:hAnsi="Times New Roman" w:cs="Times New Roman"/>
          <w:b w:val="0"/>
          <w:bCs w:val="0"/>
        </w:rPr>
        <w:fldChar w:fldCharType="end"/>
      </w:r>
    </w:p>
    <w:p w14:paraId="42EBC468">
      <w:pPr>
        <w:pStyle w:val="33"/>
        <w:tabs>
          <w:tab w:val="right" w:leader="dot" w:pos="8630"/>
        </w:tabs>
        <w:spacing w:line="300" w:lineRule="exact"/>
        <w:ind w:left="420" w:leftChars="200"/>
        <w:rPr>
          <w:rFonts w:ascii="Times New Roman" w:hAnsi="Times New Roman" w:cs="Times New Roman"/>
          <w:smallCaps w:val="0"/>
          <w:sz w:val="21"/>
          <w:szCs w:val="22"/>
          <w14:ligatures w14:val="standardContextual"/>
        </w:rPr>
      </w:pPr>
      <w:r>
        <w:fldChar w:fldCharType="begin"/>
      </w:r>
      <w:r>
        <w:instrText xml:space="preserve"> HYPERLINK \l "_Toc149140164" </w:instrText>
      </w:r>
      <w:r>
        <w:fldChar w:fldCharType="separate"/>
      </w:r>
      <w:r>
        <w:rPr>
          <w:rStyle w:val="46"/>
          <w:rFonts w:ascii="Times New Roman" w:hAnsi="Times New Roman"/>
          <w:spacing w:val="1"/>
          <w:kern w:val="0"/>
        </w:rPr>
        <w:t>1.采购项目简介</w:t>
      </w:r>
      <w:r>
        <w:rPr>
          <w:rFonts w:ascii="Times New Roman" w:hAnsi="Times New Roman" w:cs="Times New Roman"/>
        </w:rPr>
        <w:tab/>
      </w:r>
      <w:r>
        <w:rPr>
          <w:rFonts w:hint="eastAsia" w:ascii="Times New Roman" w:hAnsi="Times New Roman" w:cs="Times New Roman"/>
          <w:lang w:val="en-US" w:eastAsia="zh-CN"/>
        </w:rPr>
        <w:t>2</w:t>
      </w:r>
      <w:r>
        <w:rPr>
          <w:rFonts w:ascii="Times New Roman" w:hAnsi="Times New Roman" w:cs="Times New Roman"/>
        </w:rPr>
        <w:fldChar w:fldCharType="end"/>
      </w:r>
    </w:p>
    <w:p w14:paraId="29ED78FF">
      <w:pPr>
        <w:pStyle w:val="33"/>
        <w:tabs>
          <w:tab w:val="right" w:leader="dot" w:pos="8630"/>
        </w:tabs>
        <w:spacing w:line="300" w:lineRule="exact"/>
        <w:ind w:left="420" w:leftChars="200"/>
        <w:rPr>
          <w:rFonts w:hint="eastAsia" w:ascii="Times New Roman" w:hAnsi="Times New Roman" w:eastAsia="宋体" w:cs="Times New Roman"/>
          <w:smallCaps w:val="0"/>
          <w:sz w:val="21"/>
          <w:szCs w:val="22"/>
          <w:lang w:val="en-US" w:eastAsia="zh-CN"/>
          <w14:ligatures w14:val="standardContextual"/>
        </w:rPr>
      </w:pPr>
      <w:r>
        <w:fldChar w:fldCharType="begin"/>
      </w:r>
      <w:r>
        <w:instrText xml:space="preserve"> HYPERLINK \l "_Toc149140167" </w:instrText>
      </w:r>
      <w:r>
        <w:fldChar w:fldCharType="separate"/>
      </w:r>
      <w:r>
        <w:rPr>
          <w:rStyle w:val="46"/>
          <w:rFonts w:ascii="Times New Roman" w:hAnsi="Times New Roman"/>
          <w:spacing w:val="1"/>
          <w:kern w:val="0"/>
        </w:rPr>
        <w:t>2.采购范围及相关要求</w:t>
      </w:r>
      <w:r>
        <w:rPr>
          <w:rFonts w:ascii="Times New Roman" w:hAnsi="Times New Roman" w:cs="Times New Roman"/>
        </w:rPr>
        <w:tab/>
      </w:r>
      <w:r>
        <w:rPr>
          <w:rFonts w:ascii="Times New Roman" w:hAnsi="Times New Roman" w:cs="Times New Roman"/>
        </w:rPr>
        <w:fldChar w:fldCharType="end"/>
      </w:r>
      <w:r>
        <w:rPr>
          <w:rFonts w:hint="eastAsia" w:ascii="Times New Roman" w:hAnsi="Times New Roman" w:cs="Times New Roman"/>
          <w:lang w:val="en-US" w:eastAsia="zh-CN"/>
        </w:rPr>
        <w:t>2</w:t>
      </w:r>
    </w:p>
    <w:p w14:paraId="04EA27A6">
      <w:pPr>
        <w:pStyle w:val="33"/>
        <w:tabs>
          <w:tab w:val="right" w:leader="dot" w:pos="8630"/>
        </w:tabs>
        <w:spacing w:line="300" w:lineRule="exact"/>
        <w:ind w:left="420" w:leftChars="200"/>
        <w:rPr>
          <w:rFonts w:ascii="Times New Roman" w:hAnsi="Times New Roman" w:cs="Times New Roman"/>
          <w:smallCaps w:val="0"/>
          <w:sz w:val="21"/>
          <w:szCs w:val="22"/>
          <w14:ligatures w14:val="standardContextual"/>
        </w:rPr>
      </w:pPr>
      <w:r>
        <w:fldChar w:fldCharType="begin"/>
      </w:r>
      <w:r>
        <w:instrText xml:space="preserve"> HYPERLINK \l "_Toc149140168" </w:instrText>
      </w:r>
      <w:r>
        <w:fldChar w:fldCharType="separate"/>
      </w:r>
      <w:r>
        <w:rPr>
          <w:rStyle w:val="46"/>
          <w:rFonts w:ascii="Times New Roman" w:hAnsi="Times New Roman"/>
          <w:spacing w:val="1"/>
          <w:kern w:val="0"/>
        </w:rPr>
        <w:t>3.供应商资格要求</w:t>
      </w:r>
      <w:r>
        <w:rPr>
          <w:rFonts w:ascii="Times New Roman" w:hAnsi="Times New Roman" w:cs="Times New Roman"/>
        </w:rPr>
        <w:tab/>
      </w:r>
      <w:r>
        <w:rPr>
          <w:rFonts w:hint="eastAsia" w:ascii="Times New Roman" w:hAnsi="Times New Roman" w:cs="Times New Roman"/>
          <w:lang w:val="en-US" w:eastAsia="zh-CN"/>
        </w:rPr>
        <w:t>2</w:t>
      </w:r>
      <w:r>
        <w:rPr>
          <w:rFonts w:ascii="Times New Roman" w:hAnsi="Times New Roman" w:cs="Times New Roman"/>
        </w:rPr>
        <w:fldChar w:fldCharType="end"/>
      </w:r>
    </w:p>
    <w:p w14:paraId="152912E0">
      <w:pPr>
        <w:pStyle w:val="33"/>
        <w:tabs>
          <w:tab w:val="right" w:leader="dot" w:pos="8630"/>
        </w:tabs>
        <w:spacing w:line="300" w:lineRule="exact"/>
        <w:ind w:left="420" w:leftChars="200"/>
        <w:rPr>
          <w:rFonts w:ascii="Times New Roman" w:hAnsi="Times New Roman" w:cs="Times New Roman"/>
          <w:smallCaps w:val="0"/>
          <w:sz w:val="21"/>
          <w:szCs w:val="22"/>
          <w14:ligatures w14:val="standardContextual"/>
        </w:rPr>
      </w:pPr>
      <w:r>
        <w:fldChar w:fldCharType="begin"/>
      </w:r>
      <w:r>
        <w:instrText xml:space="preserve"> HYPERLINK \l "_Toc149140169" </w:instrText>
      </w:r>
      <w:r>
        <w:fldChar w:fldCharType="separate"/>
      </w:r>
      <w:r>
        <w:rPr>
          <w:rStyle w:val="46"/>
          <w:rFonts w:ascii="Times New Roman" w:hAnsi="Times New Roman"/>
          <w:spacing w:val="1"/>
          <w:kern w:val="0"/>
        </w:rPr>
        <w:t>4.采购文件的获取</w:t>
      </w:r>
      <w:r>
        <w:rPr>
          <w:rFonts w:ascii="Times New Roman" w:hAnsi="Times New Roman" w:cs="Times New Roman"/>
        </w:rPr>
        <w:tab/>
      </w:r>
      <w:r>
        <w:rPr>
          <w:rFonts w:hint="eastAsia" w:ascii="Times New Roman" w:hAnsi="Times New Roman" w:cs="Times New Roman"/>
          <w:lang w:val="en-US" w:eastAsia="zh-CN"/>
        </w:rPr>
        <w:t>3</w:t>
      </w:r>
      <w:r>
        <w:rPr>
          <w:rFonts w:ascii="Times New Roman" w:hAnsi="Times New Roman" w:cs="Times New Roman"/>
        </w:rPr>
        <w:fldChar w:fldCharType="end"/>
      </w:r>
    </w:p>
    <w:p w14:paraId="1BFC04E0">
      <w:pPr>
        <w:pStyle w:val="33"/>
        <w:tabs>
          <w:tab w:val="right" w:leader="dot" w:pos="8630"/>
        </w:tabs>
        <w:spacing w:line="300" w:lineRule="exact"/>
        <w:ind w:left="420" w:leftChars="200"/>
        <w:rPr>
          <w:rFonts w:hint="eastAsia" w:ascii="Times New Roman" w:hAnsi="Times New Roman" w:eastAsia="宋体" w:cs="Times New Roman"/>
          <w:smallCaps w:val="0"/>
          <w:sz w:val="21"/>
          <w:szCs w:val="22"/>
          <w:lang w:val="en-US" w:eastAsia="zh-CN"/>
          <w14:ligatures w14:val="standardContextual"/>
        </w:rPr>
      </w:pPr>
      <w:r>
        <w:fldChar w:fldCharType="begin"/>
      </w:r>
      <w:r>
        <w:instrText xml:space="preserve"> HYPERLINK \l "_Toc149140170" </w:instrText>
      </w:r>
      <w:r>
        <w:fldChar w:fldCharType="separate"/>
      </w:r>
      <w:r>
        <w:rPr>
          <w:rStyle w:val="46"/>
          <w:rFonts w:ascii="Times New Roman" w:hAnsi="Times New Roman"/>
          <w:spacing w:val="1"/>
          <w:kern w:val="0"/>
        </w:rPr>
        <w:t>5.响应文件的递交及开启</w:t>
      </w:r>
      <w:r>
        <w:rPr>
          <w:rFonts w:ascii="Times New Roman" w:hAnsi="Times New Roman" w:cs="Times New Roman"/>
        </w:rPr>
        <w:tab/>
      </w:r>
      <w:r>
        <w:rPr>
          <w:rFonts w:ascii="Times New Roman" w:hAnsi="Times New Roman" w:cs="Times New Roman"/>
        </w:rPr>
        <w:fldChar w:fldCharType="end"/>
      </w:r>
      <w:r>
        <w:rPr>
          <w:rFonts w:hint="eastAsia" w:ascii="Times New Roman" w:hAnsi="Times New Roman" w:cs="Times New Roman"/>
          <w:lang w:val="en-US" w:eastAsia="zh-CN"/>
        </w:rPr>
        <w:t>4</w:t>
      </w:r>
    </w:p>
    <w:p w14:paraId="42AD903D">
      <w:pPr>
        <w:pStyle w:val="33"/>
        <w:tabs>
          <w:tab w:val="right" w:leader="dot" w:pos="8630"/>
        </w:tabs>
        <w:spacing w:line="300" w:lineRule="exact"/>
        <w:ind w:left="420" w:leftChars="200"/>
        <w:rPr>
          <w:rFonts w:ascii="Times New Roman" w:hAnsi="Times New Roman" w:cs="Times New Roman"/>
          <w:smallCaps w:val="0"/>
          <w:sz w:val="21"/>
          <w:szCs w:val="22"/>
          <w14:ligatures w14:val="standardContextual"/>
        </w:rPr>
      </w:pPr>
      <w:r>
        <w:fldChar w:fldCharType="begin"/>
      </w:r>
      <w:r>
        <w:instrText xml:space="preserve"> HYPERLINK \l "_Toc149140171" </w:instrText>
      </w:r>
      <w:r>
        <w:fldChar w:fldCharType="separate"/>
      </w:r>
      <w:r>
        <w:rPr>
          <w:rStyle w:val="46"/>
          <w:rFonts w:ascii="Times New Roman" w:hAnsi="Times New Roman"/>
          <w:spacing w:val="1"/>
          <w:kern w:val="0"/>
        </w:rPr>
        <w:t>6.发布公告的媒介</w:t>
      </w:r>
      <w:r>
        <w:rPr>
          <w:rFonts w:ascii="Times New Roman" w:hAnsi="Times New Roman" w:cs="Times New Roman"/>
        </w:rPr>
        <w:tab/>
      </w:r>
      <w:r>
        <w:rPr>
          <w:rFonts w:hint="eastAsia" w:ascii="Times New Roman" w:hAnsi="Times New Roman" w:cs="Times New Roman"/>
          <w:lang w:val="en-US" w:eastAsia="zh-CN"/>
        </w:rPr>
        <w:t>4</w:t>
      </w:r>
      <w:r>
        <w:rPr>
          <w:rFonts w:ascii="Times New Roman" w:hAnsi="Times New Roman" w:cs="Times New Roman"/>
        </w:rPr>
        <w:fldChar w:fldCharType="end"/>
      </w:r>
    </w:p>
    <w:p w14:paraId="3A2E639C">
      <w:pPr>
        <w:pStyle w:val="33"/>
        <w:tabs>
          <w:tab w:val="right" w:leader="dot" w:pos="8630"/>
        </w:tabs>
        <w:spacing w:line="300" w:lineRule="exact"/>
        <w:ind w:left="420" w:leftChars="200"/>
        <w:rPr>
          <w:rFonts w:ascii="Times New Roman" w:hAnsi="Times New Roman" w:cs="Times New Roman"/>
          <w:smallCaps w:val="0"/>
          <w:sz w:val="21"/>
          <w:szCs w:val="22"/>
          <w14:ligatures w14:val="standardContextual"/>
        </w:rPr>
      </w:pPr>
      <w:r>
        <w:fldChar w:fldCharType="begin"/>
      </w:r>
      <w:r>
        <w:instrText xml:space="preserve"> HYPERLINK \l "_Toc149140172" </w:instrText>
      </w:r>
      <w:r>
        <w:fldChar w:fldCharType="separate"/>
      </w:r>
      <w:r>
        <w:rPr>
          <w:rStyle w:val="46"/>
          <w:rFonts w:ascii="Times New Roman" w:hAnsi="Times New Roman"/>
          <w:spacing w:val="1"/>
          <w:kern w:val="0"/>
        </w:rPr>
        <w:t>7.其他</w:t>
      </w:r>
      <w:r>
        <w:rPr>
          <w:rFonts w:ascii="Times New Roman" w:hAnsi="Times New Roman" w:cs="Times New Roman"/>
        </w:rPr>
        <w:tab/>
      </w:r>
      <w:r>
        <w:rPr>
          <w:rFonts w:hint="eastAsia" w:ascii="Times New Roman" w:hAnsi="Times New Roman" w:cs="Times New Roman"/>
          <w:lang w:val="en-US" w:eastAsia="zh-CN"/>
        </w:rPr>
        <w:t>4</w:t>
      </w:r>
      <w:r>
        <w:rPr>
          <w:rFonts w:ascii="Times New Roman" w:hAnsi="Times New Roman" w:cs="Times New Roman"/>
        </w:rPr>
        <w:fldChar w:fldCharType="end"/>
      </w:r>
    </w:p>
    <w:p w14:paraId="78BD8A86">
      <w:pPr>
        <w:pStyle w:val="33"/>
        <w:tabs>
          <w:tab w:val="right" w:leader="dot" w:pos="8630"/>
        </w:tabs>
        <w:spacing w:line="300" w:lineRule="exact"/>
        <w:ind w:left="420" w:leftChars="200"/>
        <w:rPr>
          <w:rFonts w:ascii="Times New Roman" w:hAnsi="Times New Roman" w:cs="Times New Roman"/>
          <w:smallCaps w:val="0"/>
          <w:sz w:val="21"/>
          <w:szCs w:val="22"/>
          <w14:ligatures w14:val="standardContextual"/>
        </w:rPr>
      </w:pPr>
      <w:r>
        <w:fldChar w:fldCharType="begin"/>
      </w:r>
      <w:r>
        <w:instrText xml:space="preserve"> HYPERLINK \l "_Toc149140173" </w:instrText>
      </w:r>
      <w:r>
        <w:fldChar w:fldCharType="separate"/>
      </w:r>
      <w:r>
        <w:rPr>
          <w:rStyle w:val="46"/>
          <w:rFonts w:ascii="Times New Roman" w:hAnsi="Times New Roman"/>
          <w:spacing w:val="1"/>
          <w:kern w:val="0"/>
        </w:rPr>
        <w:t>8.联系方式</w:t>
      </w:r>
      <w:r>
        <w:rPr>
          <w:rFonts w:ascii="Times New Roman" w:hAnsi="Times New Roman" w:cs="Times New Roman"/>
        </w:rPr>
        <w:tab/>
      </w:r>
      <w:r>
        <w:rPr>
          <w:rFonts w:hint="eastAsia" w:ascii="Times New Roman" w:hAnsi="Times New Roman" w:cs="Times New Roman"/>
          <w:lang w:val="en-US" w:eastAsia="zh-CN"/>
        </w:rPr>
        <w:t>4</w:t>
      </w:r>
      <w:r>
        <w:rPr>
          <w:rFonts w:ascii="Times New Roman" w:hAnsi="Times New Roman" w:cs="Times New Roman"/>
        </w:rPr>
        <w:fldChar w:fldCharType="end"/>
      </w:r>
    </w:p>
    <w:p w14:paraId="2D464F0C">
      <w:pPr>
        <w:pStyle w:val="33"/>
        <w:tabs>
          <w:tab w:val="right" w:leader="dot" w:pos="8630"/>
        </w:tabs>
        <w:spacing w:line="300" w:lineRule="exact"/>
        <w:ind w:left="420" w:leftChars="200"/>
        <w:rPr>
          <w:rFonts w:ascii="Times New Roman" w:hAnsi="Times New Roman" w:cs="Times New Roman"/>
          <w:smallCaps w:val="0"/>
          <w:sz w:val="21"/>
          <w:szCs w:val="22"/>
          <w14:ligatures w14:val="standardContextual"/>
        </w:rPr>
      </w:pPr>
      <w:r>
        <w:fldChar w:fldCharType="begin"/>
      </w:r>
      <w:r>
        <w:instrText xml:space="preserve"> HYPERLINK \l "_Toc149140174" </w:instrText>
      </w:r>
      <w:r>
        <w:fldChar w:fldCharType="separate"/>
      </w:r>
      <w:r>
        <w:rPr>
          <w:rStyle w:val="46"/>
          <w:rFonts w:ascii="Times New Roman" w:hAnsi="Times New Roman"/>
          <w:spacing w:val="1"/>
          <w:kern w:val="0"/>
        </w:rPr>
        <w:t>9.河北交投招标与采购服务平台使用说明</w:t>
      </w:r>
      <w:r>
        <w:rPr>
          <w:rFonts w:ascii="Times New Roman" w:hAnsi="Times New Roman" w:cs="Times New Roman"/>
        </w:rPr>
        <w:tab/>
      </w:r>
      <w:r>
        <w:rPr>
          <w:rFonts w:hint="eastAsia" w:ascii="Times New Roman" w:hAnsi="Times New Roman" w:cs="Times New Roman"/>
          <w:lang w:val="en-US" w:eastAsia="zh-CN"/>
        </w:rPr>
        <w:t>5</w:t>
      </w:r>
      <w:r>
        <w:rPr>
          <w:rFonts w:ascii="Times New Roman" w:hAnsi="Times New Roman" w:cs="Times New Roman"/>
        </w:rPr>
        <w:fldChar w:fldCharType="end"/>
      </w:r>
    </w:p>
    <w:p w14:paraId="0B0BBB0F">
      <w:pPr>
        <w:pStyle w:val="26"/>
        <w:tabs>
          <w:tab w:val="right" w:leader="dot" w:pos="8630"/>
        </w:tabs>
        <w:spacing w:beforeLines="50" w:afterLines="50" w:line="300" w:lineRule="exact"/>
        <w:rPr>
          <w:rFonts w:ascii="Times New Roman" w:hAnsi="Times New Roman" w:cs="Times New Roman"/>
          <w:b w:val="0"/>
          <w:bCs w:val="0"/>
          <w:caps w:val="0"/>
          <w:sz w:val="21"/>
          <w:szCs w:val="22"/>
          <w14:ligatures w14:val="standardContextual"/>
        </w:rPr>
      </w:pPr>
      <w:r>
        <w:fldChar w:fldCharType="begin"/>
      </w:r>
      <w:r>
        <w:instrText xml:space="preserve"> HYPERLINK \l "_Toc149140187" </w:instrText>
      </w:r>
      <w:r>
        <w:fldChar w:fldCharType="separate"/>
      </w:r>
      <w:r>
        <w:rPr>
          <w:rStyle w:val="46"/>
          <w:rFonts w:ascii="Times New Roman" w:hAnsi="Times New Roman"/>
          <w:b w:val="0"/>
          <w:bCs w:val="0"/>
        </w:rPr>
        <w:t>第二章 供应商须知</w:t>
      </w:r>
      <w:r>
        <w:rPr>
          <w:rFonts w:ascii="Times New Roman" w:hAnsi="Times New Roman" w:cs="Times New Roman"/>
          <w:b w:val="0"/>
          <w:bCs w:val="0"/>
        </w:rPr>
        <w:tab/>
      </w:r>
      <w:r>
        <w:rPr>
          <w:rFonts w:hint="eastAsia" w:ascii="Times New Roman" w:hAnsi="Times New Roman" w:cs="Times New Roman"/>
          <w:b w:val="0"/>
          <w:bCs w:val="0"/>
          <w:lang w:val="en-US" w:eastAsia="zh-CN"/>
        </w:rPr>
        <w:t>6</w:t>
      </w:r>
      <w:r>
        <w:rPr>
          <w:rFonts w:ascii="Times New Roman" w:hAnsi="Times New Roman" w:cs="Times New Roman"/>
          <w:b w:val="0"/>
          <w:bCs w:val="0"/>
        </w:rPr>
        <w:fldChar w:fldCharType="end"/>
      </w:r>
    </w:p>
    <w:p w14:paraId="2F049DC3">
      <w:pPr>
        <w:pStyle w:val="33"/>
        <w:tabs>
          <w:tab w:val="right" w:leader="dot" w:pos="8630"/>
        </w:tabs>
        <w:spacing w:line="300" w:lineRule="exact"/>
        <w:ind w:left="420" w:leftChars="200"/>
        <w:rPr>
          <w:rFonts w:ascii="Times New Roman" w:hAnsi="Times New Roman" w:cs="Times New Roman"/>
          <w:smallCaps w:val="0"/>
          <w:sz w:val="21"/>
          <w:szCs w:val="22"/>
          <w14:ligatures w14:val="standardContextual"/>
        </w:rPr>
      </w:pPr>
      <w:r>
        <w:fldChar w:fldCharType="begin"/>
      </w:r>
      <w:r>
        <w:instrText xml:space="preserve"> HYPERLINK \l "_Toc149140190" </w:instrText>
      </w:r>
      <w:r>
        <w:fldChar w:fldCharType="separate"/>
      </w:r>
      <w:r>
        <w:rPr>
          <w:rStyle w:val="46"/>
          <w:rFonts w:ascii="Times New Roman" w:hAnsi="Times New Roman"/>
        </w:rPr>
        <w:t>1.总则</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_Toc149140190 \h </w:instrText>
      </w:r>
      <w:r>
        <w:rPr>
          <w:rFonts w:ascii="Times New Roman" w:hAnsi="Times New Roman" w:cs="Times New Roman"/>
        </w:rPr>
        <w:fldChar w:fldCharType="separate"/>
      </w:r>
      <w:r>
        <w:rPr>
          <w:rFonts w:ascii="Times New Roman" w:hAnsi="Times New Roman" w:cs="Times New Roman"/>
        </w:rPr>
        <w:t>1</w:t>
      </w:r>
      <w:r>
        <w:rPr>
          <w:rFonts w:hint="eastAsia" w:ascii="Times New Roman" w:hAnsi="Times New Roman" w:cs="Times New Roman"/>
          <w:lang w:val="en-US" w:eastAsia="zh-CN"/>
        </w:rPr>
        <w:t>3</w:t>
      </w:r>
      <w:r>
        <w:rPr>
          <w:rFonts w:ascii="Times New Roman" w:hAnsi="Times New Roman" w:cs="Times New Roman"/>
        </w:rPr>
        <w:fldChar w:fldCharType="end"/>
      </w:r>
      <w:r>
        <w:rPr>
          <w:rFonts w:ascii="Times New Roman" w:hAnsi="Times New Roman" w:cs="Times New Roman"/>
        </w:rPr>
        <w:fldChar w:fldCharType="end"/>
      </w:r>
    </w:p>
    <w:p w14:paraId="4A8A29B2">
      <w:pPr>
        <w:pStyle w:val="33"/>
        <w:tabs>
          <w:tab w:val="right" w:leader="dot" w:pos="8630"/>
        </w:tabs>
        <w:spacing w:line="300" w:lineRule="exact"/>
        <w:ind w:left="420" w:leftChars="200"/>
        <w:rPr>
          <w:rFonts w:ascii="Times New Roman" w:hAnsi="Times New Roman" w:cs="Times New Roman"/>
          <w:smallCaps w:val="0"/>
          <w:sz w:val="21"/>
          <w:szCs w:val="22"/>
          <w14:ligatures w14:val="standardContextual"/>
        </w:rPr>
      </w:pPr>
      <w:r>
        <w:fldChar w:fldCharType="begin"/>
      </w:r>
      <w:r>
        <w:instrText xml:space="preserve"> HYPERLINK \l "_Toc149140202" </w:instrText>
      </w:r>
      <w:r>
        <w:fldChar w:fldCharType="separate"/>
      </w:r>
      <w:r>
        <w:rPr>
          <w:rStyle w:val="46"/>
          <w:rFonts w:ascii="Times New Roman" w:hAnsi="Times New Roman"/>
        </w:rPr>
        <w:t>2.采购</w:t>
      </w:r>
      <w:r>
        <w:rPr>
          <w:rStyle w:val="46"/>
          <w:rFonts w:ascii="Times New Roman" w:hAnsi="Times New Roman"/>
          <w:spacing w:val="1"/>
          <w:kern w:val="0"/>
        </w:rPr>
        <w:t>文件</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_Toc149140202 \h </w:instrText>
      </w:r>
      <w:r>
        <w:rPr>
          <w:rFonts w:ascii="Times New Roman" w:hAnsi="Times New Roman" w:cs="Times New Roman"/>
        </w:rPr>
        <w:fldChar w:fldCharType="separate"/>
      </w:r>
      <w:r>
        <w:rPr>
          <w:rFonts w:ascii="Times New Roman" w:hAnsi="Times New Roman" w:cs="Times New Roman"/>
        </w:rPr>
        <w:t>1</w:t>
      </w:r>
      <w:r>
        <w:rPr>
          <w:rFonts w:hint="eastAsia" w:ascii="Times New Roman" w:hAnsi="Times New Roman" w:cs="Times New Roman"/>
          <w:lang w:val="en-US" w:eastAsia="zh-CN"/>
        </w:rPr>
        <w:t>4</w:t>
      </w:r>
      <w:r>
        <w:rPr>
          <w:rFonts w:ascii="Times New Roman" w:hAnsi="Times New Roman" w:cs="Times New Roman"/>
        </w:rPr>
        <w:fldChar w:fldCharType="end"/>
      </w:r>
      <w:r>
        <w:rPr>
          <w:rFonts w:ascii="Times New Roman" w:hAnsi="Times New Roman" w:cs="Times New Roman"/>
        </w:rPr>
        <w:fldChar w:fldCharType="end"/>
      </w:r>
    </w:p>
    <w:p w14:paraId="199186EC">
      <w:pPr>
        <w:pStyle w:val="33"/>
        <w:tabs>
          <w:tab w:val="right" w:leader="dot" w:pos="8630"/>
        </w:tabs>
        <w:spacing w:line="300" w:lineRule="exact"/>
        <w:ind w:left="420" w:leftChars="200"/>
        <w:rPr>
          <w:rFonts w:ascii="Times New Roman" w:hAnsi="Times New Roman" w:cs="Times New Roman"/>
          <w:smallCaps w:val="0"/>
          <w:sz w:val="21"/>
          <w:szCs w:val="22"/>
          <w14:ligatures w14:val="standardContextual"/>
        </w:rPr>
      </w:pPr>
      <w:r>
        <w:fldChar w:fldCharType="begin"/>
      </w:r>
      <w:r>
        <w:instrText xml:space="preserve"> HYPERLINK \l "_Toc149140205" </w:instrText>
      </w:r>
      <w:r>
        <w:fldChar w:fldCharType="separate"/>
      </w:r>
      <w:r>
        <w:rPr>
          <w:rStyle w:val="46"/>
          <w:rFonts w:ascii="Times New Roman" w:hAnsi="Times New Roman"/>
        </w:rPr>
        <w:t>3.响应</w:t>
      </w:r>
      <w:r>
        <w:rPr>
          <w:rStyle w:val="46"/>
          <w:rFonts w:ascii="Times New Roman" w:hAnsi="Times New Roman"/>
          <w:spacing w:val="1"/>
          <w:kern w:val="0"/>
        </w:rPr>
        <w:t>文件</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_Toc149140205 \h </w:instrText>
      </w:r>
      <w:r>
        <w:rPr>
          <w:rFonts w:ascii="Times New Roman" w:hAnsi="Times New Roman" w:cs="Times New Roman"/>
        </w:rPr>
        <w:fldChar w:fldCharType="separate"/>
      </w:r>
      <w:r>
        <w:rPr>
          <w:rFonts w:ascii="Times New Roman" w:hAnsi="Times New Roman" w:cs="Times New Roman"/>
        </w:rPr>
        <w:t>1</w:t>
      </w:r>
      <w:r>
        <w:rPr>
          <w:rFonts w:hint="eastAsia" w:ascii="Times New Roman" w:hAnsi="Times New Roman" w:cs="Times New Roman"/>
          <w:lang w:val="en-US" w:eastAsia="zh-CN"/>
        </w:rPr>
        <w:t>5</w:t>
      </w:r>
      <w:r>
        <w:rPr>
          <w:rFonts w:ascii="Times New Roman" w:hAnsi="Times New Roman" w:cs="Times New Roman"/>
        </w:rPr>
        <w:fldChar w:fldCharType="end"/>
      </w:r>
      <w:r>
        <w:rPr>
          <w:rFonts w:ascii="Times New Roman" w:hAnsi="Times New Roman" w:cs="Times New Roman"/>
        </w:rPr>
        <w:fldChar w:fldCharType="end"/>
      </w:r>
    </w:p>
    <w:p w14:paraId="3EAA72F6">
      <w:pPr>
        <w:pStyle w:val="33"/>
        <w:tabs>
          <w:tab w:val="right" w:leader="dot" w:pos="8630"/>
        </w:tabs>
        <w:spacing w:line="300" w:lineRule="exact"/>
        <w:ind w:left="420" w:leftChars="200"/>
        <w:rPr>
          <w:rFonts w:ascii="Times New Roman" w:hAnsi="Times New Roman" w:cs="Times New Roman"/>
          <w:smallCaps w:val="0"/>
          <w:sz w:val="21"/>
          <w:szCs w:val="22"/>
          <w14:ligatures w14:val="standardContextual"/>
        </w:rPr>
      </w:pPr>
      <w:r>
        <w:fldChar w:fldCharType="begin"/>
      </w:r>
      <w:r>
        <w:instrText xml:space="preserve"> HYPERLINK \l "_Toc149140213" </w:instrText>
      </w:r>
      <w:r>
        <w:fldChar w:fldCharType="separate"/>
      </w:r>
      <w:r>
        <w:rPr>
          <w:rStyle w:val="46"/>
          <w:rFonts w:ascii="Times New Roman" w:hAnsi="Times New Roman"/>
        </w:rPr>
        <w:t>4.响应</w:t>
      </w:r>
      <w:r>
        <w:rPr>
          <w:rStyle w:val="46"/>
          <w:rFonts w:ascii="Times New Roman" w:hAnsi="Times New Roman"/>
          <w:spacing w:val="1"/>
          <w:kern w:val="0"/>
        </w:rPr>
        <w:t>文件</w:t>
      </w:r>
      <w:r>
        <w:rPr>
          <w:rStyle w:val="46"/>
          <w:rFonts w:ascii="Times New Roman" w:hAnsi="Times New Roman"/>
        </w:rPr>
        <w:t>的递交</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_Toc149140213 \h </w:instrText>
      </w:r>
      <w:r>
        <w:rPr>
          <w:rFonts w:ascii="Times New Roman" w:hAnsi="Times New Roman" w:cs="Times New Roman"/>
        </w:rPr>
        <w:fldChar w:fldCharType="separate"/>
      </w:r>
      <w:r>
        <w:rPr>
          <w:rFonts w:hint="eastAsia" w:ascii="Times New Roman" w:hAnsi="Times New Roman" w:cs="Times New Roman"/>
          <w:lang w:val="en-US" w:eastAsia="zh-CN"/>
        </w:rPr>
        <w:t>19</w:t>
      </w:r>
      <w:r>
        <w:rPr>
          <w:rFonts w:ascii="Times New Roman" w:hAnsi="Times New Roman" w:cs="Times New Roman"/>
        </w:rPr>
        <w:fldChar w:fldCharType="end"/>
      </w:r>
      <w:r>
        <w:rPr>
          <w:rFonts w:ascii="Times New Roman" w:hAnsi="Times New Roman" w:cs="Times New Roman"/>
        </w:rPr>
        <w:fldChar w:fldCharType="end"/>
      </w:r>
    </w:p>
    <w:p w14:paraId="46022A07">
      <w:pPr>
        <w:pStyle w:val="33"/>
        <w:tabs>
          <w:tab w:val="right" w:leader="dot" w:pos="8630"/>
        </w:tabs>
        <w:spacing w:line="300" w:lineRule="exact"/>
        <w:ind w:left="420" w:leftChars="200"/>
        <w:rPr>
          <w:rFonts w:hint="eastAsia" w:ascii="Times New Roman" w:hAnsi="Times New Roman" w:eastAsia="宋体" w:cs="Times New Roman"/>
          <w:smallCaps w:val="0"/>
          <w:sz w:val="21"/>
          <w:szCs w:val="22"/>
          <w:lang w:val="en-US" w:eastAsia="zh-CN"/>
          <w14:ligatures w14:val="standardContextual"/>
        </w:rPr>
      </w:pPr>
      <w:r>
        <w:fldChar w:fldCharType="begin"/>
      </w:r>
      <w:r>
        <w:instrText xml:space="preserve"> HYPERLINK \l "_Toc149140217" </w:instrText>
      </w:r>
      <w:r>
        <w:fldChar w:fldCharType="separate"/>
      </w:r>
      <w:r>
        <w:rPr>
          <w:rStyle w:val="46"/>
          <w:rFonts w:ascii="Times New Roman" w:hAnsi="Times New Roman"/>
        </w:rPr>
        <w:t>5.开启响应文件</w:t>
      </w:r>
      <w:r>
        <w:rPr>
          <w:rFonts w:ascii="Times New Roman" w:hAnsi="Times New Roman" w:cs="Times New Roman"/>
        </w:rPr>
        <w:tab/>
      </w:r>
      <w:r>
        <w:rPr>
          <w:rFonts w:hint="eastAsia" w:ascii="Times New Roman" w:hAnsi="Times New Roman" w:cs="Times New Roman"/>
          <w:lang w:val="en-US" w:eastAsia="zh-CN"/>
        </w:rPr>
        <w:t>2</w:t>
      </w:r>
      <w:r>
        <w:rPr>
          <w:rFonts w:ascii="Times New Roman" w:hAnsi="Times New Roman" w:cs="Times New Roman"/>
        </w:rPr>
        <w:fldChar w:fldCharType="end"/>
      </w:r>
      <w:r>
        <w:rPr>
          <w:rFonts w:hint="eastAsia" w:ascii="Times New Roman" w:hAnsi="Times New Roman" w:cs="Times New Roman"/>
          <w:lang w:val="en-US" w:eastAsia="zh-CN"/>
        </w:rPr>
        <w:t>0</w:t>
      </w:r>
    </w:p>
    <w:p w14:paraId="4F226035">
      <w:pPr>
        <w:pStyle w:val="33"/>
        <w:tabs>
          <w:tab w:val="right" w:leader="dot" w:pos="8630"/>
        </w:tabs>
        <w:spacing w:line="300" w:lineRule="exact"/>
        <w:ind w:left="420" w:leftChars="200"/>
        <w:rPr>
          <w:rFonts w:hint="eastAsia" w:ascii="Times New Roman" w:hAnsi="Times New Roman" w:eastAsia="宋体" w:cs="Times New Roman"/>
          <w:smallCaps w:val="0"/>
          <w:sz w:val="21"/>
          <w:szCs w:val="22"/>
          <w:lang w:val="en-US" w:eastAsia="zh-CN"/>
          <w14:ligatures w14:val="standardContextual"/>
        </w:rPr>
      </w:pPr>
      <w:r>
        <w:fldChar w:fldCharType="begin"/>
      </w:r>
      <w:r>
        <w:instrText xml:space="preserve"> HYPERLINK \l "_Toc149140222" </w:instrText>
      </w:r>
      <w:r>
        <w:fldChar w:fldCharType="separate"/>
      </w:r>
      <w:r>
        <w:rPr>
          <w:rStyle w:val="46"/>
          <w:rFonts w:ascii="Times New Roman" w:hAnsi="Times New Roman"/>
        </w:rPr>
        <w:t>6.评审</w:t>
      </w:r>
      <w:r>
        <w:rPr>
          <w:rFonts w:ascii="Times New Roman" w:hAnsi="Times New Roman" w:cs="Times New Roman"/>
        </w:rPr>
        <w:tab/>
      </w:r>
      <w:r>
        <w:rPr>
          <w:rFonts w:hint="eastAsia" w:ascii="Times New Roman" w:hAnsi="Times New Roman" w:cs="Times New Roman"/>
          <w:lang w:val="en-US" w:eastAsia="zh-CN"/>
        </w:rPr>
        <w:t>2</w:t>
      </w:r>
      <w:r>
        <w:rPr>
          <w:rFonts w:ascii="Times New Roman" w:hAnsi="Times New Roman" w:cs="Times New Roman"/>
        </w:rPr>
        <w:fldChar w:fldCharType="end"/>
      </w:r>
      <w:r>
        <w:rPr>
          <w:rFonts w:hint="eastAsia" w:ascii="Times New Roman" w:hAnsi="Times New Roman" w:cs="Times New Roman"/>
          <w:lang w:val="en-US" w:eastAsia="zh-CN"/>
        </w:rPr>
        <w:t>0</w:t>
      </w:r>
    </w:p>
    <w:p w14:paraId="219F2348">
      <w:pPr>
        <w:pStyle w:val="33"/>
        <w:tabs>
          <w:tab w:val="right" w:leader="dot" w:pos="8630"/>
        </w:tabs>
        <w:spacing w:line="300" w:lineRule="exact"/>
        <w:ind w:left="420" w:leftChars="200"/>
        <w:rPr>
          <w:rFonts w:ascii="Times New Roman" w:hAnsi="Times New Roman" w:cs="Times New Roman"/>
          <w:smallCaps w:val="0"/>
          <w:sz w:val="21"/>
          <w:szCs w:val="22"/>
          <w14:ligatures w14:val="standardContextual"/>
        </w:rPr>
      </w:pPr>
      <w:r>
        <w:fldChar w:fldCharType="begin"/>
      </w:r>
      <w:r>
        <w:instrText xml:space="preserve"> HYPERLINK \l "_Toc149140225" </w:instrText>
      </w:r>
      <w:r>
        <w:fldChar w:fldCharType="separate"/>
      </w:r>
      <w:r>
        <w:rPr>
          <w:rStyle w:val="46"/>
          <w:rFonts w:ascii="Times New Roman" w:hAnsi="Times New Roman"/>
        </w:rPr>
        <w:t>7.框架</w:t>
      </w:r>
      <w:r>
        <w:rPr>
          <w:rStyle w:val="46"/>
          <w:rFonts w:ascii="Times New Roman" w:hAnsi="Times New Roman"/>
          <w:spacing w:val="1"/>
          <w:kern w:val="0"/>
        </w:rPr>
        <w:t>协议</w:t>
      </w:r>
      <w:r>
        <w:rPr>
          <w:rStyle w:val="46"/>
          <w:rFonts w:ascii="Times New Roman" w:hAnsi="Times New Roman"/>
        </w:rPr>
        <w:t>的订立</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_Toc149140225 \h </w:instrText>
      </w:r>
      <w:r>
        <w:rPr>
          <w:rFonts w:ascii="Times New Roman" w:hAnsi="Times New Roman" w:cs="Times New Roman"/>
        </w:rPr>
        <w:fldChar w:fldCharType="separate"/>
      </w:r>
      <w:r>
        <w:rPr>
          <w:rFonts w:ascii="Times New Roman" w:hAnsi="Times New Roman" w:cs="Times New Roman"/>
        </w:rPr>
        <w:t>2</w:t>
      </w:r>
      <w:r>
        <w:rPr>
          <w:rFonts w:hint="eastAsia" w:ascii="Times New Roman" w:hAnsi="Times New Roman" w:cs="Times New Roman"/>
          <w:lang w:val="en-US" w:eastAsia="zh-CN"/>
        </w:rPr>
        <w:t>1</w:t>
      </w:r>
      <w:r>
        <w:rPr>
          <w:rFonts w:ascii="Times New Roman" w:hAnsi="Times New Roman" w:cs="Times New Roman"/>
        </w:rPr>
        <w:fldChar w:fldCharType="end"/>
      </w:r>
      <w:r>
        <w:rPr>
          <w:rFonts w:ascii="Times New Roman" w:hAnsi="Times New Roman" w:cs="Times New Roman"/>
        </w:rPr>
        <w:fldChar w:fldCharType="end"/>
      </w:r>
    </w:p>
    <w:p w14:paraId="496C0953">
      <w:pPr>
        <w:pStyle w:val="33"/>
        <w:tabs>
          <w:tab w:val="right" w:leader="dot" w:pos="8630"/>
        </w:tabs>
        <w:spacing w:line="300" w:lineRule="exact"/>
        <w:ind w:left="420" w:leftChars="200"/>
        <w:rPr>
          <w:rFonts w:hint="eastAsia" w:ascii="Times New Roman" w:hAnsi="Times New Roman" w:eastAsia="宋体" w:cs="Times New Roman"/>
          <w:smallCaps w:val="0"/>
          <w:sz w:val="21"/>
          <w:szCs w:val="22"/>
          <w:lang w:val="en-US" w:eastAsia="zh-CN"/>
          <w14:ligatures w14:val="standardContextual"/>
        </w:rPr>
      </w:pPr>
      <w:r>
        <w:fldChar w:fldCharType="begin"/>
      </w:r>
      <w:r>
        <w:instrText xml:space="preserve"> HYPERLINK \l "_Toc149140235" </w:instrText>
      </w:r>
      <w:r>
        <w:fldChar w:fldCharType="separate"/>
      </w:r>
      <w:r>
        <w:rPr>
          <w:rStyle w:val="46"/>
          <w:rFonts w:ascii="Times New Roman" w:hAnsi="Times New Roman"/>
        </w:rPr>
        <w:t>8.异议</w:t>
      </w:r>
      <w:r>
        <w:rPr>
          <w:rFonts w:ascii="Times New Roman" w:hAnsi="Times New Roman" w:cs="Times New Roman"/>
        </w:rPr>
        <w:tab/>
      </w:r>
      <w:r>
        <w:rPr>
          <w:rFonts w:hint="eastAsia" w:ascii="Times New Roman" w:hAnsi="Times New Roman" w:cs="Times New Roman"/>
          <w:lang w:val="en-US" w:eastAsia="zh-CN"/>
        </w:rPr>
        <w:t>2</w:t>
      </w:r>
      <w:r>
        <w:rPr>
          <w:rFonts w:ascii="Times New Roman" w:hAnsi="Times New Roman" w:cs="Times New Roman"/>
        </w:rPr>
        <w:fldChar w:fldCharType="end"/>
      </w:r>
      <w:r>
        <w:rPr>
          <w:rFonts w:hint="eastAsia" w:ascii="Times New Roman" w:hAnsi="Times New Roman" w:cs="Times New Roman"/>
          <w:lang w:val="en-US" w:eastAsia="zh-CN"/>
        </w:rPr>
        <w:t>3</w:t>
      </w:r>
    </w:p>
    <w:p w14:paraId="17AD6537">
      <w:pPr>
        <w:pStyle w:val="33"/>
        <w:tabs>
          <w:tab w:val="right" w:leader="dot" w:pos="8630"/>
        </w:tabs>
        <w:spacing w:line="300" w:lineRule="exact"/>
        <w:ind w:left="420" w:leftChars="200"/>
        <w:rPr>
          <w:rFonts w:ascii="Times New Roman" w:hAnsi="Times New Roman" w:cs="Times New Roman"/>
          <w:smallCaps w:val="0"/>
          <w:sz w:val="21"/>
          <w:szCs w:val="22"/>
          <w14:ligatures w14:val="standardContextual"/>
        </w:rPr>
      </w:pPr>
      <w:r>
        <w:fldChar w:fldCharType="begin"/>
      </w:r>
      <w:r>
        <w:instrText xml:space="preserve"> HYPERLINK \l "_Toc149140238" </w:instrText>
      </w:r>
      <w:r>
        <w:fldChar w:fldCharType="separate"/>
      </w:r>
      <w:r>
        <w:rPr>
          <w:rStyle w:val="46"/>
          <w:rFonts w:ascii="Times New Roman" w:hAnsi="Times New Roman"/>
        </w:rPr>
        <w:t>9.纪律</w:t>
      </w:r>
      <w:r>
        <w:rPr>
          <w:rStyle w:val="46"/>
          <w:rFonts w:ascii="Times New Roman" w:hAnsi="Times New Roman"/>
          <w:spacing w:val="1"/>
          <w:kern w:val="0"/>
        </w:rPr>
        <w:t>要求</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_Toc149140238 \h </w:instrText>
      </w:r>
      <w:r>
        <w:rPr>
          <w:rFonts w:ascii="Times New Roman" w:hAnsi="Times New Roman" w:cs="Times New Roman"/>
        </w:rPr>
        <w:fldChar w:fldCharType="separate"/>
      </w:r>
      <w:r>
        <w:rPr>
          <w:rFonts w:ascii="Times New Roman" w:hAnsi="Times New Roman" w:cs="Times New Roman"/>
        </w:rPr>
        <w:t>2</w:t>
      </w:r>
      <w:r>
        <w:rPr>
          <w:rFonts w:hint="eastAsia" w:ascii="Times New Roman" w:hAnsi="Times New Roman" w:cs="Times New Roman"/>
          <w:lang w:val="en-US" w:eastAsia="zh-CN"/>
        </w:rPr>
        <w:t>4</w:t>
      </w:r>
      <w:r>
        <w:rPr>
          <w:rFonts w:ascii="Times New Roman" w:hAnsi="Times New Roman" w:cs="Times New Roman"/>
        </w:rPr>
        <w:fldChar w:fldCharType="end"/>
      </w:r>
      <w:r>
        <w:rPr>
          <w:rFonts w:ascii="Times New Roman" w:hAnsi="Times New Roman" w:cs="Times New Roman"/>
        </w:rPr>
        <w:fldChar w:fldCharType="end"/>
      </w:r>
    </w:p>
    <w:p w14:paraId="00DE7542">
      <w:pPr>
        <w:pStyle w:val="33"/>
        <w:tabs>
          <w:tab w:val="right" w:leader="dot" w:pos="8630"/>
        </w:tabs>
        <w:spacing w:line="300" w:lineRule="exact"/>
        <w:ind w:left="420" w:leftChars="200"/>
        <w:rPr>
          <w:rFonts w:ascii="Times New Roman" w:hAnsi="Times New Roman" w:cs="Times New Roman"/>
          <w:smallCaps w:val="0"/>
          <w:sz w:val="21"/>
          <w:szCs w:val="22"/>
          <w14:ligatures w14:val="standardContextual"/>
        </w:rPr>
      </w:pPr>
      <w:r>
        <w:fldChar w:fldCharType="begin"/>
      </w:r>
      <w:r>
        <w:instrText xml:space="preserve"> HYPERLINK \l "_Toc149140243" </w:instrText>
      </w:r>
      <w:r>
        <w:fldChar w:fldCharType="separate"/>
      </w:r>
      <w:r>
        <w:rPr>
          <w:rStyle w:val="46"/>
          <w:rFonts w:ascii="Times New Roman" w:hAnsi="Times New Roman"/>
        </w:rPr>
        <w:t>10.需要</w:t>
      </w:r>
      <w:r>
        <w:rPr>
          <w:rStyle w:val="46"/>
          <w:rFonts w:ascii="Times New Roman" w:hAnsi="Times New Roman"/>
          <w:spacing w:val="1"/>
          <w:kern w:val="0"/>
        </w:rPr>
        <w:t>补充</w:t>
      </w:r>
      <w:r>
        <w:rPr>
          <w:rStyle w:val="46"/>
          <w:rFonts w:ascii="Times New Roman" w:hAnsi="Times New Roman"/>
        </w:rPr>
        <w:t>的其他内容</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_Toc149140243 \h </w:instrText>
      </w:r>
      <w:r>
        <w:rPr>
          <w:rFonts w:ascii="Times New Roman" w:hAnsi="Times New Roman" w:cs="Times New Roman"/>
        </w:rPr>
        <w:fldChar w:fldCharType="separate"/>
      </w:r>
      <w:r>
        <w:rPr>
          <w:rFonts w:ascii="Times New Roman" w:hAnsi="Times New Roman" w:cs="Times New Roman"/>
        </w:rPr>
        <w:t>2</w:t>
      </w:r>
      <w:r>
        <w:rPr>
          <w:rFonts w:hint="eastAsia" w:ascii="Times New Roman" w:hAnsi="Times New Roman" w:cs="Times New Roman"/>
          <w:lang w:val="en-US" w:eastAsia="zh-CN"/>
        </w:rPr>
        <w:t>4</w:t>
      </w:r>
      <w:r>
        <w:rPr>
          <w:rFonts w:ascii="Times New Roman" w:hAnsi="Times New Roman" w:cs="Times New Roman"/>
        </w:rPr>
        <w:fldChar w:fldCharType="end"/>
      </w:r>
      <w:r>
        <w:rPr>
          <w:rFonts w:ascii="Times New Roman" w:hAnsi="Times New Roman" w:cs="Times New Roman"/>
        </w:rPr>
        <w:fldChar w:fldCharType="end"/>
      </w:r>
    </w:p>
    <w:p w14:paraId="6738933E">
      <w:pPr>
        <w:pStyle w:val="26"/>
        <w:tabs>
          <w:tab w:val="right" w:leader="dot" w:pos="8630"/>
        </w:tabs>
        <w:spacing w:beforeLines="50" w:afterLines="50" w:line="300" w:lineRule="exact"/>
        <w:rPr>
          <w:rFonts w:hint="eastAsia" w:ascii="Times New Roman" w:hAnsi="Times New Roman" w:eastAsia="宋体" w:cs="Times New Roman"/>
          <w:b w:val="0"/>
          <w:bCs w:val="0"/>
          <w:caps w:val="0"/>
          <w:sz w:val="21"/>
          <w:szCs w:val="22"/>
          <w:lang w:val="en-US" w:eastAsia="zh-CN"/>
          <w14:ligatures w14:val="standardContextual"/>
        </w:rPr>
      </w:pPr>
      <w:r>
        <w:fldChar w:fldCharType="begin"/>
      </w:r>
      <w:r>
        <w:instrText xml:space="preserve"> HYPERLINK \l "_Toc149140250" </w:instrText>
      </w:r>
      <w:r>
        <w:fldChar w:fldCharType="separate"/>
      </w:r>
      <w:r>
        <w:rPr>
          <w:rStyle w:val="46"/>
          <w:rFonts w:ascii="Times New Roman" w:hAnsi="Times New Roman"/>
          <w:b w:val="0"/>
          <w:bCs w:val="0"/>
        </w:rPr>
        <w:t>第三章 评审办法</w:t>
      </w:r>
      <w:r>
        <w:rPr>
          <w:rFonts w:ascii="Times New Roman" w:hAnsi="Times New Roman" w:cs="Times New Roman"/>
          <w:b w:val="0"/>
          <w:bCs w:val="0"/>
        </w:rPr>
        <w:tab/>
      </w:r>
      <w:r>
        <w:rPr>
          <w:rFonts w:hint="eastAsia" w:ascii="Times New Roman" w:hAnsi="Times New Roman" w:cs="Times New Roman"/>
          <w:b w:val="0"/>
          <w:bCs w:val="0"/>
          <w:lang w:val="en-US" w:eastAsia="zh-CN"/>
        </w:rPr>
        <w:t>2</w:t>
      </w:r>
      <w:r>
        <w:rPr>
          <w:rFonts w:ascii="Times New Roman" w:hAnsi="Times New Roman" w:cs="Times New Roman"/>
          <w:b w:val="0"/>
          <w:bCs w:val="0"/>
        </w:rPr>
        <w:fldChar w:fldCharType="end"/>
      </w:r>
      <w:r>
        <w:rPr>
          <w:rFonts w:hint="eastAsia" w:ascii="Times New Roman" w:hAnsi="Times New Roman" w:cs="Times New Roman"/>
          <w:b w:val="0"/>
          <w:bCs w:val="0"/>
          <w:lang w:val="en-US" w:eastAsia="zh-CN"/>
        </w:rPr>
        <w:t>8</w:t>
      </w:r>
    </w:p>
    <w:p w14:paraId="3C9C02AD">
      <w:pPr>
        <w:pStyle w:val="33"/>
        <w:tabs>
          <w:tab w:val="right" w:leader="dot" w:pos="8630"/>
        </w:tabs>
        <w:spacing w:line="300" w:lineRule="exact"/>
        <w:ind w:left="420" w:leftChars="200"/>
        <w:rPr>
          <w:rFonts w:hint="eastAsia" w:ascii="Times New Roman" w:hAnsi="Times New Roman" w:eastAsia="宋体" w:cs="Times New Roman"/>
          <w:smallCaps w:val="0"/>
          <w:sz w:val="21"/>
          <w:szCs w:val="22"/>
          <w:lang w:val="en-US" w:eastAsia="zh-CN"/>
          <w14:ligatures w14:val="standardContextual"/>
        </w:rPr>
      </w:pPr>
      <w:r>
        <w:fldChar w:fldCharType="begin"/>
      </w:r>
      <w:r>
        <w:instrText xml:space="preserve"> HYPERLINK \l "_Toc149140253" </w:instrText>
      </w:r>
      <w:r>
        <w:fldChar w:fldCharType="separate"/>
      </w:r>
      <w:r>
        <w:rPr>
          <w:rStyle w:val="46"/>
          <w:rFonts w:ascii="Times New Roman" w:hAnsi="Times New Roman"/>
        </w:rPr>
        <w:t>1.评审</w:t>
      </w:r>
      <w:r>
        <w:rPr>
          <w:rStyle w:val="46"/>
          <w:rFonts w:ascii="Times New Roman" w:hAnsi="Times New Roman"/>
          <w:spacing w:val="1"/>
          <w:kern w:val="0"/>
        </w:rPr>
        <w:t>方法</w:t>
      </w:r>
      <w:r>
        <w:rPr>
          <w:rStyle w:val="46"/>
          <w:rFonts w:ascii="Times New Roman" w:hAnsi="Times New Roman"/>
        </w:rPr>
        <w:t>（综合评分法）</w:t>
      </w:r>
      <w:r>
        <w:rPr>
          <w:rFonts w:ascii="Times New Roman" w:hAnsi="Times New Roman" w:cs="Times New Roman"/>
        </w:rPr>
        <w:tab/>
      </w:r>
      <w:r>
        <w:rPr>
          <w:rFonts w:hint="eastAsia" w:ascii="Times New Roman" w:hAnsi="Times New Roman" w:cs="Times New Roman"/>
          <w:lang w:val="en-US" w:eastAsia="zh-CN"/>
        </w:rPr>
        <w:t>3</w:t>
      </w:r>
      <w:r>
        <w:rPr>
          <w:rFonts w:ascii="Times New Roman" w:hAnsi="Times New Roman" w:cs="Times New Roman"/>
        </w:rPr>
        <w:fldChar w:fldCharType="end"/>
      </w:r>
      <w:r>
        <w:rPr>
          <w:rFonts w:hint="eastAsia" w:ascii="Times New Roman" w:hAnsi="Times New Roman" w:cs="Times New Roman"/>
          <w:lang w:val="en-US" w:eastAsia="zh-CN"/>
        </w:rPr>
        <w:t>2</w:t>
      </w:r>
    </w:p>
    <w:p w14:paraId="45A6E987">
      <w:pPr>
        <w:pStyle w:val="33"/>
        <w:tabs>
          <w:tab w:val="right" w:leader="dot" w:pos="8630"/>
        </w:tabs>
        <w:spacing w:line="300" w:lineRule="exact"/>
        <w:ind w:left="420" w:leftChars="200"/>
        <w:rPr>
          <w:rFonts w:hint="eastAsia" w:ascii="Times New Roman" w:hAnsi="Times New Roman" w:eastAsia="宋体" w:cs="Times New Roman"/>
          <w:smallCaps w:val="0"/>
          <w:sz w:val="21"/>
          <w:szCs w:val="22"/>
          <w:lang w:val="en-US" w:eastAsia="zh-CN"/>
          <w14:ligatures w14:val="standardContextual"/>
        </w:rPr>
      </w:pPr>
      <w:r>
        <w:fldChar w:fldCharType="begin"/>
      </w:r>
      <w:r>
        <w:instrText xml:space="preserve"> HYPERLINK \l "_Toc149140254" </w:instrText>
      </w:r>
      <w:r>
        <w:fldChar w:fldCharType="separate"/>
      </w:r>
      <w:r>
        <w:rPr>
          <w:rStyle w:val="46"/>
          <w:rFonts w:ascii="Times New Roman" w:hAnsi="Times New Roman"/>
        </w:rPr>
        <w:t>2.初步评审标准和程序</w:t>
      </w:r>
      <w:r>
        <w:rPr>
          <w:rFonts w:ascii="Times New Roman" w:hAnsi="Times New Roman" w:cs="Times New Roman"/>
        </w:rPr>
        <w:tab/>
      </w:r>
      <w:r>
        <w:rPr>
          <w:rFonts w:hint="eastAsia" w:ascii="Times New Roman" w:hAnsi="Times New Roman" w:cs="Times New Roman"/>
          <w:lang w:val="en-US" w:eastAsia="zh-CN"/>
        </w:rPr>
        <w:t>3</w:t>
      </w:r>
      <w:r>
        <w:rPr>
          <w:rFonts w:ascii="Times New Roman" w:hAnsi="Times New Roman" w:cs="Times New Roman"/>
        </w:rPr>
        <w:fldChar w:fldCharType="end"/>
      </w:r>
      <w:r>
        <w:rPr>
          <w:rFonts w:hint="eastAsia" w:ascii="Times New Roman" w:hAnsi="Times New Roman" w:cs="Times New Roman"/>
          <w:lang w:val="en-US" w:eastAsia="zh-CN"/>
        </w:rPr>
        <w:t>2</w:t>
      </w:r>
    </w:p>
    <w:p w14:paraId="2A4CA209">
      <w:pPr>
        <w:pStyle w:val="33"/>
        <w:tabs>
          <w:tab w:val="right" w:leader="dot" w:pos="8630"/>
        </w:tabs>
        <w:spacing w:line="300" w:lineRule="exact"/>
        <w:ind w:left="420" w:leftChars="200"/>
        <w:rPr>
          <w:rFonts w:hint="eastAsia" w:ascii="Times New Roman" w:hAnsi="Times New Roman" w:eastAsia="宋体" w:cs="Times New Roman"/>
          <w:smallCaps w:val="0"/>
          <w:sz w:val="21"/>
          <w:szCs w:val="22"/>
          <w:lang w:val="en-US" w:eastAsia="zh-CN"/>
          <w14:ligatures w14:val="standardContextual"/>
        </w:rPr>
      </w:pPr>
      <w:r>
        <w:fldChar w:fldCharType="begin"/>
      </w:r>
      <w:r>
        <w:instrText xml:space="preserve"> HYPERLINK \l "_Toc149140258" </w:instrText>
      </w:r>
      <w:r>
        <w:fldChar w:fldCharType="separate"/>
      </w:r>
      <w:r>
        <w:rPr>
          <w:rStyle w:val="46"/>
          <w:rFonts w:ascii="Times New Roman" w:hAnsi="Times New Roman"/>
        </w:rPr>
        <w:t>3.详细</w:t>
      </w:r>
      <w:r>
        <w:rPr>
          <w:rStyle w:val="46"/>
          <w:rFonts w:ascii="Times New Roman" w:hAnsi="Times New Roman"/>
          <w:spacing w:val="1"/>
          <w:kern w:val="0"/>
        </w:rPr>
        <w:t>评审</w:t>
      </w:r>
      <w:r>
        <w:rPr>
          <w:rStyle w:val="46"/>
          <w:rFonts w:ascii="Times New Roman" w:hAnsi="Times New Roman"/>
        </w:rPr>
        <w:t>标准和程序（综合评分法）</w:t>
      </w:r>
      <w:r>
        <w:rPr>
          <w:rFonts w:ascii="Times New Roman" w:hAnsi="Times New Roman" w:cs="Times New Roman"/>
        </w:rPr>
        <w:tab/>
      </w:r>
      <w:r>
        <w:rPr>
          <w:rFonts w:hint="eastAsia" w:ascii="Times New Roman" w:hAnsi="Times New Roman" w:cs="Times New Roman"/>
          <w:lang w:val="en-US" w:eastAsia="zh-CN"/>
        </w:rPr>
        <w:t>3</w:t>
      </w:r>
      <w:r>
        <w:rPr>
          <w:rFonts w:ascii="Times New Roman" w:hAnsi="Times New Roman" w:cs="Times New Roman"/>
        </w:rPr>
        <w:fldChar w:fldCharType="end"/>
      </w:r>
      <w:r>
        <w:rPr>
          <w:rFonts w:hint="eastAsia" w:ascii="Times New Roman" w:hAnsi="Times New Roman" w:cs="Times New Roman"/>
          <w:lang w:val="en-US" w:eastAsia="zh-CN"/>
        </w:rPr>
        <w:t>3</w:t>
      </w:r>
    </w:p>
    <w:p w14:paraId="50AC4470">
      <w:pPr>
        <w:pStyle w:val="33"/>
        <w:tabs>
          <w:tab w:val="right" w:leader="dot" w:pos="8630"/>
        </w:tabs>
        <w:spacing w:line="300" w:lineRule="exact"/>
        <w:ind w:left="420" w:leftChars="200"/>
        <w:rPr>
          <w:rFonts w:hint="eastAsia" w:ascii="Times New Roman" w:hAnsi="Times New Roman" w:eastAsia="宋体" w:cs="Times New Roman"/>
          <w:smallCaps w:val="0"/>
          <w:sz w:val="21"/>
          <w:szCs w:val="22"/>
          <w:lang w:val="en-US" w:eastAsia="zh-CN"/>
          <w14:ligatures w14:val="standardContextual"/>
        </w:rPr>
      </w:pPr>
      <w:r>
        <w:fldChar w:fldCharType="begin"/>
      </w:r>
      <w:r>
        <w:instrText xml:space="preserve"> HYPERLINK \l "_Toc149140259" </w:instrText>
      </w:r>
      <w:r>
        <w:fldChar w:fldCharType="separate"/>
      </w:r>
      <w:r>
        <w:rPr>
          <w:rStyle w:val="46"/>
          <w:rFonts w:ascii="Times New Roman" w:hAnsi="Times New Roman"/>
        </w:rPr>
        <w:t>4.评审结果</w:t>
      </w:r>
      <w:r>
        <w:rPr>
          <w:rFonts w:ascii="Times New Roman" w:hAnsi="Times New Roman" w:cs="Times New Roman"/>
        </w:rPr>
        <w:tab/>
      </w:r>
      <w:r>
        <w:rPr>
          <w:rFonts w:hint="eastAsia" w:ascii="Times New Roman" w:hAnsi="Times New Roman" w:cs="Times New Roman"/>
          <w:lang w:val="en-US" w:eastAsia="zh-CN"/>
        </w:rPr>
        <w:t>3</w:t>
      </w:r>
      <w:r>
        <w:rPr>
          <w:rFonts w:ascii="Times New Roman" w:hAnsi="Times New Roman" w:cs="Times New Roman"/>
        </w:rPr>
        <w:fldChar w:fldCharType="end"/>
      </w:r>
      <w:r>
        <w:rPr>
          <w:rFonts w:hint="eastAsia" w:ascii="Times New Roman" w:hAnsi="Times New Roman" w:cs="Times New Roman"/>
          <w:lang w:val="en-US" w:eastAsia="zh-CN"/>
        </w:rPr>
        <w:t>5</w:t>
      </w:r>
    </w:p>
    <w:p w14:paraId="255F70DC">
      <w:pPr>
        <w:pStyle w:val="26"/>
        <w:tabs>
          <w:tab w:val="right" w:leader="dot" w:pos="8630"/>
        </w:tabs>
        <w:spacing w:beforeLines="50" w:afterLines="50" w:line="300" w:lineRule="exact"/>
        <w:jc w:val="both"/>
        <w:rPr>
          <w:rFonts w:hint="eastAsia" w:ascii="Times New Roman" w:hAnsi="Times New Roman" w:eastAsia="宋体" w:cs="Times New Roman"/>
          <w:b w:val="0"/>
          <w:bCs w:val="0"/>
          <w:caps w:val="0"/>
          <w:sz w:val="21"/>
          <w:szCs w:val="22"/>
          <w:lang w:val="en-US" w:eastAsia="zh-CN"/>
          <w14:ligatures w14:val="standardContextual"/>
        </w:rPr>
      </w:pPr>
      <w:r>
        <w:fldChar w:fldCharType="begin"/>
      </w:r>
      <w:r>
        <w:instrText xml:space="preserve"> HYPERLINK \l "_Toc149140267" </w:instrText>
      </w:r>
      <w:r>
        <w:fldChar w:fldCharType="separate"/>
      </w:r>
      <w:r>
        <w:rPr>
          <w:rStyle w:val="46"/>
          <w:rFonts w:ascii="Times New Roman" w:hAnsi="Times New Roman"/>
          <w:b w:val="0"/>
          <w:bCs w:val="0"/>
        </w:rPr>
        <w:t>第四章 框架协议格式</w:t>
      </w:r>
      <w:r>
        <w:rPr>
          <w:rFonts w:ascii="Times New Roman" w:hAnsi="Times New Roman" w:cs="Times New Roman"/>
          <w:b w:val="0"/>
          <w:bCs w:val="0"/>
        </w:rPr>
        <w:tab/>
      </w:r>
      <w:r>
        <w:rPr>
          <w:rFonts w:hint="eastAsia" w:ascii="Times New Roman" w:hAnsi="Times New Roman" w:cs="Times New Roman"/>
          <w:b w:val="0"/>
          <w:bCs w:val="0"/>
          <w:lang w:val="en-US" w:eastAsia="zh-CN"/>
        </w:rPr>
        <w:t>3</w:t>
      </w:r>
      <w:r>
        <w:rPr>
          <w:rFonts w:ascii="Times New Roman" w:hAnsi="Times New Roman" w:cs="Times New Roman"/>
          <w:b w:val="0"/>
          <w:bCs w:val="0"/>
        </w:rPr>
        <w:fldChar w:fldCharType="end"/>
      </w:r>
      <w:r>
        <w:rPr>
          <w:rFonts w:hint="eastAsia" w:ascii="Times New Roman" w:hAnsi="Times New Roman" w:cs="Times New Roman"/>
          <w:b w:val="0"/>
          <w:bCs w:val="0"/>
          <w:lang w:val="en-US" w:eastAsia="zh-CN"/>
        </w:rPr>
        <w:t>6</w:t>
      </w:r>
    </w:p>
    <w:p w14:paraId="019ED37B">
      <w:pPr>
        <w:pStyle w:val="26"/>
        <w:tabs>
          <w:tab w:val="right" w:leader="dot" w:pos="8630"/>
        </w:tabs>
        <w:spacing w:beforeLines="50" w:afterLines="50" w:line="300" w:lineRule="exact"/>
        <w:jc w:val="both"/>
        <w:rPr>
          <w:rFonts w:hint="eastAsia" w:ascii="Times New Roman" w:hAnsi="Times New Roman" w:eastAsia="宋体" w:cs="Times New Roman"/>
          <w:b w:val="0"/>
          <w:bCs w:val="0"/>
          <w:caps w:val="0"/>
          <w:sz w:val="21"/>
          <w:szCs w:val="22"/>
          <w:lang w:val="en-US" w:eastAsia="zh-CN"/>
          <w14:ligatures w14:val="standardContextual"/>
        </w:rPr>
      </w:pPr>
      <w:r>
        <w:fldChar w:fldCharType="begin"/>
      </w:r>
      <w:r>
        <w:instrText xml:space="preserve"> HYPERLINK \l "_Toc149140268" </w:instrText>
      </w:r>
      <w:r>
        <w:fldChar w:fldCharType="separate"/>
      </w:r>
      <w:r>
        <w:rPr>
          <w:rStyle w:val="46"/>
          <w:rFonts w:ascii="Times New Roman" w:hAnsi="Times New Roman"/>
          <w:b w:val="0"/>
          <w:bCs w:val="0"/>
        </w:rPr>
        <w:t>第五章 采购需求</w:t>
      </w:r>
      <w:r>
        <w:rPr>
          <w:rFonts w:ascii="Times New Roman" w:hAnsi="Times New Roman" w:cs="Times New Roman"/>
          <w:b w:val="0"/>
          <w:bCs w:val="0"/>
        </w:rPr>
        <w:tab/>
      </w:r>
      <w:r>
        <w:rPr>
          <w:rFonts w:hint="eastAsia" w:ascii="Times New Roman" w:hAnsi="Times New Roman" w:cs="Times New Roman"/>
          <w:b w:val="0"/>
          <w:bCs w:val="0"/>
          <w:lang w:val="en-US" w:eastAsia="zh-CN"/>
        </w:rPr>
        <w:t>4</w:t>
      </w:r>
      <w:r>
        <w:rPr>
          <w:rFonts w:ascii="Times New Roman" w:hAnsi="Times New Roman" w:cs="Times New Roman"/>
          <w:b w:val="0"/>
          <w:bCs w:val="0"/>
        </w:rPr>
        <w:fldChar w:fldCharType="end"/>
      </w:r>
      <w:r>
        <w:rPr>
          <w:rFonts w:hint="eastAsia" w:ascii="Times New Roman" w:hAnsi="Times New Roman" w:cs="Times New Roman"/>
          <w:b w:val="0"/>
          <w:bCs w:val="0"/>
          <w:lang w:val="en-US" w:eastAsia="zh-CN"/>
        </w:rPr>
        <w:t>0</w:t>
      </w:r>
    </w:p>
    <w:p w14:paraId="13EAF075">
      <w:pPr>
        <w:pStyle w:val="26"/>
        <w:tabs>
          <w:tab w:val="right" w:leader="dot" w:pos="8630"/>
        </w:tabs>
        <w:spacing w:beforeLines="50" w:afterLines="50" w:line="300" w:lineRule="exact"/>
        <w:jc w:val="both"/>
        <w:rPr>
          <w:rFonts w:hint="eastAsia" w:ascii="Times New Roman" w:hAnsi="Times New Roman" w:eastAsia="宋体" w:cs="Times New Roman"/>
          <w:b w:val="0"/>
          <w:bCs w:val="0"/>
          <w:caps w:val="0"/>
          <w:sz w:val="21"/>
          <w:szCs w:val="22"/>
          <w:lang w:val="en-US" w:eastAsia="zh-CN"/>
          <w14:ligatures w14:val="standardContextual"/>
        </w:rPr>
      </w:pPr>
      <w:r>
        <w:fldChar w:fldCharType="begin"/>
      </w:r>
      <w:r>
        <w:instrText xml:space="preserve"> HYPERLINK \l "_Toc149140270" </w:instrText>
      </w:r>
      <w:r>
        <w:fldChar w:fldCharType="separate"/>
      </w:r>
      <w:r>
        <w:rPr>
          <w:rStyle w:val="46"/>
          <w:rFonts w:ascii="Times New Roman" w:hAnsi="Times New Roman"/>
          <w:b w:val="0"/>
          <w:bCs w:val="0"/>
        </w:rPr>
        <w:t>第六章 响应文件格式</w:t>
      </w:r>
      <w:r>
        <w:rPr>
          <w:rFonts w:ascii="Times New Roman" w:hAnsi="Times New Roman" w:cs="Times New Roman"/>
          <w:b w:val="0"/>
          <w:bCs w:val="0"/>
        </w:rPr>
        <w:tab/>
      </w:r>
      <w:r>
        <w:rPr>
          <w:rFonts w:hint="eastAsia" w:ascii="Times New Roman" w:hAnsi="Times New Roman" w:cs="Times New Roman"/>
          <w:b w:val="0"/>
          <w:bCs w:val="0"/>
          <w:lang w:val="en-US" w:eastAsia="zh-CN"/>
        </w:rPr>
        <w:t>4</w:t>
      </w:r>
      <w:r>
        <w:rPr>
          <w:rFonts w:ascii="Times New Roman" w:hAnsi="Times New Roman" w:cs="Times New Roman"/>
          <w:b w:val="0"/>
          <w:bCs w:val="0"/>
        </w:rPr>
        <w:fldChar w:fldCharType="end"/>
      </w:r>
      <w:r>
        <w:rPr>
          <w:rFonts w:hint="eastAsia" w:ascii="Times New Roman" w:hAnsi="Times New Roman" w:cs="Times New Roman"/>
          <w:b w:val="0"/>
          <w:bCs w:val="0"/>
          <w:lang w:val="en-US" w:eastAsia="zh-CN"/>
        </w:rPr>
        <w:t>3</w:t>
      </w:r>
    </w:p>
    <w:p w14:paraId="67687182">
      <w:pPr>
        <w:pStyle w:val="33"/>
        <w:tabs>
          <w:tab w:val="right" w:leader="dot" w:pos="8630"/>
        </w:tabs>
        <w:spacing w:line="300" w:lineRule="exact"/>
        <w:ind w:left="420" w:leftChars="200"/>
        <w:rPr>
          <w:rFonts w:hint="eastAsia" w:ascii="Times New Roman" w:hAnsi="Times New Roman" w:eastAsia="宋体" w:cs="Times New Roman"/>
          <w:smallCaps w:val="0"/>
          <w:sz w:val="21"/>
          <w:szCs w:val="22"/>
          <w:lang w:val="en-US" w:eastAsia="zh-CN"/>
          <w14:ligatures w14:val="standardContextual"/>
        </w:rPr>
      </w:pPr>
      <w:r>
        <w:fldChar w:fldCharType="begin"/>
      </w:r>
      <w:r>
        <w:instrText xml:space="preserve"> HYPERLINK \l "_Toc149140271" </w:instrText>
      </w:r>
      <w:r>
        <w:fldChar w:fldCharType="separate"/>
      </w:r>
      <w:r>
        <w:rPr>
          <w:rStyle w:val="46"/>
          <w:rFonts w:ascii="Times New Roman" w:hAnsi="Times New Roman"/>
        </w:rPr>
        <w:t>一、</w:t>
      </w:r>
      <w:r>
        <w:rPr>
          <w:rStyle w:val="46"/>
          <w:rFonts w:ascii="Times New Roman" w:hAnsi="Times New Roman"/>
          <w:spacing w:val="1"/>
          <w:kern w:val="0"/>
        </w:rPr>
        <w:t>响应</w:t>
      </w:r>
      <w:r>
        <w:rPr>
          <w:rStyle w:val="46"/>
          <w:rFonts w:ascii="Times New Roman" w:hAnsi="Times New Roman"/>
        </w:rPr>
        <w:t>函</w:t>
      </w:r>
      <w:r>
        <w:rPr>
          <w:rFonts w:ascii="Times New Roman" w:hAnsi="Times New Roman" w:cs="Times New Roman"/>
        </w:rPr>
        <w:tab/>
      </w:r>
      <w:r>
        <w:rPr>
          <w:rFonts w:hint="eastAsia" w:ascii="Times New Roman" w:hAnsi="Times New Roman" w:cs="Times New Roman"/>
          <w:lang w:val="en-US" w:eastAsia="zh-CN"/>
        </w:rPr>
        <w:t>4</w:t>
      </w:r>
      <w:r>
        <w:rPr>
          <w:rFonts w:ascii="Times New Roman" w:hAnsi="Times New Roman" w:cs="Times New Roman"/>
        </w:rPr>
        <w:fldChar w:fldCharType="end"/>
      </w:r>
      <w:r>
        <w:rPr>
          <w:rFonts w:hint="eastAsia" w:ascii="Times New Roman" w:hAnsi="Times New Roman" w:cs="Times New Roman"/>
          <w:lang w:val="en-US" w:eastAsia="zh-CN"/>
        </w:rPr>
        <w:t>6</w:t>
      </w:r>
    </w:p>
    <w:p w14:paraId="4F2C3548">
      <w:pPr>
        <w:pStyle w:val="33"/>
        <w:tabs>
          <w:tab w:val="right" w:leader="dot" w:pos="8630"/>
        </w:tabs>
        <w:spacing w:line="300" w:lineRule="exact"/>
        <w:ind w:left="420" w:leftChars="200"/>
        <w:rPr>
          <w:rFonts w:hint="eastAsia" w:ascii="Times New Roman" w:hAnsi="Times New Roman" w:eastAsia="宋体" w:cs="Times New Roman"/>
          <w:smallCaps w:val="0"/>
          <w:sz w:val="21"/>
          <w:szCs w:val="22"/>
          <w:lang w:val="en-US" w:eastAsia="zh-CN"/>
          <w14:ligatures w14:val="standardContextual"/>
        </w:rPr>
      </w:pPr>
      <w:r>
        <w:fldChar w:fldCharType="begin"/>
      </w:r>
      <w:r>
        <w:instrText xml:space="preserve"> HYPERLINK \l "_Toc149140272" </w:instrText>
      </w:r>
      <w:r>
        <w:fldChar w:fldCharType="separate"/>
      </w:r>
      <w:r>
        <w:rPr>
          <w:rStyle w:val="46"/>
          <w:rFonts w:ascii="Times New Roman" w:hAnsi="Times New Roman"/>
        </w:rPr>
        <w:t>二、</w:t>
      </w:r>
      <w:r>
        <w:rPr>
          <w:rStyle w:val="46"/>
          <w:rFonts w:hint="eastAsia" w:ascii="Times New Roman" w:hAnsi="Times New Roman"/>
        </w:rPr>
        <w:t>法定代表人身份证明或授权委托书</w:t>
      </w:r>
      <w:r>
        <w:rPr>
          <w:rFonts w:ascii="Times New Roman" w:hAnsi="Times New Roman" w:cs="Times New Roman"/>
        </w:rPr>
        <w:tab/>
      </w:r>
      <w:r>
        <w:rPr>
          <w:rFonts w:hint="eastAsia" w:ascii="Times New Roman" w:hAnsi="Times New Roman" w:cs="Times New Roman"/>
          <w:lang w:val="en-US" w:eastAsia="zh-CN"/>
        </w:rPr>
        <w:t>4</w:t>
      </w:r>
      <w:r>
        <w:rPr>
          <w:rFonts w:ascii="Times New Roman" w:hAnsi="Times New Roman" w:cs="Times New Roman"/>
        </w:rPr>
        <w:fldChar w:fldCharType="end"/>
      </w:r>
      <w:r>
        <w:rPr>
          <w:rFonts w:hint="eastAsia" w:ascii="Times New Roman" w:hAnsi="Times New Roman" w:cs="Times New Roman"/>
          <w:lang w:val="en-US" w:eastAsia="zh-CN"/>
        </w:rPr>
        <w:t>7</w:t>
      </w:r>
    </w:p>
    <w:p w14:paraId="6C32C93E">
      <w:pPr>
        <w:pStyle w:val="33"/>
        <w:tabs>
          <w:tab w:val="right" w:leader="dot" w:pos="8630"/>
        </w:tabs>
        <w:spacing w:line="300" w:lineRule="exact"/>
        <w:ind w:left="420" w:leftChars="200"/>
        <w:rPr>
          <w:rFonts w:hint="eastAsia" w:ascii="Times New Roman" w:hAnsi="Times New Roman" w:eastAsia="宋体" w:cs="Times New Roman"/>
          <w:smallCaps w:val="0"/>
          <w:sz w:val="21"/>
          <w:szCs w:val="22"/>
          <w:lang w:val="en-US" w:eastAsia="zh-CN"/>
          <w14:ligatures w14:val="standardContextual"/>
        </w:rPr>
      </w:pPr>
      <w:r>
        <w:fldChar w:fldCharType="begin"/>
      </w:r>
      <w:r>
        <w:instrText xml:space="preserve"> HYPERLINK \l "_Toc149140273" </w:instrText>
      </w:r>
      <w:r>
        <w:fldChar w:fldCharType="separate"/>
      </w:r>
      <w:r>
        <w:rPr>
          <w:rStyle w:val="46"/>
          <w:rFonts w:ascii="Times New Roman" w:hAnsi="Times New Roman"/>
        </w:rPr>
        <w:t>三、</w:t>
      </w:r>
      <w:r>
        <w:rPr>
          <w:rStyle w:val="46"/>
          <w:rFonts w:ascii="Times New Roman" w:hAnsi="Times New Roman"/>
          <w:spacing w:val="1"/>
          <w:kern w:val="0"/>
        </w:rPr>
        <w:t>联合体</w:t>
      </w:r>
      <w:r>
        <w:rPr>
          <w:rStyle w:val="46"/>
          <w:rFonts w:ascii="Times New Roman" w:hAnsi="Times New Roman"/>
        </w:rPr>
        <w:t>协议书</w:t>
      </w:r>
      <w:r>
        <w:rPr>
          <w:rFonts w:ascii="Times New Roman" w:hAnsi="Times New Roman" w:cs="Times New Roman"/>
        </w:rPr>
        <w:tab/>
      </w:r>
      <w:r>
        <w:rPr>
          <w:rFonts w:hint="eastAsia" w:ascii="Times New Roman" w:hAnsi="Times New Roman" w:cs="Times New Roman"/>
          <w:lang w:val="en-US" w:eastAsia="zh-CN"/>
        </w:rPr>
        <w:t>5</w:t>
      </w:r>
      <w:r>
        <w:rPr>
          <w:rFonts w:ascii="Times New Roman" w:hAnsi="Times New Roman" w:cs="Times New Roman"/>
        </w:rPr>
        <w:fldChar w:fldCharType="end"/>
      </w:r>
      <w:r>
        <w:rPr>
          <w:rFonts w:hint="eastAsia" w:ascii="Times New Roman" w:hAnsi="Times New Roman" w:cs="Times New Roman"/>
          <w:lang w:val="en-US" w:eastAsia="zh-CN"/>
        </w:rPr>
        <w:t>1</w:t>
      </w:r>
    </w:p>
    <w:p w14:paraId="05A0C674">
      <w:pPr>
        <w:pStyle w:val="33"/>
        <w:tabs>
          <w:tab w:val="right" w:leader="dot" w:pos="8630"/>
        </w:tabs>
        <w:spacing w:line="300" w:lineRule="exact"/>
        <w:ind w:left="420" w:leftChars="200"/>
        <w:rPr>
          <w:rFonts w:hint="eastAsia" w:ascii="Times New Roman" w:hAnsi="Times New Roman" w:eastAsia="宋体" w:cs="Times New Roman"/>
          <w:smallCaps w:val="0"/>
          <w:sz w:val="21"/>
          <w:szCs w:val="22"/>
          <w:lang w:val="en-US" w:eastAsia="zh-CN"/>
          <w14:ligatures w14:val="standardContextual"/>
        </w:rPr>
      </w:pPr>
      <w:r>
        <w:fldChar w:fldCharType="begin"/>
      </w:r>
      <w:r>
        <w:instrText xml:space="preserve"> HYPERLINK \l "_Toc149140274" </w:instrText>
      </w:r>
      <w:r>
        <w:fldChar w:fldCharType="separate"/>
      </w:r>
      <w:r>
        <w:rPr>
          <w:rStyle w:val="46"/>
          <w:rFonts w:ascii="Times New Roman" w:hAnsi="Times New Roman"/>
        </w:rPr>
        <w:t>四、响应</w:t>
      </w:r>
      <w:r>
        <w:rPr>
          <w:rStyle w:val="46"/>
          <w:rFonts w:ascii="Times New Roman" w:hAnsi="Times New Roman"/>
          <w:spacing w:val="1"/>
          <w:kern w:val="0"/>
        </w:rPr>
        <w:t>保证金</w:t>
      </w:r>
      <w:r>
        <w:rPr>
          <w:rFonts w:ascii="Times New Roman" w:hAnsi="Times New Roman" w:cs="Times New Roman"/>
        </w:rPr>
        <w:tab/>
      </w:r>
      <w:r>
        <w:rPr>
          <w:rFonts w:hint="eastAsia" w:ascii="Times New Roman" w:hAnsi="Times New Roman" w:cs="Times New Roman"/>
          <w:lang w:val="en-US" w:eastAsia="zh-CN"/>
        </w:rPr>
        <w:t>5</w:t>
      </w:r>
      <w:r>
        <w:rPr>
          <w:rFonts w:ascii="Times New Roman" w:hAnsi="Times New Roman" w:cs="Times New Roman"/>
        </w:rPr>
        <w:fldChar w:fldCharType="end"/>
      </w:r>
      <w:r>
        <w:rPr>
          <w:rFonts w:hint="eastAsia" w:ascii="Times New Roman" w:hAnsi="Times New Roman" w:cs="Times New Roman"/>
          <w:lang w:val="en-US" w:eastAsia="zh-CN"/>
        </w:rPr>
        <w:t>2</w:t>
      </w:r>
    </w:p>
    <w:p w14:paraId="62031444">
      <w:pPr>
        <w:pStyle w:val="33"/>
        <w:tabs>
          <w:tab w:val="right" w:leader="dot" w:pos="8630"/>
        </w:tabs>
        <w:spacing w:line="300" w:lineRule="exact"/>
        <w:ind w:left="420" w:leftChars="200"/>
        <w:rPr>
          <w:rFonts w:hint="eastAsia" w:ascii="Times New Roman" w:hAnsi="Times New Roman" w:eastAsia="宋体" w:cs="Times New Roman"/>
          <w:smallCaps w:val="0"/>
          <w:sz w:val="21"/>
          <w:szCs w:val="22"/>
          <w:lang w:val="en-US" w:eastAsia="zh-CN"/>
          <w14:ligatures w14:val="standardContextual"/>
        </w:rPr>
      </w:pPr>
      <w:r>
        <w:fldChar w:fldCharType="begin"/>
      </w:r>
      <w:r>
        <w:instrText xml:space="preserve"> HYPERLINK \l "_Toc149140275" </w:instrText>
      </w:r>
      <w:r>
        <w:fldChar w:fldCharType="separate"/>
      </w:r>
      <w:r>
        <w:rPr>
          <w:rStyle w:val="46"/>
          <w:rFonts w:ascii="Times New Roman" w:hAnsi="Times New Roman"/>
        </w:rPr>
        <w:t>五、商务和技术偏差表</w:t>
      </w:r>
      <w:r>
        <w:rPr>
          <w:rFonts w:ascii="Times New Roman" w:hAnsi="Times New Roman" w:cs="Times New Roman"/>
        </w:rPr>
        <w:tab/>
      </w:r>
      <w:r>
        <w:rPr>
          <w:rFonts w:hint="eastAsia" w:ascii="Times New Roman" w:hAnsi="Times New Roman" w:cs="Times New Roman"/>
          <w:lang w:val="en-US" w:eastAsia="zh-CN"/>
        </w:rPr>
        <w:t>5</w:t>
      </w:r>
      <w:r>
        <w:rPr>
          <w:rFonts w:ascii="Times New Roman" w:hAnsi="Times New Roman" w:cs="Times New Roman"/>
        </w:rPr>
        <w:fldChar w:fldCharType="end"/>
      </w:r>
      <w:r>
        <w:rPr>
          <w:rFonts w:hint="eastAsia" w:ascii="Times New Roman" w:hAnsi="Times New Roman" w:cs="Times New Roman"/>
          <w:lang w:val="en-US" w:eastAsia="zh-CN"/>
        </w:rPr>
        <w:t>3</w:t>
      </w:r>
    </w:p>
    <w:p w14:paraId="42184C1B">
      <w:pPr>
        <w:pStyle w:val="33"/>
        <w:tabs>
          <w:tab w:val="right" w:leader="dot" w:pos="8630"/>
        </w:tabs>
        <w:spacing w:line="300" w:lineRule="exact"/>
        <w:ind w:left="420" w:leftChars="200"/>
        <w:rPr>
          <w:rFonts w:hint="eastAsia" w:ascii="Times New Roman" w:hAnsi="Times New Roman" w:eastAsia="宋体" w:cs="Times New Roman"/>
          <w:smallCaps w:val="0"/>
          <w:sz w:val="21"/>
          <w:szCs w:val="22"/>
          <w:lang w:val="en-US" w:eastAsia="zh-CN"/>
          <w14:ligatures w14:val="standardContextual"/>
        </w:rPr>
      </w:pPr>
      <w:r>
        <w:fldChar w:fldCharType="begin"/>
      </w:r>
      <w:r>
        <w:instrText xml:space="preserve"> HYPERLINK \l "_Toc149140285" </w:instrText>
      </w:r>
      <w:r>
        <w:fldChar w:fldCharType="separate"/>
      </w:r>
      <w:r>
        <w:rPr>
          <w:rStyle w:val="46"/>
          <w:rFonts w:hint="eastAsia" w:ascii="Times New Roman" w:hAnsi="Times New Roman"/>
        </w:rPr>
        <w:t>六</w:t>
      </w:r>
      <w:r>
        <w:rPr>
          <w:rStyle w:val="46"/>
          <w:rFonts w:ascii="Times New Roman" w:hAnsi="Times New Roman"/>
        </w:rPr>
        <w:t>、资格</w:t>
      </w:r>
      <w:r>
        <w:rPr>
          <w:rStyle w:val="46"/>
          <w:rFonts w:ascii="Times New Roman" w:hAnsi="Times New Roman"/>
          <w:spacing w:val="1"/>
          <w:kern w:val="0"/>
        </w:rPr>
        <w:t>审查</w:t>
      </w:r>
      <w:r>
        <w:rPr>
          <w:rStyle w:val="46"/>
          <w:rFonts w:ascii="Times New Roman" w:hAnsi="Times New Roman"/>
        </w:rPr>
        <w:t>资料</w:t>
      </w:r>
      <w:r>
        <w:rPr>
          <w:rFonts w:ascii="Times New Roman" w:hAnsi="Times New Roman" w:cs="Times New Roman"/>
        </w:rPr>
        <w:tab/>
      </w:r>
      <w:r>
        <w:rPr>
          <w:rFonts w:hint="eastAsia" w:ascii="Times New Roman" w:hAnsi="Times New Roman" w:cs="Times New Roman"/>
          <w:lang w:val="en-US" w:eastAsia="zh-CN"/>
        </w:rPr>
        <w:t>5</w:t>
      </w:r>
      <w:r>
        <w:rPr>
          <w:rFonts w:hint="eastAsia" w:ascii="Times New Roman" w:hAnsi="Times New Roman" w:cs="Times New Roman"/>
        </w:rPr>
        <w:fldChar w:fldCharType="end"/>
      </w:r>
      <w:r>
        <w:rPr>
          <w:rFonts w:hint="eastAsia" w:ascii="Times New Roman" w:hAnsi="Times New Roman" w:cs="Times New Roman"/>
          <w:lang w:val="en-US" w:eastAsia="zh-CN"/>
        </w:rPr>
        <w:t>4</w:t>
      </w:r>
    </w:p>
    <w:p w14:paraId="7B1A4872">
      <w:pPr>
        <w:pStyle w:val="33"/>
        <w:tabs>
          <w:tab w:val="right" w:leader="dot" w:pos="8630"/>
        </w:tabs>
        <w:spacing w:line="300" w:lineRule="exact"/>
        <w:ind w:left="420" w:leftChars="200"/>
        <w:rPr>
          <w:rFonts w:hint="eastAsia" w:ascii="Times New Roman" w:hAnsi="Times New Roman" w:eastAsia="宋体" w:cs="Times New Roman"/>
          <w:smallCaps w:val="0"/>
          <w:sz w:val="21"/>
          <w:szCs w:val="22"/>
          <w:lang w:val="en-US" w:eastAsia="zh-CN"/>
          <w14:ligatures w14:val="standardContextual"/>
        </w:rPr>
      </w:pPr>
      <w:r>
        <w:fldChar w:fldCharType="begin"/>
      </w:r>
      <w:r>
        <w:instrText xml:space="preserve"> HYPERLINK \l "_Toc149140296" </w:instrText>
      </w:r>
      <w:r>
        <w:fldChar w:fldCharType="separate"/>
      </w:r>
      <w:r>
        <w:rPr>
          <w:rStyle w:val="46"/>
          <w:rFonts w:hint="eastAsia" w:ascii="Times New Roman" w:hAnsi="Times New Roman"/>
        </w:rPr>
        <w:t>七</w:t>
      </w:r>
      <w:r>
        <w:rPr>
          <w:rStyle w:val="46"/>
          <w:rFonts w:ascii="Times New Roman" w:hAnsi="Times New Roman"/>
        </w:rPr>
        <w:t>、响应方案</w:t>
      </w:r>
      <w:r>
        <w:rPr>
          <w:rFonts w:ascii="Times New Roman" w:hAnsi="Times New Roman" w:cs="Times New Roman"/>
        </w:rPr>
        <w:tab/>
      </w:r>
      <w:r>
        <w:rPr>
          <w:rFonts w:hint="eastAsia" w:ascii="Times New Roman" w:hAnsi="Times New Roman" w:cs="Times New Roman"/>
          <w:lang w:val="en-US" w:eastAsia="zh-CN"/>
        </w:rPr>
        <w:t>5</w:t>
      </w:r>
      <w:r>
        <w:rPr>
          <w:rFonts w:hint="eastAsia" w:ascii="Times New Roman" w:hAnsi="Times New Roman" w:cs="Times New Roman"/>
        </w:rPr>
        <w:fldChar w:fldCharType="end"/>
      </w:r>
      <w:r>
        <w:rPr>
          <w:rFonts w:hint="eastAsia" w:ascii="Times New Roman" w:hAnsi="Times New Roman" w:cs="Times New Roman"/>
          <w:lang w:val="en-US" w:eastAsia="zh-CN"/>
        </w:rPr>
        <w:t>8</w:t>
      </w:r>
    </w:p>
    <w:p w14:paraId="14977AF0">
      <w:pPr>
        <w:pStyle w:val="33"/>
        <w:tabs>
          <w:tab w:val="right" w:leader="dot" w:pos="8630"/>
        </w:tabs>
        <w:spacing w:line="300" w:lineRule="exact"/>
        <w:ind w:left="420" w:leftChars="200"/>
        <w:rPr>
          <w:rFonts w:hint="eastAsia" w:ascii="Times New Roman" w:hAnsi="Times New Roman" w:eastAsia="宋体" w:cs="Times New Roman"/>
          <w:smallCaps w:val="0"/>
          <w:sz w:val="21"/>
          <w:szCs w:val="22"/>
          <w:lang w:val="en-US" w:eastAsia="zh-CN"/>
          <w14:ligatures w14:val="standardContextual"/>
        </w:rPr>
      </w:pPr>
      <w:r>
        <w:fldChar w:fldCharType="begin"/>
      </w:r>
      <w:r>
        <w:instrText xml:space="preserve"> HYPERLINK \l "_Toc149140301" </w:instrText>
      </w:r>
      <w:r>
        <w:fldChar w:fldCharType="separate"/>
      </w:r>
      <w:r>
        <w:rPr>
          <w:rStyle w:val="46"/>
          <w:rFonts w:hint="eastAsia" w:ascii="Times New Roman" w:hAnsi="Times New Roman"/>
        </w:rPr>
        <w:t>八</w:t>
      </w:r>
      <w:r>
        <w:rPr>
          <w:rStyle w:val="46"/>
          <w:rFonts w:ascii="Times New Roman" w:hAnsi="Times New Roman"/>
        </w:rPr>
        <w:t>、</w:t>
      </w:r>
      <w:r>
        <w:rPr>
          <w:rStyle w:val="46"/>
          <w:rFonts w:ascii="Times New Roman" w:hAnsi="Times New Roman"/>
          <w:spacing w:val="1"/>
          <w:kern w:val="0"/>
        </w:rPr>
        <w:t>承诺</w:t>
      </w:r>
      <w:r>
        <w:rPr>
          <w:rStyle w:val="46"/>
          <w:rFonts w:ascii="Times New Roman" w:hAnsi="Times New Roman"/>
        </w:rPr>
        <w:t>函</w:t>
      </w:r>
      <w:r>
        <w:rPr>
          <w:rFonts w:ascii="Times New Roman" w:hAnsi="Times New Roman" w:cs="Times New Roman"/>
        </w:rPr>
        <w:tab/>
      </w:r>
      <w:r>
        <w:rPr>
          <w:rFonts w:hint="eastAsia" w:ascii="Times New Roman" w:hAnsi="Times New Roman" w:cs="Times New Roman"/>
          <w:lang w:val="en-US" w:eastAsia="zh-CN"/>
        </w:rPr>
        <w:t>5</w:t>
      </w:r>
      <w:r>
        <w:rPr>
          <w:rFonts w:hint="eastAsia" w:ascii="Times New Roman" w:hAnsi="Times New Roman" w:cs="Times New Roman"/>
        </w:rPr>
        <w:fldChar w:fldCharType="end"/>
      </w:r>
      <w:r>
        <w:rPr>
          <w:rFonts w:hint="eastAsia" w:ascii="Times New Roman" w:hAnsi="Times New Roman" w:cs="Times New Roman"/>
          <w:lang w:val="en-US" w:eastAsia="zh-CN"/>
        </w:rPr>
        <w:t>9</w:t>
      </w:r>
    </w:p>
    <w:p w14:paraId="23D60C67">
      <w:pPr>
        <w:pStyle w:val="33"/>
        <w:tabs>
          <w:tab w:val="right" w:leader="dot" w:pos="8630"/>
        </w:tabs>
        <w:spacing w:line="300" w:lineRule="exact"/>
        <w:ind w:left="420" w:leftChars="200"/>
        <w:rPr>
          <w:rFonts w:hint="eastAsia" w:ascii="Times New Roman" w:hAnsi="Times New Roman" w:eastAsia="宋体" w:cs="Times New Roman"/>
          <w:lang w:val="en-US" w:eastAsia="zh-CN"/>
        </w:rPr>
      </w:pPr>
      <w:r>
        <w:fldChar w:fldCharType="begin"/>
      </w:r>
      <w:r>
        <w:instrText xml:space="preserve"> HYPERLINK \l "_Toc149140302" </w:instrText>
      </w:r>
      <w:r>
        <w:fldChar w:fldCharType="separate"/>
      </w:r>
      <w:r>
        <w:rPr>
          <w:rStyle w:val="46"/>
          <w:rFonts w:hint="eastAsia" w:ascii="Times New Roman" w:hAnsi="Times New Roman"/>
        </w:rPr>
        <w:t>九</w:t>
      </w:r>
      <w:r>
        <w:rPr>
          <w:rStyle w:val="46"/>
          <w:rFonts w:ascii="Times New Roman" w:hAnsi="Times New Roman"/>
        </w:rPr>
        <w:t>、</w:t>
      </w:r>
      <w:r>
        <w:rPr>
          <w:rStyle w:val="46"/>
          <w:rFonts w:hint="eastAsia" w:ascii="Times New Roman" w:hAnsi="Times New Roman"/>
          <w:lang w:val="en-US" w:eastAsia="zh-CN"/>
        </w:rPr>
        <w:t>资金授信承诺书</w:t>
      </w:r>
      <w:r>
        <w:rPr>
          <w:rFonts w:ascii="Times New Roman" w:hAnsi="Times New Roman" w:cs="Times New Roman"/>
        </w:rPr>
        <w:tab/>
      </w:r>
      <w:r>
        <w:rPr>
          <w:rFonts w:hint="eastAsia" w:ascii="Times New Roman" w:hAnsi="Times New Roman" w:cs="Times New Roman"/>
          <w:lang w:val="en-US" w:eastAsia="zh-CN"/>
        </w:rPr>
        <w:t>6</w:t>
      </w:r>
      <w:r>
        <w:rPr>
          <w:rFonts w:hint="eastAsia" w:ascii="Times New Roman" w:hAnsi="Times New Roman" w:cs="Times New Roman"/>
        </w:rPr>
        <w:fldChar w:fldCharType="end"/>
      </w:r>
      <w:r>
        <w:rPr>
          <w:rFonts w:hint="eastAsia" w:ascii="Times New Roman" w:hAnsi="Times New Roman" w:cs="Times New Roman"/>
          <w:lang w:val="en-US" w:eastAsia="zh-CN"/>
        </w:rPr>
        <w:t>0</w:t>
      </w:r>
    </w:p>
    <w:p w14:paraId="6BB7D8B2">
      <w:pPr>
        <w:pStyle w:val="33"/>
        <w:tabs>
          <w:tab w:val="right" w:leader="dot" w:pos="8630"/>
        </w:tabs>
        <w:spacing w:line="300" w:lineRule="exact"/>
        <w:ind w:left="420" w:leftChars="200"/>
        <w:rPr>
          <w:rFonts w:hint="eastAsia" w:eastAsia="宋体"/>
          <w:lang w:val="en-US" w:eastAsia="zh-CN"/>
        </w:rPr>
      </w:pPr>
      <w:r>
        <w:rPr>
          <w:rFonts w:ascii="宋体" w:hAnsi="宋体" w:eastAsia="宋体"/>
          <w:sz w:val="23"/>
          <w:szCs w:val="23"/>
        </w:rPr>
        <w:fldChar w:fldCharType="end"/>
      </w:r>
      <w:bookmarkStart w:id="22" w:name="_Hlk138876902"/>
      <w:bookmarkStart w:id="23" w:name="_第一章__询比采购公告"/>
      <w:bookmarkStart w:id="24" w:name="_Toc48146147"/>
      <w:r>
        <w:rPr>
          <w:rFonts w:ascii="Times New Roman" w:hAnsi="Times New Roman" w:cs="Times New Roman"/>
        </w:rPr>
        <w:fldChar w:fldCharType="begin"/>
      </w:r>
      <w:r>
        <w:rPr>
          <w:rFonts w:ascii="Times New Roman" w:hAnsi="Times New Roman" w:cs="Times New Roman"/>
        </w:rPr>
        <w:instrText xml:space="preserve"> HYPERLINK \l "_Toc149140302" </w:instrText>
      </w:r>
      <w:r>
        <w:rPr>
          <w:rFonts w:ascii="Times New Roman" w:hAnsi="Times New Roman" w:cs="Times New Roman"/>
        </w:rPr>
        <w:fldChar w:fldCharType="separate"/>
      </w:r>
      <w:r>
        <w:rPr>
          <w:rFonts w:hint="eastAsia" w:ascii="Times New Roman" w:hAnsi="Times New Roman" w:cs="Times New Roman"/>
          <w:lang w:val="en-US" w:eastAsia="zh-CN"/>
        </w:rPr>
        <w:t>十</w:t>
      </w:r>
      <w:r>
        <w:rPr>
          <w:rFonts w:ascii="Times New Roman" w:hAnsi="Times New Roman" w:cs="Times New Roman"/>
        </w:rPr>
        <w:t>、</w:t>
      </w:r>
      <w:r>
        <w:rPr>
          <w:rFonts w:hint="eastAsia" w:ascii="Times New Roman" w:hAnsi="Times New Roman" w:cs="Times New Roman"/>
        </w:rPr>
        <w:fldChar w:fldCharType="end"/>
      </w:r>
      <w:r>
        <w:fldChar w:fldCharType="begin"/>
      </w:r>
      <w:r>
        <w:instrText xml:space="preserve"> HYPERLINK \l "_Toc149140302" </w:instrText>
      </w:r>
      <w:r>
        <w:fldChar w:fldCharType="separate"/>
      </w:r>
      <w:r>
        <w:rPr>
          <w:rFonts w:hint="eastAsia"/>
          <w:lang w:val="en-US" w:eastAsia="zh-CN"/>
        </w:rPr>
        <w:t>其他资料</w:t>
      </w:r>
      <w:r>
        <w:tab/>
      </w:r>
      <w:r>
        <w:rPr>
          <w:rFonts w:hint="eastAsia"/>
          <w:lang w:val="en-US" w:eastAsia="zh-CN"/>
        </w:rPr>
        <w:t>6</w:t>
      </w:r>
      <w:r>
        <w:rPr>
          <w:rFonts w:hint="eastAsia"/>
        </w:rPr>
        <w:fldChar w:fldCharType="end"/>
      </w:r>
      <w:r>
        <w:rPr>
          <w:rFonts w:hint="eastAsia"/>
          <w:lang w:val="en-US" w:eastAsia="zh-CN"/>
        </w:rPr>
        <w:t>1</w:t>
      </w:r>
    </w:p>
    <w:p w14:paraId="3EA46E50">
      <w:pPr>
        <w:pStyle w:val="33"/>
        <w:tabs>
          <w:tab w:val="right" w:leader="dot" w:pos="8630"/>
        </w:tabs>
        <w:spacing w:line="300" w:lineRule="exact"/>
        <w:ind w:left="420" w:leftChars="200"/>
        <w:rPr>
          <w:rFonts w:hint="eastAsia" w:eastAsia="宋体"/>
          <w:lang w:eastAsia="zh-CN"/>
        </w:rPr>
      </w:pPr>
    </w:p>
    <w:p w14:paraId="56709C65">
      <w:pPr>
        <w:pStyle w:val="33"/>
        <w:tabs>
          <w:tab w:val="right" w:leader="dot" w:pos="8630"/>
        </w:tabs>
        <w:spacing w:line="300" w:lineRule="exact"/>
        <w:ind w:left="420" w:leftChars="200"/>
        <w:rPr>
          <w:rFonts w:hint="eastAsia" w:eastAsia="宋体"/>
          <w:lang w:val="en-US" w:eastAsia="zh-CN"/>
        </w:rPr>
      </w:pPr>
    </w:p>
    <w:p w14:paraId="4E0D966A">
      <w:pPr>
        <w:pStyle w:val="33"/>
        <w:tabs>
          <w:tab w:val="right" w:leader="dot" w:pos="8630"/>
        </w:tabs>
        <w:spacing w:line="300" w:lineRule="exact"/>
        <w:ind w:left="420" w:leftChars="200"/>
        <w:sectPr>
          <w:footerReference r:id="rId5" w:type="first"/>
          <w:headerReference r:id="rId3" w:type="default"/>
          <w:footerReference r:id="rId4" w:type="default"/>
          <w:footnotePr>
            <w:numFmt w:val="decimalEnclosedCircleChinese"/>
            <w:numRestart w:val="eachPage"/>
          </w:footnotePr>
          <w:type w:val="continuous"/>
          <w:pgSz w:w="11906" w:h="16838"/>
          <w:pgMar w:top="1440" w:right="1800" w:bottom="1134" w:left="1800" w:header="720" w:footer="720" w:gutter="0"/>
          <w:pgBorders>
            <w:top w:val="none" w:sz="0" w:space="0"/>
            <w:left w:val="none" w:sz="0" w:space="0"/>
            <w:bottom w:val="none" w:sz="0" w:space="0"/>
            <w:right w:val="none" w:sz="0" w:space="0"/>
          </w:pgBorders>
          <w:pgNumType w:fmt="decimal"/>
          <w:cols w:space="720" w:num="1"/>
          <w:docGrid w:linePitch="286" w:charSpace="0"/>
        </w:sectPr>
      </w:pPr>
    </w:p>
    <w:p w14:paraId="7D465C7A">
      <w:pPr>
        <w:pStyle w:val="108"/>
        <w:rPr>
          <w:rFonts w:ascii="宋体" w:hAnsi="宋体" w:eastAsia="宋体"/>
        </w:rPr>
      </w:pPr>
    </w:p>
    <w:p w14:paraId="7F65D412">
      <w:pPr>
        <w:pStyle w:val="108"/>
        <w:rPr>
          <w:rFonts w:ascii="宋体" w:hAnsi="宋体" w:eastAsia="宋体"/>
        </w:rPr>
      </w:pPr>
    </w:p>
    <w:p w14:paraId="197CBD49">
      <w:pPr>
        <w:pStyle w:val="108"/>
        <w:tabs>
          <w:tab w:val="left" w:pos="7055"/>
        </w:tabs>
        <w:rPr>
          <w:rFonts w:hint="eastAsia" w:ascii="宋体" w:hAnsi="宋体" w:eastAsia="宋体"/>
          <w:lang w:eastAsia="zh-CN"/>
        </w:rPr>
      </w:pPr>
      <w:r>
        <w:rPr>
          <w:rFonts w:hint="eastAsia" w:ascii="宋体" w:hAnsi="宋体" w:eastAsia="宋体"/>
          <w:lang w:eastAsia="zh-CN"/>
        </w:rPr>
        <w:tab/>
      </w:r>
    </w:p>
    <w:p w14:paraId="58BE34B0">
      <w:pPr>
        <w:pStyle w:val="108"/>
        <w:rPr>
          <w:rFonts w:ascii="宋体" w:hAnsi="宋体" w:eastAsia="宋体"/>
        </w:rPr>
      </w:pPr>
    </w:p>
    <w:p w14:paraId="23ED2804">
      <w:pPr>
        <w:pStyle w:val="108"/>
        <w:rPr>
          <w:rFonts w:ascii="宋体" w:hAnsi="宋体" w:eastAsia="宋体"/>
        </w:rPr>
      </w:pPr>
    </w:p>
    <w:p w14:paraId="7819C423">
      <w:pPr>
        <w:pStyle w:val="108"/>
        <w:rPr>
          <w:rFonts w:ascii="宋体" w:hAnsi="宋体" w:eastAsia="宋体"/>
        </w:rPr>
      </w:pPr>
    </w:p>
    <w:p w14:paraId="594A901C">
      <w:pPr>
        <w:pStyle w:val="108"/>
        <w:rPr>
          <w:rFonts w:ascii="宋体" w:hAnsi="宋体" w:eastAsia="宋体"/>
        </w:rPr>
      </w:pPr>
    </w:p>
    <w:p w14:paraId="572B00F0">
      <w:pPr>
        <w:pStyle w:val="108"/>
        <w:rPr>
          <w:rFonts w:ascii="宋体" w:hAnsi="宋体" w:eastAsia="宋体"/>
        </w:rPr>
      </w:pPr>
    </w:p>
    <w:p w14:paraId="705282F4">
      <w:pPr>
        <w:pStyle w:val="108"/>
        <w:rPr>
          <w:rFonts w:ascii="宋体" w:hAnsi="宋体" w:eastAsia="宋体"/>
        </w:rPr>
      </w:pPr>
    </w:p>
    <w:bookmarkEnd w:id="22"/>
    <w:bookmarkEnd w:id="23"/>
    <w:bookmarkEnd w:id="24"/>
    <w:p w14:paraId="6A63D813">
      <w:pPr>
        <w:numPr>
          <w:ilvl w:val="0"/>
          <w:numId w:val="1"/>
        </w:numPr>
        <w:tabs>
          <w:tab w:val="right" w:leader="dot" w:pos="8296"/>
        </w:tabs>
        <w:spacing w:line="520" w:lineRule="exact"/>
        <w:jc w:val="center"/>
        <w:outlineLvl w:val="0"/>
        <w:rPr>
          <w:rFonts w:ascii="宋体" w:hAnsi="宋体"/>
          <w:b/>
          <w:bCs/>
          <w:sz w:val="44"/>
          <w:szCs w:val="44"/>
        </w:rPr>
      </w:pPr>
      <w:bookmarkStart w:id="25" w:name="_Toc17497"/>
      <w:bookmarkStart w:id="26" w:name="_Toc118805826"/>
      <w:bookmarkStart w:id="27" w:name="_Toc26457"/>
      <w:bookmarkStart w:id="28" w:name="_Toc118805072"/>
      <w:bookmarkStart w:id="29" w:name="_Toc12671"/>
      <w:bookmarkStart w:id="30" w:name="_Toc118805449"/>
      <w:bookmarkStart w:id="31" w:name="_Toc18968"/>
      <w:bookmarkStart w:id="32" w:name="_Toc149140163"/>
      <w:bookmarkStart w:id="33" w:name="_Toc6153"/>
      <w:bookmarkStart w:id="34" w:name="_Toc138604596"/>
      <w:bookmarkStart w:id="35" w:name="_Toc21553"/>
      <w:bookmarkStart w:id="36" w:name="_Toc3947_WPSOffice_Level1"/>
      <w:bookmarkStart w:id="37" w:name="_Toc118806197"/>
      <w:r>
        <w:rPr>
          <w:rFonts w:ascii="宋体" w:hAnsi="宋体"/>
          <w:b/>
          <w:bCs/>
          <w:sz w:val="44"/>
          <w:szCs w:val="44"/>
        </w:rPr>
        <w:t>框架协议采购公告</w:t>
      </w:r>
      <w:bookmarkEnd w:id="25"/>
      <w:bookmarkEnd w:id="26"/>
      <w:bookmarkEnd w:id="27"/>
      <w:bookmarkEnd w:id="28"/>
      <w:bookmarkEnd w:id="29"/>
      <w:bookmarkEnd w:id="30"/>
      <w:bookmarkEnd w:id="31"/>
      <w:bookmarkEnd w:id="32"/>
      <w:bookmarkEnd w:id="33"/>
      <w:bookmarkEnd w:id="34"/>
      <w:bookmarkEnd w:id="35"/>
      <w:bookmarkEnd w:id="36"/>
      <w:bookmarkEnd w:id="37"/>
    </w:p>
    <w:p w14:paraId="1CDCE1A6">
      <w:pPr>
        <w:pStyle w:val="15"/>
        <w:spacing w:line="360" w:lineRule="auto"/>
        <w:ind w:firstLine="480" w:firstLineChars="200"/>
        <w:rPr>
          <w:rFonts w:cs="Times New Roman"/>
          <w:sz w:val="24"/>
          <w:szCs w:val="24"/>
          <w:lang w:eastAsia="zh-CN"/>
        </w:rPr>
      </w:pPr>
    </w:p>
    <w:p w14:paraId="146F19ED">
      <w:pPr>
        <w:pStyle w:val="15"/>
        <w:spacing w:line="360" w:lineRule="auto"/>
        <w:ind w:firstLine="480" w:firstLineChars="200"/>
        <w:rPr>
          <w:rFonts w:cs="Times New Roman"/>
          <w:sz w:val="24"/>
          <w:szCs w:val="24"/>
          <w:lang w:eastAsia="zh-CN"/>
        </w:rPr>
      </w:pPr>
    </w:p>
    <w:p w14:paraId="0085E8B2">
      <w:pPr>
        <w:pStyle w:val="15"/>
        <w:spacing w:line="360" w:lineRule="auto"/>
        <w:ind w:firstLine="480" w:firstLineChars="200"/>
        <w:rPr>
          <w:rFonts w:cs="Times New Roman"/>
          <w:sz w:val="24"/>
          <w:szCs w:val="24"/>
          <w:lang w:eastAsia="zh-CN"/>
        </w:rPr>
      </w:pPr>
    </w:p>
    <w:p w14:paraId="67ECA7E5">
      <w:pPr>
        <w:pStyle w:val="15"/>
        <w:spacing w:line="360" w:lineRule="auto"/>
        <w:ind w:firstLine="480" w:firstLineChars="200"/>
        <w:rPr>
          <w:rFonts w:cs="Times New Roman"/>
          <w:sz w:val="24"/>
          <w:szCs w:val="24"/>
          <w:lang w:eastAsia="zh-CN"/>
        </w:rPr>
      </w:pPr>
    </w:p>
    <w:p w14:paraId="58124BEF">
      <w:pPr>
        <w:rPr>
          <w:rFonts w:ascii="宋体" w:hAnsi="宋体"/>
          <w:sz w:val="32"/>
        </w:rPr>
      </w:pPr>
    </w:p>
    <w:p w14:paraId="11997D63">
      <w:pPr>
        <w:rPr>
          <w:rFonts w:ascii="宋体" w:hAnsi="宋体"/>
          <w:sz w:val="32"/>
        </w:rPr>
      </w:pPr>
    </w:p>
    <w:p w14:paraId="12A91693">
      <w:pPr>
        <w:jc w:val="center"/>
        <w:rPr>
          <w:rFonts w:ascii="宋体" w:hAnsi="宋体"/>
          <w:sz w:val="32"/>
        </w:rPr>
      </w:pPr>
    </w:p>
    <w:p w14:paraId="55721347">
      <w:pPr>
        <w:rPr>
          <w:rFonts w:ascii="宋体" w:hAnsi="宋体"/>
          <w:sz w:val="32"/>
        </w:rPr>
      </w:pPr>
    </w:p>
    <w:p w14:paraId="0571E6B2">
      <w:pPr>
        <w:rPr>
          <w:rFonts w:ascii="宋体" w:hAnsi="宋体"/>
          <w:sz w:val="32"/>
        </w:rPr>
      </w:pPr>
    </w:p>
    <w:p w14:paraId="0E29259F">
      <w:pPr>
        <w:rPr>
          <w:rFonts w:ascii="宋体" w:hAnsi="宋体"/>
          <w:sz w:val="32"/>
        </w:rPr>
      </w:pPr>
    </w:p>
    <w:p w14:paraId="37C44C45">
      <w:pPr>
        <w:spacing w:line="440" w:lineRule="exact"/>
        <w:jc w:val="center"/>
        <w:rPr>
          <w:rFonts w:ascii="宋体" w:hAnsi="宋体"/>
          <w:sz w:val="28"/>
          <w:szCs w:val="28"/>
        </w:rPr>
      </w:pPr>
      <w:r>
        <w:rPr>
          <w:rFonts w:ascii="宋体" w:hAnsi="宋体"/>
          <w:sz w:val="32"/>
        </w:rPr>
        <w:br w:type="page"/>
      </w:r>
      <w:bookmarkStart w:id="38" w:name="OLE_LINK1"/>
      <w:r>
        <w:rPr>
          <w:rFonts w:hint="eastAsia" w:ascii="黑体" w:hAnsi="黑体" w:eastAsia="黑体"/>
          <w:sz w:val="28"/>
          <w:szCs w:val="28"/>
          <w:lang w:eastAsia="zh-CN"/>
        </w:rPr>
        <w:t>河北交投绿色建材有限公司2026-2027年度预制构件运输服务商入库（</w:t>
      </w:r>
      <w:r>
        <w:rPr>
          <w:rFonts w:hint="eastAsia" w:ascii="黑体" w:hAnsi="黑体" w:eastAsia="黑体"/>
          <w:sz w:val="28"/>
          <w:szCs w:val="28"/>
          <w:lang w:val="en-US" w:eastAsia="zh-CN"/>
        </w:rPr>
        <w:t>补充入库）</w:t>
      </w:r>
      <w:r>
        <w:rPr>
          <w:rFonts w:ascii="黑体" w:hAnsi="黑体" w:eastAsia="黑体"/>
          <w:sz w:val="28"/>
          <w:szCs w:val="28"/>
        </w:rPr>
        <w:t>框架协议采购公告</w:t>
      </w:r>
    </w:p>
    <w:p w14:paraId="26650B71">
      <w:pPr>
        <w:spacing w:line="400" w:lineRule="exact"/>
        <w:ind w:firstLine="420" w:firstLineChars="200"/>
        <w:rPr>
          <w:rFonts w:ascii="宋体" w:hAnsi="宋体"/>
        </w:rPr>
      </w:pPr>
      <w:bookmarkStart w:id="39" w:name="_Hlk138876962"/>
    </w:p>
    <w:bookmarkEnd w:id="39"/>
    <w:p w14:paraId="747451D2">
      <w:pPr>
        <w:spacing w:line="400" w:lineRule="exact"/>
        <w:ind w:firstLine="420" w:firstLineChars="200"/>
        <w:rPr>
          <w:rFonts w:ascii="宋体" w:hAnsi="宋体"/>
          <w:szCs w:val="21"/>
        </w:rPr>
      </w:pPr>
      <w:r>
        <w:rPr>
          <w:rFonts w:hint="eastAsia" w:ascii="宋体" w:hAnsi="宋体"/>
          <w:szCs w:val="21"/>
          <w:u w:val="single"/>
          <w:lang w:eastAsia="zh-CN"/>
        </w:rPr>
        <w:t>河北交投绿色建材有限公司2026-2027年度预制构件运输服务商入库（</w:t>
      </w:r>
      <w:r>
        <w:rPr>
          <w:rFonts w:hint="eastAsia" w:ascii="宋体" w:hAnsi="宋体"/>
          <w:szCs w:val="21"/>
          <w:u w:val="single"/>
          <w:lang w:val="en-US" w:eastAsia="zh-CN"/>
        </w:rPr>
        <w:t>补充入库）</w:t>
      </w:r>
      <w:r>
        <w:rPr>
          <w:rFonts w:ascii="宋体" w:hAnsi="宋体"/>
          <w:szCs w:val="21"/>
        </w:rPr>
        <w:t>（项目名称）已具备采购条件，现公开邀请供应商参加框架协议采购活动。评审办法采用：</w:t>
      </w:r>
      <w:r>
        <w:rPr>
          <w:rFonts w:hint="eastAsia" w:ascii="宋体" w:hAnsi="宋体"/>
          <w:szCs w:val="21"/>
          <w:u w:val="single"/>
        </w:rPr>
        <w:t>综合评分法</w:t>
      </w:r>
      <w:r>
        <w:rPr>
          <w:rFonts w:ascii="宋体" w:hAnsi="宋体"/>
          <w:szCs w:val="21"/>
          <w:u w:val="single"/>
        </w:rPr>
        <w:t xml:space="preserve"> </w:t>
      </w:r>
    </w:p>
    <w:p w14:paraId="4E673865">
      <w:pPr>
        <w:widowControl/>
        <w:spacing w:before="260" w:after="260"/>
        <w:outlineLvl w:val="1"/>
        <w:rPr>
          <w:rFonts w:eastAsia="黑体"/>
          <w:b/>
          <w:spacing w:val="1"/>
          <w:kern w:val="0"/>
          <w:sz w:val="28"/>
          <w:szCs w:val="28"/>
        </w:rPr>
      </w:pPr>
      <w:bookmarkStart w:id="40" w:name="_Toc149140164"/>
      <w:r>
        <w:rPr>
          <w:rFonts w:eastAsia="黑体"/>
          <w:b/>
          <w:spacing w:val="1"/>
          <w:kern w:val="0"/>
          <w:sz w:val="28"/>
          <w:szCs w:val="28"/>
        </w:rPr>
        <w:t>1. 采购项目简介</w:t>
      </w:r>
      <w:bookmarkEnd w:id="40"/>
    </w:p>
    <w:p w14:paraId="020FE01F">
      <w:pPr>
        <w:spacing w:line="400" w:lineRule="exact"/>
        <w:ind w:firstLine="422" w:firstLineChars="200"/>
        <w:rPr>
          <w:rFonts w:hint="default" w:ascii="宋体" w:hAnsi="宋体" w:eastAsia="宋体"/>
          <w:szCs w:val="21"/>
          <w:lang w:val="en-US" w:eastAsia="zh-CN"/>
        </w:rPr>
      </w:pPr>
      <w:r>
        <w:rPr>
          <w:b/>
          <w:bCs/>
        </w:rPr>
        <w:t>1</w:t>
      </w:r>
      <w:r>
        <w:rPr>
          <w:rFonts w:ascii="宋体" w:hAnsi="宋体"/>
          <w:b/>
          <w:bCs/>
        </w:rPr>
        <w:t>.</w:t>
      </w:r>
      <w:r>
        <w:rPr>
          <w:b/>
          <w:bCs/>
        </w:rPr>
        <w:t>1</w:t>
      </w:r>
      <w:r>
        <w:rPr>
          <w:rFonts w:ascii="宋体" w:hAnsi="宋体"/>
          <w:szCs w:val="21"/>
        </w:rPr>
        <w:tab/>
      </w:r>
      <w:r>
        <w:rPr>
          <w:rFonts w:ascii="宋体" w:hAnsi="宋体"/>
          <w:szCs w:val="21"/>
        </w:rPr>
        <w:t>采购项目名称：</w:t>
      </w:r>
      <w:r>
        <w:rPr>
          <w:rFonts w:hint="eastAsia" w:ascii="宋体" w:hAnsi="宋体"/>
          <w:szCs w:val="21"/>
          <w:u w:val="single"/>
          <w:lang w:eastAsia="zh-CN"/>
        </w:rPr>
        <w:t>河北交投绿色建材有限公司2026-2027年度预制构件运输服务商入库（</w:t>
      </w:r>
      <w:r>
        <w:rPr>
          <w:rFonts w:hint="eastAsia" w:ascii="宋体" w:hAnsi="宋体"/>
          <w:szCs w:val="21"/>
          <w:u w:val="single"/>
          <w:lang w:val="en-US" w:eastAsia="zh-CN"/>
        </w:rPr>
        <w:t>补充入库）</w:t>
      </w:r>
    </w:p>
    <w:p w14:paraId="720E3C60">
      <w:pPr>
        <w:spacing w:line="400" w:lineRule="exact"/>
        <w:ind w:firstLine="422" w:firstLineChars="200"/>
        <w:rPr>
          <w:rFonts w:ascii="宋体" w:hAnsi="宋体"/>
          <w:szCs w:val="21"/>
        </w:rPr>
      </w:pPr>
      <w:r>
        <w:rPr>
          <w:b/>
          <w:bCs/>
        </w:rPr>
        <w:t>1</w:t>
      </w:r>
      <w:r>
        <w:rPr>
          <w:rFonts w:ascii="宋体" w:hAnsi="宋体"/>
          <w:b/>
          <w:bCs/>
        </w:rPr>
        <w:t>.</w:t>
      </w:r>
      <w:r>
        <w:rPr>
          <w:b/>
          <w:bCs/>
        </w:rPr>
        <w:t>2</w:t>
      </w:r>
      <w:r>
        <w:rPr>
          <w:rFonts w:ascii="宋体" w:hAnsi="宋体"/>
          <w:szCs w:val="21"/>
        </w:rPr>
        <w:tab/>
      </w:r>
      <w:r>
        <w:rPr>
          <w:rFonts w:ascii="宋体" w:hAnsi="宋体"/>
          <w:szCs w:val="21"/>
        </w:rPr>
        <w:t>采购人：</w:t>
      </w:r>
      <w:r>
        <w:rPr>
          <w:rFonts w:hint="eastAsia" w:eastAsiaTheme="minorEastAsia"/>
          <w:szCs w:val="21"/>
          <w:u w:val="single"/>
        </w:rPr>
        <w:t>河北交投绿色建材有限公司</w:t>
      </w:r>
    </w:p>
    <w:p w14:paraId="23673EDD">
      <w:pPr>
        <w:spacing w:line="400" w:lineRule="exact"/>
        <w:ind w:firstLine="422" w:firstLineChars="200"/>
        <w:rPr>
          <w:rFonts w:ascii="宋体" w:hAnsi="宋体"/>
          <w:szCs w:val="21"/>
        </w:rPr>
      </w:pPr>
      <w:r>
        <w:rPr>
          <w:b/>
          <w:bCs/>
        </w:rPr>
        <w:t>1</w:t>
      </w:r>
      <w:r>
        <w:rPr>
          <w:rFonts w:ascii="宋体" w:hAnsi="宋体"/>
          <w:b/>
          <w:bCs/>
        </w:rPr>
        <w:t>.</w:t>
      </w:r>
      <w:r>
        <w:rPr>
          <w:b/>
          <w:bCs/>
        </w:rPr>
        <w:t>3</w:t>
      </w:r>
      <w:r>
        <w:rPr>
          <w:rFonts w:ascii="宋体" w:hAnsi="宋体"/>
          <w:szCs w:val="21"/>
        </w:rPr>
        <w:tab/>
      </w:r>
      <w:r>
        <w:rPr>
          <w:rFonts w:ascii="宋体" w:hAnsi="宋体"/>
          <w:szCs w:val="21"/>
        </w:rPr>
        <w:t>采购代理机构：</w:t>
      </w:r>
      <w:r>
        <w:rPr>
          <w:rFonts w:hint="eastAsia" w:eastAsiaTheme="minorEastAsia"/>
          <w:szCs w:val="21"/>
          <w:u w:val="single"/>
        </w:rPr>
        <w:t>河北雄安交投工程咨询有限公司</w:t>
      </w:r>
    </w:p>
    <w:p w14:paraId="63B061A3">
      <w:pPr>
        <w:spacing w:line="400" w:lineRule="exact"/>
        <w:ind w:firstLine="422" w:firstLineChars="200"/>
        <w:rPr>
          <w:rFonts w:hint="eastAsia" w:ascii="宋体" w:hAnsi="宋体" w:eastAsia="宋体"/>
          <w:szCs w:val="21"/>
          <w:u w:val="single"/>
          <w:lang w:eastAsia="zh-CN"/>
        </w:rPr>
      </w:pPr>
      <w:r>
        <w:rPr>
          <w:b/>
          <w:bCs/>
        </w:rPr>
        <w:t>1</w:t>
      </w:r>
      <w:r>
        <w:rPr>
          <w:rFonts w:ascii="宋体" w:hAnsi="宋体"/>
          <w:b/>
          <w:bCs/>
        </w:rPr>
        <w:t>.</w:t>
      </w:r>
      <w:r>
        <w:rPr>
          <w:b/>
          <w:bCs/>
        </w:rPr>
        <w:t>4</w:t>
      </w:r>
      <w:r>
        <w:rPr>
          <w:rFonts w:ascii="宋体" w:hAnsi="宋体"/>
          <w:szCs w:val="21"/>
        </w:rPr>
        <w:t xml:space="preserve"> 采购项目概况：</w:t>
      </w:r>
      <w:r>
        <w:rPr>
          <w:rFonts w:hint="eastAsia" w:eastAsiaTheme="minorEastAsia"/>
          <w:szCs w:val="21"/>
          <w:u w:val="single"/>
          <w:lang w:eastAsia="zh-CN"/>
        </w:rPr>
        <w:t>为保障我公司预制构件运输工作顺利推进，提升运输服务的稳定性，降低运输成本，现计划建立预制构件运输服务商库。</w:t>
      </w:r>
    </w:p>
    <w:p w14:paraId="3DB35047">
      <w:pPr>
        <w:widowControl/>
        <w:spacing w:before="260" w:after="260"/>
        <w:outlineLvl w:val="1"/>
        <w:rPr>
          <w:rFonts w:eastAsia="黑体"/>
          <w:b/>
          <w:spacing w:val="1"/>
          <w:kern w:val="0"/>
          <w:sz w:val="28"/>
          <w:szCs w:val="28"/>
        </w:rPr>
      </w:pPr>
      <w:bookmarkStart w:id="41" w:name="_Toc3135"/>
      <w:bookmarkStart w:id="42" w:name="_Toc8483_WPSOffice_Level3"/>
      <w:bookmarkStart w:id="43" w:name="_Toc118806941"/>
      <w:bookmarkStart w:id="44" w:name="_Toc24107"/>
      <w:bookmarkStart w:id="45" w:name="_Toc9210"/>
      <w:bookmarkStart w:id="46" w:name="_Toc7764"/>
      <w:bookmarkStart w:id="47" w:name="_Toc118805830"/>
      <w:bookmarkStart w:id="48" w:name="_Toc118805453"/>
      <w:bookmarkStart w:id="49" w:name="_Toc26240"/>
      <w:bookmarkStart w:id="50" w:name="_Toc118805076"/>
      <w:bookmarkStart w:id="51" w:name="_Toc149140167"/>
      <w:bookmarkStart w:id="52" w:name="_Toc118806201"/>
      <w:bookmarkStart w:id="53" w:name="_Toc10095"/>
      <w:r>
        <w:rPr>
          <w:rFonts w:eastAsia="黑体"/>
          <w:b/>
          <w:spacing w:val="1"/>
          <w:kern w:val="0"/>
          <w:sz w:val="28"/>
          <w:szCs w:val="28"/>
        </w:rPr>
        <w:t>2. 采购范围及相关要求</w:t>
      </w:r>
      <w:bookmarkEnd w:id="41"/>
      <w:bookmarkEnd w:id="42"/>
      <w:bookmarkEnd w:id="43"/>
      <w:bookmarkEnd w:id="44"/>
      <w:bookmarkEnd w:id="45"/>
      <w:bookmarkEnd w:id="46"/>
      <w:bookmarkEnd w:id="47"/>
      <w:bookmarkEnd w:id="48"/>
      <w:bookmarkEnd w:id="49"/>
      <w:bookmarkEnd w:id="50"/>
      <w:bookmarkEnd w:id="51"/>
      <w:bookmarkEnd w:id="52"/>
      <w:bookmarkEnd w:id="53"/>
    </w:p>
    <w:p w14:paraId="566EB652">
      <w:pPr>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eastAsia="宋体"/>
          <w:lang w:eastAsia="zh-CN"/>
        </w:rPr>
      </w:pPr>
      <w:r>
        <w:rPr>
          <w:b/>
          <w:bCs/>
        </w:rPr>
        <w:t>2</w:t>
      </w:r>
      <w:r>
        <w:rPr>
          <w:rFonts w:ascii="宋体" w:hAnsi="宋体"/>
          <w:b/>
          <w:bCs/>
        </w:rPr>
        <w:t>.</w:t>
      </w:r>
      <w:r>
        <w:rPr>
          <w:b/>
          <w:bCs/>
        </w:rPr>
        <w:t>1</w:t>
      </w:r>
      <w:r>
        <w:rPr>
          <w:rFonts w:ascii="宋体" w:hAnsi="宋体"/>
        </w:rPr>
        <w:t xml:space="preserve"> 采购范围：</w:t>
      </w:r>
      <w:r>
        <w:rPr>
          <w:rFonts w:hint="eastAsia" w:ascii="宋体" w:hAnsi="宋体"/>
          <w:u w:val="single"/>
          <w:lang w:eastAsia="zh-CN"/>
        </w:rPr>
        <w:t>本次采购为满足河北交投绿色建材有限公司预制构件产品运输需要，选择合格服务商提供预制构件运输到采购人指定工地施工部位的运输物流服务。</w:t>
      </w:r>
    </w:p>
    <w:p w14:paraId="56DE2DDA">
      <w:pPr>
        <w:spacing w:line="400" w:lineRule="exact"/>
        <w:ind w:firstLine="422" w:firstLineChars="200"/>
        <w:rPr>
          <w:rFonts w:ascii="宋体" w:hAnsi="宋体"/>
        </w:rPr>
      </w:pPr>
      <w:r>
        <w:rPr>
          <w:b/>
          <w:bCs/>
        </w:rPr>
        <w:t>2</w:t>
      </w:r>
      <w:r>
        <w:rPr>
          <w:rFonts w:ascii="宋体" w:hAnsi="宋体"/>
          <w:b/>
          <w:bCs/>
        </w:rPr>
        <w:t>.</w:t>
      </w:r>
      <w:r>
        <w:rPr>
          <w:b/>
          <w:bCs/>
        </w:rPr>
        <w:t>2</w:t>
      </w:r>
      <w:r>
        <w:rPr>
          <w:rFonts w:ascii="宋体" w:hAnsi="宋体"/>
          <w:b/>
          <w:bCs/>
        </w:rPr>
        <w:t xml:space="preserve"> </w:t>
      </w:r>
      <w:r>
        <w:rPr>
          <w:rFonts w:ascii="宋体" w:hAnsi="宋体"/>
        </w:rPr>
        <w:t>标段划分：</w:t>
      </w:r>
      <w:r>
        <w:rPr>
          <w:rFonts w:hint="eastAsia" w:ascii="宋体" w:hAnsi="宋体"/>
          <w:u w:val="single"/>
        </w:rPr>
        <w:t>本项目共</w:t>
      </w:r>
      <w:r>
        <w:rPr>
          <w:rFonts w:hint="eastAsia"/>
          <w:u w:val="single"/>
        </w:rPr>
        <w:t>分为</w:t>
      </w:r>
      <w:r>
        <w:rPr>
          <w:rFonts w:hint="eastAsia"/>
          <w:u w:val="single"/>
          <w:lang w:val="en-US" w:eastAsia="zh-CN"/>
        </w:rPr>
        <w:t>1</w:t>
      </w:r>
      <w:r>
        <w:rPr>
          <w:rFonts w:hint="eastAsia"/>
          <w:u w:val="single"/>
        </w:rPr>
        <w:t>个标段</w:t>
      </w:r>
      <w:r>
        <w:rPr>
          <w:rFonts w:ascii="宋体" w:hAnsi="宋体"/>
        </w:rPr>
        <w:t>。</w:t>
      </w:r>
    </w:p>
    <w:p w14:paraId="058E53F6">
      <w:pPr>
        <w:spacing w:line="400" w:lineRule="exact"/>
        <w:ind w:firstLine="422" w:firstLineChars="200"/>
        <w:rPr>
          <w:rFonts w:ascii="宋体" w:hAnsi="宋体"/>
          <w:b/>
          <w:bCs/>
          <w:highlight w:val="none"/>
        </w:rPr>
      </w:pPr>
      <w:r>
        <w:rPr>
          <w:b/>
          <w:bCs/>
          <w:highlight w:val="none"/>
        </w:rPr>
        <w:t>2</w:t>
      </w:r>
      <w:r>
        <w:rPr>
          <w:rFonts w:ascii="宋体" w:hAnsi="宋体"/>
          <w:b/>
          <w:bCs/>
          <w:highlight w:val="none"/>
        </w:rPr>
        <w:t>.</w:t>
      </w:r>
      <w:r>
        <w:rPr>
          <w:b/>
          <w:bCs/>
          <w:highlight w:val="none"/>
        </w:rPr>
        <w:t>3</w:t>
      </w:r>
      <w:r>
        <w:rPr>
          <w:rFonts w:ascii="宋体" w:hAnsi="宋体"/>
          <w:b/>
          <w:bCs/>
          <w:highlight w:val="none"/>
        </w:rPr>
        <w:t xml:space="preserve"> </w:t>
      </w:r>
      <w:r>
        <w:rPr>
          <w:rFonts w:ascii="宋体" w:hAnsi="宋体"/>
          <w:highlight w:val="none"/>
        </w:rPr>
        <w:t>入围供应商</w:t>
      </w:r>
      <w:r>
        <w:rPr>
          <w:rFonts w:ascii="宋体" w:hAnsi="宋体"/>
          <w:szCs w:val="21"/>
          <w:highlight w:val="none"/>
        </w:rPr>
        <w:t>数</w:t>
      </w:r>
      <w:r>
        <w:rPr>
          <w:rFonts w:ascii="宋体" w:hAnsi="宋体"/>
          <w:highlight w:val="none"/>
        </w:rPr>
        <w:t>量：</w:t>
      </w:r>
      <w:r>
        <w:rPr>
          <w:rFonts w:hint="eastAsia" w:ascii="宋体" w:hAnsi="宋体"/>
          <w:highlight w:val="none"/>
          <w:lang w:val="en-US" w:eastAsia="zh-CN"/>
        </w:rPr>
        <w:t>1</w:t>
      </w:r>
      <w:r>
        <w:rPr>
          <w:rFonts w:hint="eastAsia" w:ascii="宋体" w:hAnsi="宋体"/>
          <w:highlight w:val="none"/>
          <w:u w:val="single"/>
          <w:lang w:val="en-US" w:eastAsia="zh-CN"/>
        </w:rPr>
        <w:t>-5</w:t>
      </w:r>
      <w:r>
        <w:rPr>
          <w:rFonts w:hint="eastAsia" w:ascii="宋体" w:hAnsi="宋体"/>
          <w:highlight w:val="none"/>
        </w:rPr>
        <w:t>家</w:t>
      </w:r>
      <w:r>
        <w:rPr>
          <w:rFonts w:ascii="宋体" w:hAnsi="宋体"/>
          <w:highlight w:val="none"/>
        </w:rPr>
        <w:t>。</w:t>
      </w:r>
    </w:p>
    <w:p w14:paraId="5B74D697">
      <w:pPr>
        <w:spacing w:line="400" w:lineRule="exact"/>
        <w:ind w:firstLine="422" w:firstLineChars="200"/>
        <w:rPr>
          <w:rFonts w:hint="eastAsia" w:ascii="宋体" w:hAnsi="宋体" w:eastAsia="宋体"/>
          <w:highlight w:val="none"/>
          <w:lang w:eastAsia="zh-CN"/>
        </w:rPr>
      </w:pPr>
      <w:r>
        <w:rPr>
          <w:b/>
          <w:bCs/>
          <w:highlight w:val="none"/>
        </w:rPr>
        <w:t>2</w:t>
      </w:r>
      <w:r>
        <w:rPr>
          <w:rFonts w:ascii="宋体" w:hAnsi="宋体"/>
          <w:b/>
          <w:bCs/>
          <w:highlight w:val="none"/>
        </w:rPr>
        <w:t>.</w:t>
      </w:r>
      <w:r>
        <w:rPr>
          <w:b/>
          <w:bCs/>
          <w:highlight w:val="none"/>
        </w:rPr>
        <w:t>4</w:t>
      </w:r>
      <w:r>
        <w:rPr>
          <w:rFonts w:ascii="宋体" w:hAnsi="宋体"/>
          <w:highlight w:val="none"/>
        </w:rPr>
        <w:t xml:space="preserve"> </w:t>
      </w:r>
      <w:r>
        <w:rPr>
          <w:rFonts w:hint="eastAsia"/>
          <w:highlight w:val="none"/>
          <w:lang w:val="en-US" w:eastAsia="zh-CN"/>
        </w:rPr>
        <w:t>服务</w:t>
      </w:r>
      <w:r>
        <w:rPr>
          <w:rFonts w:hint="eastAsia"/>
          <w:highlight w:val="none"/>
        </w:rPr>
        <w:t>期限</w:t>
      </w:r>
      <w:r>
        <w:rPr>
          <w:rFonts w:ascii="宋体" w:hAnsi="宋体"/>
          <w:highlight w:val="none"/>
        </w:rPr>
        <w:t>：</w:t>
      </w:r>
      <w:r>
        <w:rPr>
          <w:rFonts w:hint="eastAsia" w:ascii="宋体" w:hAnsi="宋体"/>
          <w:highlight w:val="none"/>
          <w:u w:val="single"/>
          <w:lang w:eastAsia="zh-CN"/>
        </w:rPr>
        <w:t>自合同签订之日至2027年12月31日。</w:t>
      </w:r>
    </w:p>
    <w:p w14:paraId="47D77A1E">
      <w:pPr>
        <w:spacing w:line="400" w:lineRule="exact"/>
        <w:ind w:firstLine="422" w:firstLineChars="200"/>
        <w:rPr>
          <w:rFonts w:ascii="宋体" w:hAnsi="宋体"/>
        </w:rPr>
      </w:pPr>
      <w:r>
        <w:rPr>
          <w:b/>
          <w:bCs/>
        </w:rPr>
        <w:t>2</w:t>
      </w:r>
      <w:r>
        <w:rPr>
          <w:rFonts w:ascii="宋体" w:hAnsi="宋体"/>
          <w:b/>
          <w:bCs/>
        </w:rPr>
        <w:t>.</w:t>
      </w:r>
      <w:r>
        <w:rPr>
          <w:b/>
          <w:bCs/>
        </w:rPr>
        <w:t>5</w:t>
      </w:r>
      <w:r>
        <w:rPr>
          <w:rFonts w:ascii="宋体" w:hAnsi="宋体"/>
        </w:rPr>
        <w:t xml:space="preserve"> </w:t>
      </w:r>
      <w:r>
        <w:rPr>
          <w:rFonts w:hint="eastAsia" w:ascii="宋体" w:hAnsi="宋体"/>
          <w:lang w:val="en-US" w:eastAsia="zh-CN"/>
        </w:rPr>
        <w:t>服务</w:t>
      </w:r>
      <w:r>
        <w:rPr>
          <w:rFonts w:hint="eastAsia" w:ascii="宋体" w:hAnsi="宋体"/>
        </w:rPr>
        <w:t>地点</w:t>
      </w:r>
      <w:r>
        <w:rPr>
          <w:rFonts w:ascii="宋体" w:hAnsi="宋体"/>
        </w:rPr>
        <w:t>：</w:t>
      </w:r>
      <w:r>
        <w:rPr>
          <w:rFonts w:hint="eastAsia"/>
          <w:u w:val="single"/>
        </w:rPr>
        <w:t>采购人指定地点</w:t>
      </w:r>
      <w:r>
        <w:rPr>
          <w:rFonts w:ascii="宋体" w:hAnsi="宋体"/>
        </w:rPr>
        <w:t>。</w:t>
      </w:r>
    </w:p>
    <w:p w14:paraId="35551C5A">
      <w:pPr>
        <w:spacing w:line="400" w:lineRule="exact"/>
        <w:ind w:firstLine="422" w:firstLineChars="200"/>
        <w:rPr>
          <w:rFonts w:ascii="宋体" w:hAnsi="宋体"/>
        </w:rPr>
      </w:pPr>
      <w:r>
        <w:rPr>
          <w:b/>
          <w:bCs/>
        </w:rPr>
        <w:t>2</w:t>
      </w:r>
      <w:r>
        <w:rPr>
          <w:rFonts w:ascii="宋体" w:hAnsi="宋体"/>
          <w:b/>
          <w:bCs/>
        </w:rPr>
        <w:t>.</w:t>
      </w:r>
      <w:r>
        <w:rPr>
          <w:b/>
          <w:bCs/>
        </w:rPr>
        <w:t>6</w:t>
      </w:r>
      <w:r>
        <w:rPr>
          <w:rFonts w:hint="eastAsia"/>
          <w:b/>
          <w:bCs/>
        </w:rPr>
        <w:t xml:space="preserve"> </w:t>
      </w:r>
      <w:r>
        <w:rPr>
          <w:rFonts w:hint="eastAsia"/>
          <w:lang w:val="en-US" w:eastAsia="zh-CN"/>
        </w:rPr>
        <w:t>服务</w:t>
      </w:r>
      <w:r>
        <w:rPr>
          <w:rFonts w:hint="eastAsia"/>
        </w:rPr>
        <w:t>标准</w:t>
      </w:r>
      <w:r>
        <w:rPr>
          <w:rFonts w:ascii="宋体" w:hAnsi="宋体"/>
        </w:rPr>
        <w:t>：</w:t>
      </w:r>
      <w:r>
        <w:rPr>
          <w:rFonts w:hint="eastAsia"/>
          <w:u w:val="single"/>
        </w:rPr>
        <w:t>合格</w:t>
      </w:r>
      <w:r>
        <w:rPr>
          <w:rFonts w:hint="eastAsia"/>
          <w:u w:val="single"/>
          <w:lang w:eastAsia="zh-CN"/>
        </w:rPr>
        <w:t>；</w:t>
      </w:r>
      <w:r>
        <w:rPr>
          <w:rFonts w:hint="eastAsia"/>
          <w:u w:val="single"/>
          <w:lang w:val="en-US" w:eastAsia="zh-CN"/>
        </w:rPr>
        <w:t>满足采购人要求</w:t>
      </w:r>
      <w:r>
        <w:rPr>
          <w:rFonts w:ascii="宋体" w:hAnsi="宋体"/>
        </w:rPr>
        <w:t>。</w:t>
      </w:r>
    </w:p>
    <w:p w14:paraId="03BB96A8">
      <w:pPr>
        <w:widowControl/>
        <w:spacing w:before="260" w:after="260"/>
        <w:outlineLvl w:val="1"/>
        <w:rPr>
          <w:rFonts w:eastAsia="黑体"/>
          <w:b/>
          <w:spacing w:val="1"/>
          <w:kern w:val="0"/>
          <w:sz w:val="28"/>
          <w:szCs w:val="28"/>
        </w:rPr>
      </w:pPr>
      <w:bookmarkStart w:id="54" w:name="_Toc118805831"/>
      <w:bookmarkStart w:id="55" w:name="_Toc118806202"/>
      <w:bookmarkStart w:id="56" w:name="_Toc1169"/>
      <w:bookmarkStart w:id="57" w:name="_Toc1988"/>
      <w:bookmarkStart w:id="58" w:name="_Toc77"/>
      <w:bookmarkStart w:id="59" w:name="_Toc118805077"/>
      <w:bookmarkStart w:id="60" w:name="_Toc7070"/>
      <w:bookmarkStart w:id="61" w:name="_Toc149140168"/>
      <w:bookmarkStart w:id="62" w:name="_Toc17603_WPSOffice_Level3"/>
      <w:bookmarkStart w:id="63" w:name="_Toc31415"/>
      <w:bookmarkStart w:id="64" w:name="_Toc118805454"/>
      <w:bookmarkStart w:id="65" w:name="_Toc118806942"/>
      <w:bookmarkStart w:id="66" w:name="_Toc8523"/>
      <w:r>
        <w:rPr>
          <w:rFonts w:eastAsia="黑体"/>
          <w:b/>
          <w:spacing w:val="1"/>
          <w:kern w:val="0"/>
          <w:sz w:val="28"/>
          <w:szCs w:val="28"/>
        </w:rPr>
        <w:t>3. 供应商资格要求</w:t>
      </w:r>
      <w:bookmarkEnd w:id="54"/>
      <w:bookmarkEnd w:id="55"/>
      <w:bookmarkEnd w:id="56"/>
      <w:bookmarkEnd w:id="57"/>
      <w:bookmarkEnd w:id="58"/>
      <w:bookmarkEnd w:id="59"/>
      <w:bookmarkEnd w:id="60"/>
      <w:bookmarkEnd w:id="61"/>
      <w:bookmarkEnd w:id="62"/>
      <w:bookmarkEnd w:id="63"/>
      <w:bookmarkEnd w:id="64"/>
      <w:bookmarkEnd w:id="65"/>
      <w:bookmarkEnd w:id="66"/>
    </w:p>
    <w:p w14:paraId="32573CE1">
      <w:pPr>
        <w:spacing w:line="400" w:lineRule="exact"/>
        <w:ind w:firstLine="422" w:firstLineChars="200"/>
        <w:rPr>
          <w:rFonts w:ascii="宋体" w:hAnsi="宋体"/>
        </w:rPr>
      </w:pPr>
      <w:bookmarkStart w:id="67" w:name="_Hlk138877132"/>
      <w:r>
        <w:rPr>
          <w:b/>
          <w:bCs/>
        </w:rPr>
        <w:t>3</w:t>
      </w:r>
      <w:r>
        <w:rPr>
          <w:rFonts w:ascii="宋体" w:hAnsi="宋体"/>
          <w:b/>
          <w:bCs/>
        </w:rPr>
        <w:t>.</w:t>
      </w:r>
      <w:r>
        <w:rPr>
          <w:b/>
          <w:bCs/>
        </w:rPr>
        <w:t>1</w:t>
      </w:r>
      <w:r>
        <w:rPr>
          <w:rFonts w:ascii="宋体" w:hAnsi="宋体"/>
          <w:b/>
          <w:bCs/>
        </w:rPr>
        <w:t xml:space="preserve"> </w:t>
      </w:r>
      <w:r>
        <w:rPr>
          <w:rFonts w:ascii="宋体" w:hAnsi="宋体"/>
        </w:rPr>
        <w:t>供应商应依法设立且满足如下要求：</w:t>
      </w:r>
    </w:p>
    <w:p w14:paraId="77BE0173">
      <w:pPr>
        <w:spacing w:line="400" w:lineRule="exact"/>
        <w:ind w:firstLine="420" w:firstLineChars="200"/>
        <w:rPr>
          <w:rFonts w:hint="eastAsia" w:ascii="宋体" w:hAnsi="宋体" w:eastAsia="宋体" w:cs="Times New Roman"/>
          <w:sz w:val="21"/>
          <w:highlight w:val="none"/>
          <w:u w:val="single"/>
        </w:rPr>
      </w:pPr>
      <w:r>
        <w:rPr>
          <w:rFonts w:ascii="宋体" w:hAnsi="宋体"/>
          <w:highlight w:val="none"/>
        </w:rPr>
        <w:t>（</w:t>
      </w:r>
      <w:r>
        <w:rPr>
          <w:highlight w:val="none"/>
        </w:rPr>
        <w:t>1</w:t>
      </w:r>
      <w:r>
        <w:rPr>
          <w:rFonts w:ascii="宋体" w:hAnsi="宋体"/>
          <w:highlight w:val="none"/>
        </w:rPr>
        <w:t>）资质要求：</w:t>
      </w:r>
      <w:r>
        <w:rPr>
          <w:rFonts w:hint="eastAsia" w:ascii="宋体" w:hAnsi="宋体"/>
          <w:highlight w:val="none"/>
          <w:u w:val="single"/>
        </w:rPr>
        <w:t>服务商应具有独立企业法人资格，持有有效的企业营业执照，具有有效的道路运输许可证，运输车辆必须具备道路运输证，且保险手续齐全，驾驶人员须具有符合所驾驶车型的驾驶证和道路运输从业资格证。</w:t>
      </w:r>
    </w:p>
    <w:p w14:paraId="3FF4CDE7">
      <w:pPr>
        <w:spacing w:line="40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）业绩要求：</w:t>
      </w:r>
      <w:r>
        <w:rPr>
          <w:rFonts w:hint="eastAsia" w:ascii="宋体" w:hAnsi="宋体" w:eastAsia="宋体" w:cs="宋体"/>
          <w:sz w:val="21"/>
          <w:highlight w:val="none"/>
          <w:u w:val="single"/>
        </w:rPr>
        <w:t>近三年（202</w:t>
      </w:r>
      <w:r>
        <w:rPr>
          <w:rFonts w:hint="eastAsia" w:ascii="宋体" w:hAnsi="宋体" w:eastAsia="宋体" w:cs="宋体"/>
          <w:sz w:val="21"/>
          <w:highlight w:val="none"/>
          <w:u w:val="single"/>
          <w:lang w:val="en-US" w:eastAsia="zh-CN"/>
        </w:rPr>
        <w:t>2</w:t>
      </w:r>
      <w:r>
        <w:rPr>
          <w:rFonts w:hint="eastAsia" w:ascii="宋体" w:hAnsi="宋体" w:eastAsia="宋体" w:cs="宋体"/>
          <w:sz w:val="21"/>
          <w:highlight w:val="none"/>
          <w:u w:val="single"/>
        </w:rPr>
        <w:t>年</w:t>
      </w:r>
      <w:r>
        <w:rPr>
          <w:rFonts w:hint="eastAsia" w:ascii="宋体" w:hAnsi="宋体" w:eastAsia="宋体" w:cs="宋体"/>
          <w:sz w:val="21"/>
          <w:highlight w:val="none"/>
          <w:u w:val="single"/>
          <w:lang w:val="en-US" w:eastAsia="zh-CN"/>
        </w:rPr>
        <w:t>1</w:t>
      </w:r>
      <w:r>
        <w:rPr>
          <w:rFonts w:hint="eastAsia" w:ascii="宋体" w:hAnsi="宋体" w:cs="宋体"/>
          <w:sz w:val="21"/>
          <w:highlight w:val="none"/>
          <w:u w:val="single"/>
          <w:lang w:val="en-US" w:eastAsia="zh-CN"/>
        </w:rPr>
        <w:t>2</w:t>
      </w:r>
      <w:r>
        <w:rPr>
          <w:rFonts w:hint="eastAsia" w:ascii="宋体" w:hAnsi="宋体" w:eastAsia="宋体" w:cs="宋体"/>
          <w:sz w:val="21"/>
          <w:highlight w:val="none"/>
          <w:u w:val="single"/>
        </w:rPr>
        <w:t>月1日至今，以合同签订时间为准）至少</w:t>
      </w:r>
      <w:r>
        <w:rPr>
          <w:rFonts w:hint="eastAsia" w:ascii="宋体" w:hAnsi="宋体" w:eastAsia="宋体" w:cs="宋体"/>
          <w:sz w:val="21"/>
          <w:highlight w:val="none"/>
          <w:u w:val="single"/>
          <w:lang w:val="en-US" w:eastAsia="zh-CN"/>
        </w:rPr>
        <w:t>具有</w:t>
      </w:r>
      <w:r>
        <w:rPr>
          <w:rFonts w:hint="eastAsia" w:ascii="宋体" w:hAnsi="宋体" w:cs="宋体"/>
          <w:sz w:val="21"/>
          <w:highlight w:val="none"/>
          <w:u w:val="single"/>
          <w:lang w:val="en-US" w:eastAsia="zh-CN"/>
        </w:rPr>
        <w:t>一</w:t>
      </w:r>
      <w:r>
        <w:rPr>
          <w:rFonts w:hint="eastAsia" w:ascii="宋体" w:hAnsi="宋体" w:eastAsia="宋体" w:cs="宋体"/>
          <w:sz w:val="21"/>
          <w:highlight w:val="none"/>
          <w:u w:val="single"/>
          <w:lang w:val="en-US" w:eastAsia="zh-CN"/>
        </w:rPr>
        <w:t>项建材产品运输业绩</w:t>
      </w:r>
    </w:p>
    <w:p w14:paraId="581DB868">
      <w:pPr>
        <w:spacing w:line="400" w:lineRule="exact"/>
        <w:ind w:firstLine="420" w:firstLineChars="200"/>
        <w:rPr>
          <w:rFonts w:hint="eastAsia" w:ascii="宋体" w:hAnsi="宋体" w:eastAsia="宋体" w:cs="宋体"/>
          <w:highlight w:val="none"/>
          <w:u w:val="single"/>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）信誉要求：</w:t>
      </w:r>
      <w:r>
        <w:rPr>
          <w:rFonts w:hint="eastAsia" w:ascii="宋体" w:hAnsi="宋体" w:eastAsia="宋体" w:cs="宋体"/>
          <w:highlight w:val="none"/>
          <w:u w:val="single"/>
        </w:rPr>
        <w:t>近三年（自</w:t>
      </w:r>
      <w:r>
        <w:rPr>
          <w:rFonts w:hint="eastAsia" w:ascii="宋体" w:hAnsi="宋体" w:eastAsia="宋体" w:cs="宋体"/>
          <w:highlight w:val="none"/>
          <w:u w:val="single"/>
          <w:lang w:eastAsia="zh-CN"/>
        </w:rPr>
        <w:t>2022年</w:t>
      </w:r>
      <w:r>
        <w:rPr>
          <w:rFonts w:hint="eastAsia" w:ascii="宋体" w:hAnsi="宋体" w:eastAsia="宋体" w:cs="宋体"/>
          <w:highlight w:val="none"/>
          <w:u w:val="single"/>
          <w:lang w:val="en-US" w:eastAsia="zh-CN"/>
        </w:rPr>
        <w:t>1</w:t>
      </w:r>
      <w:r>
        <w:rPr>
          <w:rFonts w:hint="eastAsia" w:ascii="宋体" w:hAnsi="宋体" w:cs="宋体"/>
          <w:highlight w:val="none"/>
          <w:u w:val="single"/>
          <w:lang w:val="en-US" w:eastAsia="zh-CN"/>
        </w:rPr>
        <w:t>2</w:t>
      </w:r>
      <w:r>
        <w:rPr>
          <w:rFonts w:hint="eastAsia" w:ascii="宋体" w:hAnsi="宋体" w:eastAsia="宋体" w:cs="宋体"/>
          <w:highlight w:val="none"/>
          <w:u w:val="single"/>
          <w:lang w:val="en-US" w:eastAsia="zh-CN"/>
        </w:rPr>
        <w:t>月</w:t>
      </w:r>
      <w:r>
        <w:rPr>
          <w:rFonts w:hint="eastAsia" w:ascii="宋体" w:hAnsi="宋体" w:eastAsia="宋体" w:cs="宋体"/>
          <w:highlight w:val="none"/>
          <w:u w:val="single"/>
        </w:rPr>
        <w:t>1日起至今）没有在国家企业信用信息公示系统（http://www.gsxt.gov.cn/）中被列入严重违法失信企业名单、在“信用中国”网站（http://www.creditchina.gov.cn/）中被列入失信被执行人名单、企业经营异常名录、税收违法黑名单。</w:t>
      </w:r>
    </w:p>
    <w:p w14:paraId="0719443E">
      <w:pPr>
        <w:spacing w:line="40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highlight w:val="none"/>
          <w:u w:val="single"/>
        </w:rPr>
        <w:t>近三年（自</w:t>
      </w:r>
      <w:r>
        <w:rPr>
          <w:rFonts w:hint="eastAsia" w:ascii="宋体" w:hAnsi="宋体" w:eastAsia="宋体" w:cs="宋体"/>
          <w:highlight w:val="none"/>
          <w:u w:val="single"/>
          <w:lang w:eastAsia="zh-CN"/>
        </w:rPr>
        <w:t>2022年</w:t>
      </w:r>
      <w:r>
        <w:rPr>
          <w:rFonts w:hint="eastAsia" w:ascii="宋体" w:hAnsi="宋体" w:eastAsia="宋体" w:cs="宋体"/>
          <w:highlight w:val="none"/>
          <w:u w:val="single"/>
          <w:lang w:val="en-US" w:eastAsia="zh-CN"/>
        </w:rPr>
        <w:t>1</w:t>
      </w:r>
      <w:r>
        <w:rPr>
          <w:rFonts w:hint="eastAsia" w:ascii="宋体" w:hAnsi="宋体" w:cs="宋体"/>
          <w:highlight w:val="none"/>
          <w:u w:val="single"/>
          <w:lang w:val="en-US" w:eastAsia="zh-CN"/>
        </w:rPr>
        <w:t>2</w:t>
      </w:r>
      <w:r>
        <w:rPr>
          <w:rFonts w:hint="eastAsia" w:ascii="宋体" w:hAnsi="宋体" w:eastAsia="宋体" w:cs="宋体"/>
          <w:highlight w:val="none"/>
          <w:u w:val="single"/>
          <w:lang w:val="en-US" w:eastAsia="zh-CN"/>
        </w:rPr>
        <w:t>月</w:t>
      </w:r>
      <w:r>
        <w:rPr>
          <w:rFonts w:hint="eastAsia" w:ascii="宋体" w:hAnsi="宋体" w:eastAsia="宋体" w:cs="宋体"/>
          <w:highlight w:val="none"/>
          <w:u w:val="single"/>
        </w:rPr>
        <w:t>1日起至今）没有发生合同诈</w:t>
      </w:r>
      <w:r>
        <w:rPr>
          <w:rFonts w:hint="eastAsia"/>
          <w:highlight w:val="none"/>
          <w:u w:val="single"/>
        </w:rPr>
        <w:t>骗案例、无严重违约等不良记录，没有处于财产被接管、冻</w:t>
      </w:r>
      <w:r>
        <w:rPr>
          <w:rFonts w:hint="eastAsia" w:ascii="宋体" w:hAnsi="宋体" w:eastAsia="宋体" w:cs="宋体"/>
          <w:highlight w:val="none"/>
          <w:u w:val="single"/>
        </w:rPr>
        <w:t>结、破产状态。供应商过去1年（</w:t>
      </w:r>
      <w:r>
        <w:rPr>
          <w:rFonts w:hint="eastAsia" w:ascii="宋体" w:hAnsi="宋体" w:eastAsia="宋体" w:cs="宋体"/>
          <w:highlight w:val="none"/>
          <w:u w:val="single"/>
          <w:lang w:eastAsia="zh-CN"/>
        </w:rPr>
        <w:t>2024年</w:t>
      </w:r>
      <w:r>
        <w:rPr>
          <w:rFonts w:hint="eastAsia" w:ascii="宋体" w:hAnsi="宋体" w:eastAsia="宋体" w:cs="宋体"/>
          <w:highlight w:val="none"/>
          <w:u w:val="single"/>
          <w:lang w:val="en-US" w:eastAsia="zh-CN"/>
        </w:rPr>
        <w:t>1</w:t>
      </w:r>
      <w:r>
        <w:rPr>
          <w:rFonts w:hint="eastAsia" w:ascii="宋体" w:hAnsi="宋体" w:cs="宋体"/>
          <w:highlight w:val="none"/>
          <w:u w:val="single"/>
          <w:lang w:val="en-US" w:eastAsia="zh-CN"/>
        </w:rPr>
        <w:t>2</w:t>
      </w:r>
      <w:r>
        <w:rPr>
          <w:rFonts w:hint="eastAsia" w:ascii="宋体" w:hAnsi="宋体" w:eastAsia="宋体" w:cs="宋体"/>
          <w:highlight w:val="none"/>
          <w:u w:val="single"/>
          <w:lang w:val="en-US" w:eastAsia="zh-CN"/>
        </w:rPr>
        <w:t>月</w:t>
      </w:r>
      <w:r>
        <w:rPr>
          <w:rFonts w:hint="eastAsia" w:ascii="宋体" w:hAnsi="宋体" w:eastAsia="宋体" w:cs="宋体"/>
          <w:highlight w:val="none"/>
          <w:u w:val="single"/>
        </w:rPr>
        <w:t>1日至今）中不曾因违约而被驱逐或因供应商自身的原因而使合同被解除。</w:t>
      </w:r>
    </w:p>
    <w:p w14:paraId="2A9102A6">
      <w:pPr>
        <w:numPr>
          <w:ilvl w:val="0"/>
          <w:numId w:val="0"/>
        </w:numPr>
        <w:spacing w:line="400" w:lineRule="exact"/>
        <w:ind w:firstLine="420" w:firstLineChars="200"/>
        <w:rPr>
          <w:rFonts w:ascii="宋体" w:hAnsi="宋体" w:eastAsia="宋体" w:cs="Times New Roman"/>
          <w:kern w:val="2"/>
          <w:sz w:val="21"/>
          <w:szCs w:val="24"/>
          <w:lang w:val="en-US" w:eastAsia="zh-CN" w:bidi="ar-SA"/>
        </w:rPr>
      </w:pPr>
      <w:r>
        <w:rPr>
          <w:rFonts w:ascii="宋体" w:hAnsi="宋体" w:eastAsia="宋体" w:cs="Times New Roman"/>
          <w:kern w:val="2"/>
          <w:sz w:val="21"/>
          <w:szCs w:val="24"/>
          <w:lang w:val="en-US" w:eastAsia="zh-CN" w:bidi="ar-SA"/>
        </w:rPr>
        <w:t>（4）</w:t>
      </w:r>
      <w:r>
        <w:rPr>
          <w:rFonts w:hint="eastAsia" w:ascii="宋体" w:hAnsi="宋体" w:eastAsia="宋体" w:cs="Times New Roman"/>
          <w:kern w:val="2"/>
          <w:sz w:val="21"/>
          <w:szCs w:val="24"/>
          <w:lang w:val="en-US" w:eastAsia="zh-CN" w:bidi="ar-SA"/>
        </w:rPr>
        <w:t>人员要求</w:t>
      </w:r>
      <w:r>
        <w:rPr>
          <w:rFonts w:hint="eastAsia" w:ascii="宋体" w:hAnsi="宋体" w:cs="Times New Roman"/>
          <w:kern w:val="2"/>
          <w:sz w:val="21"/>
          <w:szCs w:val="24"/>
          <w:lang w:val="en-US" w:eastAsia="zh-CN" w:bidi="ar-SA"/>
        </w:rPr>
        <w:t>：</w:t>
      </w:r>
      <w:r>
        <w:rPr>
          <w:rFonts w:hint="eastAsia" w:ascii="宋体" w:hAnsi="宋体"/>
          <w:highlight w:val="none"/>
          <w:u w:val="single"/>
        </w:rPr>
        <w:t>服务商需设置专业管理人员（车辆管理、调度管理、安全管理、交通协调人员），24小时配合采购方日常生产调度工作。服务商的驾驶员和专业管理人员须遵守采购方的各项规章制度，配合采购方管理人员的工作调度。</w:t>
      </w:r>
    </w:p>
    <w:p w14:paraId="132D649B">
      <w:pPr>
        <w:numPr>
          <w:ilvl w:val="0"/>
          <w:numId w:val="0"/>
        </w:numPr>
        <w:spacing w:line="400" w:lineRule="exact"/>
        <w:ind w:firstLine="420" w:firstLineChars="200"/>
        <w:rPr>
          <w:rFonts w:ascii="宋体" w:hAnsi="宋体"/>
          <w:highlight w:val="none"/>
        </w:rPr>
      </w:pPr>
      <w:r>
        <w:rPr>
          <w:rFonts w:ascii="宋体" w:hAnsi="宋体" w:eastAsia="宋体" w:cs="Times New Roman"/>
          <w:kern w:val="2"/>
          <w:sz w:val="21"/>
          <w:szCs w:val="24"/>
          <w:lang w:val="en-US" w:eastAsia="zh-CN" w:bidi="ar-SA"/>
        </w:rPr>
        <w:t>（</w:t>
      </w:r>
      <w:r>
        <w:rPr>
          <w:rFonts w:hint="eastAsia" w:ascii="宋体" w:hAnsi="宋体" w:cs="Times New Roman"/>
          <w:kern w:val="2"/>
          <w:sz w:val="21"/>
          <w:szCs w:val="24"/>
          <w:lang w:val="en-US" w:eastAsia="zh-CN" w:bidi="ar-SA"/>
        </w:rPr>
        <w:t>5</w:t>
      </w:r>
      <w:r>
        <w:rPr>
          <w:rFonts w:ascii="宋体" w:hAnsi="宋体" w:eastAsia="宋体" w:cs="Times New Roman"/>
          <w:kern w:val="2"/>
          <w:sz w:val="21"/>
          <w:szCs w:val="24"/>
          <w:lang w:val="en-US" w:eastAsia="zh-CN" w:bidi="ar-SA"/>
        </w:rPr>
        <w:t>）</w:t>
      </w:r>
      <w:r>
        <w:rPr>
          <w:rFonts w:ascii="宋体" w:hAnsi="宋体"/>
          <w:highlight w:val="none"/>
        </w:rPr>
        <w:t>其他要求：</w:t>
      </w:r>
      <w:bookmarkEnd w:id="67"/>
      <w:bookmarkStart w:id="68" w:name="_Hlk138877146"/>
    </w:p>
    <w:p w14:paraId="6D5ACC94">
      <w:pPr>
        <w:numPr>
          <w:ilvl w:val="0"/>
          <w:numId w:val="0"/>
        </w:numPr>
        <w:spacing w:line="400" w:lineRule="exact"/>
        <w:ind w:firstLine="420" w:firstLineChars="200"/>
        <w:rPr>
          <w:rFonts w:hint="eastAsia" w:ascii="宋体" w:hAnsi="宋体"/>
          <w:highlight w:val="none"/>
          <w:u w:val="single"/>
        </w:rPr>
      </w:pPr>
      <w:r>
        <w:rPr>
          <w:rFonts w:hint="eastAsia" w:ascii="宋体" w:hAnsi="宋体"/>
          <w:highlight w:val="none"/>
          <w:u w:val="single"/>
        </w:rPr>
        <w:t>车辆要求：日常配备至少3辆可24小时运转的荷载能力不低于30吨的低平板半挂货车或栏板式载货车。</w:t>
      </w:r>
    </w:p>
    <w:p w14:paraId="09465F29">
      <w:pPr>
        <w:numPr>
          <w:ilvl w:val="0"/>
          <w:numId w:val="0"/>
        </w:numPr>
        <w:spacing w:line="400" w:lineRule="exact"/>
        <w:ind w:firstLine="422" w:firstLineChars="200"/>
        <w:rPr>
          <w:rFonts w:ascii="宋体" w:hAnsi="宋体"/>
          <w:szCs w:val="21"/>
          <w:highlight w:val="none"/>
        </w:rPr>
      </w:pPr>
      <w:r>
        <w:rPr>
          <w:b/>
          <w:bCs/>
          <w:szCs w:val="21"/>
          <w:highlight w:val="none"/>
        </w:rPr>
        <w:t>3</w:t>
      </w:r>
      <w:r>
        <w:rPr>
          <w:rFonts w:ascii="宋体" w:hAnsi="宋体"/>
          <w:b/>
          <w:bCs/>
          <w:szCs w:val="21"/>
          <w:highlight w:val="none"/>
        </w:rPr>
        <w:t>.</w:t>
      </w:r>
      <w:r>
        <w:rPr>
          <w:b/>
          <w:bCs/>
          <w:szCs w:val="21"/>
          <w:highlight w:val="none"/>
        </w:rPr>
        <w:t>2</w:t>
      </w:r>
      <w:r>
        <w:rPr>
          <w:rFonts w:ascii="宋体" w:hAnsi="宋体"/>
          <w:b/>
          <w:bCs/>
          <w:szCs w:val="21"/>
          <w:highlight w:val="none"/>
        </w:rPr>
        <w:t xml:space="preserve"> </w:t>
      </w:r>
      <w:r>
        <w:rPr>
          <w:rFonts w:ascii="宋体" w:hAnsi="宋体"/>
          <w:szCs w:val="21"/>
          <w:highlight w:val="none"/>
        </w:rPr>
        <w:t>供应商不得存在下列情形之一：</w:t>
      </w:r>
    </w:p>
    <w:p w14:paraId="10727E66">
      <w:pPr>
        <w:spacing w:line="400" w:lineRule="exact"/>
        <w:ind w:firstLine="424"/>
        <w:rPr>
          <w:rFonts w:ascii="宋体" w:hAnsi="宋体"/>
          <w:spacing w:val="1"/>
          <w:szCs w:val="21"/>
        </w:rPr>
      </w:pPr>
      <w:bookmarkStart w:id="69" w:name="_Hlk138872522"/>
      <w:bookmarkStart w:id="70" w:name="_Hlk139377979"/>
      <w:bookmarkStart w:id="71" w:name="_Hlk139376623"/>
      <w:r>
        <w:rPr>
          <w:rFonts w:ascii="宋体" w:hAnsi="宋体"/>
          <w:spacing w:val="1"/>
          <w:szCs w:val="21"/>
          <w:highlight w:val="none"/>
        </w:rPr>
        <w:t>（</w:t>
      </w:r>
      <w:r>
        <w:rPr>
          <w:spacing w:val="1"/>
          <w:szCs w:val="21"/>
          <w:highlight w:val="none"/>
        </w:rPr>
        <w:t>1</w:t>
      </w:r>
      <w:r>
        <w:rPr>
          <w:rFonts w:ascii="宋体" w:hAnsi="宋体"/>
          <w:spacing w:val="1"/>
          <w:szCs w:val="21"/>
          <w:highlight w:val="none"/>
        </w:rPr>
        <w:t>）为采购人不具有独立法人资格</w:t>
      </w:r>
      <w:r>
        <w:rPr>
          <w:rFonts w:ascii="宋体" w:hAnsi="宋体"/>
          <w:spacing w:val="1"/>
          <w:szCs w:val="21"/>
        </w:rPr>
        <w:t>的附属机构（单位）；</w:t>
      </w:r>
    </w:p>
    <w:p w14:paraId="19D9AD64">
      <w:pPr>
        <w:spacing w:line="400" w:lineRule="exact"/>
        <w:ind w:firstLine="424"/>
        <w:rPr>
          <w:rFonts w:ascii="宋体" w:hAnsi="宋体"/>
          <w:spacing w:val="1"/>
          <w:szCs w:val="21"/>
        </w:rPr>
      </w:pPr>
      <w:r>
        <w:rPr>
          <w:rFonts w:ascii="宋体" w:hAnsi="宋体"/>
          <w:spacing w:val="1"/>
          <w:szCs w:val="21"/>
        </w:rPr>
        <w:t>（</w:t>
      </w:r>
      <w:r>
        <w:rPr>
          <w:spacing w:val="1"/>
          <w:szCs w:val="21"/>
        </w:rPr>
        <w:t>2</w:t>
      </w:r>
      <w:r>
        <w:rPr>
          <w:rFonts w:ascii="宋体" w:hAnsi="宋体"/>
          <w:spacing w:val="1"/>
          <w:szCs w:val="21"/>
        </w:rPr>
        <w:t>）与</w:t>
      </w:r>
      <w:r>
        <w:rPr>
          <w:rFonts w:ascii="宋体" w:hAnsi="宋体"/>
        </w:rPr>
        <w:t>采购</w:t>
      </w:r>
      <w:r>
        <w:rPr>
          <w:rFonts w:ascii="宋体" w:hAnsi="宋体"/>
          <w:spacing w:val="1"/>
          <w:szCs w:val="21"/>
        </w:rPr>
        <w:t>人</w:t>
      </w:r>
      <w:r>
        <w:rPr>
          <w:rFonts w:ascii="宋体" w:hAnsi="宋体"/>
          <w:kern w:val="0"/>
          <w:szCs w:val="21"/>
        </w:rPr>
        <w:t>存在</w:t>
      </w:r>
      <w:r>
        <w:rPr>
          <w:rFonts w:ascii="宋体" w:hAnsi="宋体"/>
          <w:spacing w:val="1"/>
          <w:szCs w:val="21"/>
        </w:rPr>
        <w:t>利害关系且影响采购公正性；</w:t>
      </w:r>
    </w:p>
    <w:p w14:paraId="59E77E80">
      <w:pPr>
        <w:spacing w:line="400" w:lineRule="exact"/>
        <w:ind w:firstLine="424"/>
        <w:rPr>
          <w:rFonts w:ascii="宋体" w:hAnsi="宋体"/>
          <w:spacing w:val="1"/>
          <w:szCs w:val="21"/>
        </w:rPr>
      </w:pPr>
      <w:r>
        <w:rPr>
          <w:rFonts w:ascii="宋体" w:hAnsi="宋体"/>
          <w:spacing w:val="1"/>
          <w:szCs w:val="21"/>
        </w:rPr>
        <w:t>（</w:t>
      </w:r>
      <w:r>
        <w:rPr>
          <w:spacing w:val="1"/>
          <w:szCs w:val="21"/>
        </w:rPr>
        <w:t>3</w:t>
      </w:r>
      <w:r>
        <w:rPr>
          <w:rFonts w:ascii="宋体" w:hAnsi="宋体"/>
          <w:spacing w:val="1"/>
          <w:szCs w:val="21"/>
        </w:rPr>
        <w:t>）供应商</w:t>
      </w:r>
      <w:r>
        <w:rPr>
          <w:rFonts w:ascii="宋体" w:hAnsi="宋体"/>
          <w:kern w:val="0"/>
          <w:szCs w:val="21"/>
        </w:rPr>
        <w:t>单位</w:t>
      </w:r>
      <w:r>
        <w:rPr>
          <w:rFonts w:ascii="宋体" w:hAnsi="宋体"/>
          <w:spacing w:val="1"/>
          <w:szCs w:val="21"/>
        </w:rPr>
        <w:t>负责人与同一标段或者未划分标段的同一采购项目的其他供应商的单位负责人为同一人；</w:t>
      </w:r>
    </w:p>
    <w:p w14:paraId="527F15A5">
      <w:pPr>
        <w:spacing w:line="400" w:lineRule="exact"/>
        <w:ind w:firstLine="424"/>
        <w:rPr>
          <w:rFonts w:ascii="宋体" w:hAnsi="宋体"/>
          <w:spacing w:val="1"/>
          <w:szCs w:val="21"/>
        </w:rPr>
      </w:pPr>
      <w:r>
        <w:rPr>
          <w:rFonts w:ascii="宋体" w:hAnsi="宋体"/>
          <w:spacing w:val="1"/>
          <w:szCs w:val="21"/>
        </w:rPr>
        <w:t>（</w:t>
      </w:r>
      <w:r>
        <w:rPr>
          <w:spacing w:val="1"/>
          <w:szCs w:val="21"/>
        </w:rPr>
        <w:t>4</w:t>
      </w:r>
      <w:r>
        <w:rPr>
          <w:rFonts w:ascii="宋体" w:hAnsi="宋体"/>
          <w:spacing w:val="1"/>
          <w:szCs w:val="21"/>
        </w:rPr>
        <w:t>）与同一标段或者未划分标段的同一采购项目的其他供应商存在控股、管理关系；</w:t>
      </w:r>
    </w:p>
    <w:p w14:paraId="3C1B9277">
      <w:pPr>
        <w:spacing w:line="400" w:lineRule="exact"/>
        <w:ind w:firstLine="424"/>
        <w:rPr>
          <w:rFonts w:ascii="宋体" w:hAnsi="宋体"/>
          <w:spacing w:val="1"/>
          <w:szCs w:val="21"/>
        </w:rPr>
      </w:pPr>
      <w:r>
        <w:rPr>
          <w:rFonts w:ascii="宋体" w:hAnsi="宋体"/>
          <w:spacing w:val="1"/>
          <w:szCs w:val="21"/>
        </w:rPr>
        <w:t>（</w:t>
      </w:r>
      <w:r>
        <w:rPr>
          <w:spacing w:val="1"/>
          <w:szCs w:val="21"/>
        </w:rPr>
        <w:t>5</w:t>
      </w:r>
      <w:r>
        <w:rPr>
          <w:rFonts w:ascii="宋体" w:hAnsi="宋体"/>
          <w:spacing w:val="1"/>
          <w:szCs w:val="21"/>
        </w:rPr>
        <w:t>）被责令停业，暂扣或者吊销执照或许可证，或吊销资质证书；</w:t>
      </w:r>
    </w:p>
    <w:p w14:paraId="65B3E578">
      <w:pPr>
        <w:spacing w:line="400" w:lineRule="exact"/>
        <w:ind w:firstLine="424"/>
        <w:rPr>
          <w:rFonts w:ascii="宋体" w:hAnsi="宋体"/>
          <w:spacing w:val="1"/>
          <w:szCs w:val="21"/>
        </w:rPr>
      </w:pPr>
      <w:r>
        <w:rPr>
          <w:rFonts w:ascii="宋体" w:hAnsi="宋体"/>
          <w:spacing w:val="1"/>
          <w:szCs w:val="21"/>
        </w:rPr>
        <w:t>（</w:t>
      </w:r>
      <w:r>
        <w:rPr>
          <w:spacing w:val="1"/>
          <w:szCs w:val="21"/>
        </w:rPr>
        <w:t>6</w:t>
      </w:r>
      <w:r>
        <w:rPr>
          <w:rFonts w:ascii="宋体" w:hAnsi="宋体"/>
          <w:spacing w:val="1"/>
          <w:szCs w:val="21"/>
        </w:rPr>
        <w:t>）进入清算程序，或被宣告破产，或其他丧失履约能力的情形；</w:t>
      </w:r>
    </w:p>
    <w:p w14:paraId="22EF6F74">
      <w:pPr>
        <w:spacing w:line="400" w:lineRule="exact"/>
        <w:ind w:firstLine="424"/>
        <w:rPr>
          <w:rFonts w:ascii="宋体" w:hAnsi="宋体"/>
          <w:spacing w:val="1"/>
          <w:szCs w:val="21"/>
        </w:rPr>
      </w:pPr>
      <w:r>
        <w:rPr>
          <w:rFonts w:ascii="宋体" w:hAnsi="宋体"/>
          <w:spacing w:val="1"/>
          <w:szCs w:val="21"/>
        </w:rPr>
        <w:t>（</w:t>
      </w:r>
      <w:r>
        <w:rPr>
          <w:spacing w:val="1"/>
          <w:szCs w:val="21"/>
        </w:rPr>
        <w:t>7</w:t>
      </w:r>
      <w:r>
        <w:rPr>
          <w:rFonts w:ascii="宋体" w:hAnsi="宋体"/>
          <w:spacing w:val="1"/>
          <w:szCs w:val="21"/>
        </w:rPr>
        <w:t>）被市场监督</w:t>
      </w:r>
      <w:r>
        <w:rPr>
          <w:rFonts w:hint="eastAsia" w:ascii="宋体" w:hAnsi="宋体"/>
          <w:spacing w:val="1"/>
          <w:szCs w:val="21"/>
        </w:rPr>
        <w:t>行业主管</w:t>
      </w:r>
      <w:r>
        <w:rPr>
          <w:rFonts w:ascii="宋体" w:hAnsi="宋体"/>
          <w:spacing w:val="1"/>
          <w:szCs w:val="21"/>
        </w:rPr>
        <w:t>部门在国家企业信用信息公示系统（</w:t>
      </w:r>
      <w:r>
        <w:rPr>
          <w:spacing w:val="1"/>
          <w:szCs w:val="21"/>
        </w:rPr>
        <w:t>http</w:t>
      </w:r>
      <w:r>
        <w:rPr>
          <w:rFonts w:ascii="宋体" w:hAnsi="宋体"/>
          <w:spacing w:val="1"/>
          <w:szCs w:val="21"/>
        </w:rPr>
        <w:t>：//</w:t>
      </w:r>
      <w:r>
        <w:rPr>
          <w:spacing w:val="1"/>
          <w:szCs w:val="21"/>
        </w:rPr>
        <w:t>www</w:t>
      </w:r>
      <w:r>
        <w:rPr>
          <w:rFonts w:ascii="宋体" w:hAnsi="宋体"/>
          <w:spacing w:val="1"/>
          <w:szCs w:val="21"/>
        </w:rPr>
        <w:t>.</w:t>
      </w:r>
      <w:r>
        <w:rPr>
          <w:spacing w:val="1"/>
          <w:szCs w:val="21"/>
        </w:rPr>
        <w:t>gsxt</w:t>
      </w:r>
      <w:r>
        <w:rPr>
          <w:rFonts w:ascii="宋体" w:hAnsi="宋体"/>
          <w:spacing w:val="1"/>
          <w:szCs w:val="21"/>
        </w:rPr>
        <w:t>.</w:t>
      </w:r>
      <w:r>
        <w:rPr>
          <w:spacing w:val="1"/>
          <w:szCs w:val="21"/>
        </w:rPr>
        <w:t>gov</w:t>
      </w:r>
      <w:r>
        <w:rPr>
          <w:rFonts w:ascii="宋体" w:hAnsi="宋体"/>
          <w:spacing w:val="1"/>
          <w:szCs w:val="21"/>
        </w:rPr>
        <w:t>.</w:t>
      </w:r>
      <w:r>
        <w:rPr>
          <w:spacing w:val="1"/>
          <w:szCs w:val="21"/>
        </w:rPr>
        <w:t>cn</w:t>
      </w:r>
      <w:r>
        <w:rPr>
          <w:rFonts w:ascii="宋体" w:hAnsi="宋体"/>
          <w:spacing w:val="1"/>
          <w:szCs w:val="21"/>
        </w:rPr>
        <w:t>/）中列入严重违法失信企业名单；</w:t>
      </w:r>
    </w:p>
    <w:p w14:paraId="01476A26">
      <w:pPr>
        <w:spacing w:line="400" w:lineRule="exact"/>
        <w:ind w:firstLine="424"/>
        <w:rPr>
          <w:rFonts w:ascii="宋体" w:hAnsi="宋体"/>
          <w:spacing w:val="1"/>
          <w:szCs w:val="21"/>
        </w:rPr>
      </w:pPr>
      <w:bookmarkStart w:id="72" w:name="_Hlk148686513"/>
      <w:r>
        <w:rPr>
          <w:rFonts w:ascii="宋体" w:hAnsi="宋体"/>
          <w:spacing w:val="1"/>
          <w:szCs w:val="21"/>
        </w:rPr>
        <w:t>（</w:t>
      </w:r>
      <w:r>
        <w:rPr>
          <w:spacing w:val="1"/>
          <w:szCs w:val="21"/>
        </w:rPr>
        <w:t>8</w:t>
      </w:r>
      <w:r>
        <w:rPr>
          <w:rFonts w:ascii="宋体" w:hAnsi="宋体"/>
          <w:spacing w:val="1"/>
          <w:szCs w:val="21"/>
        </w:rPr>
        <w:t>）在</w:t>
      </w:r>
      <w:r>
        <w:rPr>
          <w:rFonts w:ascii="宋体" w:hAnsi="宋体"/>
        </w:rPr>
        <w:t>“信用中国”</w:t>
      </w:r>
      <w:r>
        <w:rPr>
          <w:rFonts w:ascii="宋体" w:hAnsi="宋体"/>
          <w:spacing w:val="1"/>
          <w:szCs w:val="21"/>
        </w:rPr>
        <w:t>网站（</w:t>
      </w:r>
      <w:r>
        <w:rPr>
          <w:spacing w:val="1"/>
          <w:szCs w:val="21"/>
        </w:rPr>
        <w:t>www</w:t>
      </w:r>
      <w:r>
        <w:rPr>
          <w:rFonts w:ascii="宋体" w:hAnsi="宋体"/>
          <w:spacing w:val="1"/>
          <w:szCs w:val="21"/>
        </w:rPr>
        <w:t>.</w:t>
      </w:r>
      <w:r>
        <w:rPr>
          <w:spacing w:val="1"/>
          <w:szCs w:val="21"/>
        </w:rPr>
        <w:t>creditchina</w:t>
      </w:r>
      <w:r>
        <w:rPr>
          <w:rFonts w:ascii="宋体" w:hAnsi="宋体"/>
          <w:spacing w:val="1"/>
          <w:szCs w:val="21"/>
        </w:rPr>
        <w:t>.</w:t>
      </w:r>
      <w:r>
        <w:rPr>
          <w:spacing w:val="1"/>
          <w:szCs w:val="21"/>
        </w:rPr>
        <w:t>gov</w:t>
      </w:r>
      <w:r>
        <w:rPr>
          <w:rFonts w:ascii="宋体" w:hAnsi="宋体"/>
          <w:spacing w:val="1"/>
          <w:szCs w:val="21"/>
        </w:rPr>
        <w:t>.</w:t>
      </w:r>
      <w:r>
        <w:rPr>
          <w:spacing w:val="1"/>
          <w:szCs w:val="21"/>
        </w:rPr>
        <w:t>cn</w:t>
      </w:r>
      <w:r>
        <w:rPr>
          <w:rFonts w:ascii="宋体" w:hAnsi="宋体"/>
          <w:spacing w:val="1"/>
          <w:szCs w:val="21"/>
        </w:rPr>
        <w:t>）中列入失信被执行人名单、企业经营异常名录、重大税收违法失信主体、政府采购严重违法失信名单；</w:t>
      </w:r>
    </w:p>
    <w:p w14:paraId="5E64B116">
      <w:pPr>
        <w:spacing w:line="400" w:lineRule="exact"/>
        <w:ind w:firstLine="420"/>
        <w:rPr>
          <w:rFonts w:ascii="宋体" w:hAnsi="宋体"/>
        </w:rPr>
      </w:pPr>
      <w:r>
        <w:rPr>
          <w:rFonts w:ascii="宋体" w:hAnsi="宋体"/>
        </w:rPr>
        <w:t>（</w:t>
      </w:r>
      <w:r>
        <w:rPr>
          <w:rFonts w:hint="eastAsia"/>
        </w:rPr>
        <w:t>9</w:t>
      </w:r>
      <w:r>
        <w:rPr>
          <w:rFonts w:ascii="宋体" w:hAnsi="宋体"/>
        </w:rPr>
        <w:t>）为本标段电子招标投标交易平台的运营机构或与该机构有控股或者管理关系可能影响招标公正性的单位；</w:t>
      </w:r>
    </w:p>
    <w:p w14:paraId="085E27E3">
      <w:pPr>
        <w:spacing w:line="400" w:lineRule="exact"/>
        <w:ind w:firstLine="420"/>
        <w:rPr>
          <w:rFonts w:ascii="宋体" w:hAnsi="宋体"/>
          <w:szCs w:val="21"/>
        </w:rPr>
      </w:pPr>
      <w:r>
        <w:rPr>
          <w:rFonts w:ascii="宋体" w:hAnsi="宋体"/>
          <w:szCs w:val="21"/>
        </w:rPr>
        <w:t>（</w:t>
      </w:r>
      <w:r>
        <w:rPr>
          <w:rFonts w:hint="eastAsia"/>
          <w:szCs w:val="21"/>
        </w:rPr>
        <w:t>10</w:t>
      </w:r>
      <w:r>
        <w:rPr>
          <w:rFonts w:ascii="宋体" w:hAnsi="宋体"/>
          <w:szCs w:val="21"/>
        </w:rPr>
        <w:t>）其他：</w:t>
      </w:r>
      <w:r>
        <w:rPr>
          <w:rFonts w:hint="eastAsia" w:ascii="宋体" w:hAnsi="宋体"/>
          <w:szCs w:val="21"/>
          <w:u w:val="single"/>
        </w:rPr>
        <w:t>法律法规规定的其他情形</w:t>
      </w:r>
      <w:r>
        <w:rPr>
          <w:rFonts w:ascii="宋体" w:hAnsi="宋体"/>
          <w:szCs w:val="21"/>
        </w:rPr>
        <w:t>。</w:t>
      </w:r>
    </w:p>
    <w:bookmarkEnd w:id="69"/>
    <w:bookmarkEnd w:id="70"/>
    <w:bookmarkEnd w:id="71"/>
    <w:bookmarkEnd w:id="72"/>
    <w:p w14:paraId="1B408E4F">
      <w:pPr>
        <w:spacing w:line="400" w:lineRule="exact"/>
        <w:ind w:firstLine="422" w:firstLineChars="200"/>
        <w:jc w:val="left"/>
        <w:rPr>
          <w:rFonts w:ascii="宋体" w:hAnsi="宋体"/>
        </w:rPr>
      </w:pPr>
      <w:r>
        <w:rPr>
          <w:b/>
          <w:bCs/>
        </w:rPr>
        <w:t>3</w:t>
      </w:r>
      <w:r>
        <w:rPr>
          <w:rFonts w:ascii="宋体" w:hAnsi="宋体"/>
          <w:b/>
          <w:bCs/>
        </w:rPr>
        <w:t>.</w:t>
      </w:r>
      <w:r>
        <w:rPr>
          <w:b/>
          <w:bCs/>
        </w:rPr>
        <w:t>3</w:t>
      </w:r>
      <w:r>
        <w:rPr>
          <w:rFonts w:ascii="宋体" w:hAnsi="宋体"/>
        </w:rPr>
        <w:t xml:space="preserve"> 本次采购</w:t>
      </w:r>
      <w:r>
        <w:rPr>
          <w:rFonts w:ascii="宋体" w:hAnsi="宋体"/>
          <w:u w:val="single"/>
        </w:rPr>
        <w:t xml:space="preserve"> </w:t>
      </w:r>
      <w:r>
        <w:rPr>
          <w:rFonts w:hint="eastAsia" w:ascii="宋体" w:hAnsi="宋体"/>
          <w:u w:val="single"/>
        </w:rPr>
        <w:t>不接受</w:t>
      </w:r>
      <w:r>
        <w:rPr>
          <w:rFonts w:ascii="宋体" w:hAnsi="宋体"/>
          <w:u w:val="single"/>
        </w:rPr>
        <w:t xml:space="preserve"> </w:t>
      </w:r>
      <w:r>
        <w:rPr>
          <w:rFonts w:ascii="宋体" w:hAnsi="宋体"/>
        </w:rPr>
        <w:t>联合体。</w:t>
      </w:r>
    </w:p>
    <w:bookmarkEnd w:id="68"/>
    <w:p w14:paraId="71E9A447">
      <w:pPr>
        <w:widowControl/>
        <w:spacing w:before="260" w:after="260"/>
        <w:outlineLvl w:val="1"/>
        <w:rPr>
          <w:rFonts w:eastAsia="黑体"/>
          <w:b/>
          <w:spacing w:val="1"/>
          <w:kern w:val="0"/>
          <w:sz w:val="28"/>
          <w:szCs w:val="28"/>
        </w:rPr>
      </w:pPr>
      <w:bookmarkStart w:id="73" w:name="_Toc149140169"/>
      <w:r>
        <w:rPr>
          <w:rFonts w:eastAsia="黑体"/>
          <w:b/>
          <w:spacing w:val="1"/>
          <w:kern w:val="0"/>
          <w:sz w:val="28"/>
          <w:szCs w:val="28"/>
        </w:rPr>
        <w:t>4. 采购文件的获取</w:t>
      </w:r>
      <w:bookmarkEnd w:id="73"/>
    </w:p>
    <w:p w14:paraId="5905A6D5">
      <w:pPr>
        <w:spacing w:line="400" w:lineRule="exact"/>
        <w:ind w:firstLine="422" w:firstLineChars="200"/>
        <w:rPr>
          <w:rFonts w:ascii="宋体" w:hAnsi="宋体"/>
          <w:highlight w:val="none"/>
        </w:rPr>
      </w:pPr>
      <w:bookmarkStart w:id="74" w:name="_Hlk138877225"/>
      <w:r>
        <w:rPr>
          <w:b/>
          <w:bCs/>
          <w:highlight w:val="none"/>
        </w:rPr>
        <w:t>4</w:t>
      </w:r>
      <w:r>
        <w:rPr>
          <w:rFonts w:ascii="宋体" w:hAnsi="宋体"/>
          <w:b/>
          <w:bCs/>
          <w:highlight w:val="none"/>
        </w:rPr>
        <w:t>.</w:t>
      </w:r>
      <w:r>
        <w:rPr>
          <w:b/>
          <w:bCs/>
          <w:highlight w:val="none"/>
        </w:rPr>
        <w:t>1</w:t>
      </w:r>
      <w:r>
        <w:rPr>
          <w:rFonts w:ascii="宋体" w:hAnsi="宋体"/>
          <w:highlight w:val="none"/>
        </w:rPr>
        <w:t xml:space="preserve"> 有意参加框架协议采购活动的单位，请于</w:t>
      </w:r>
      <w:r>
        <w:rPr>
          <w:rFonts w:hint="eastAsia" w:ascii="宋体" w:hAnsi="宋体" w:eastAsia="宋体" w:cs="宋体"/>
          <w:b w:val="0"/>
          <w:bCs w:val="0"/>
          <w:highlight w:val="none"/>
          <w:u w:val="single"/>
        </w:rPr>
        <w:t>202</w:t>
      </w:r>
      <w:r>
        <w:rPr>
          <w:rFonts w:hint="eastAsia" w:ascii="宋体" w:hAnsi="宋体" w:eastAsia="宋体" w:cs="宋体"/>
          <w:b w:val="0"/>
          <w:bCs w:val="0"/>
          <w:highlight w:val="none"/>
          <w:u w:val="single"/>
          <w:lang w:val="en-US" w:eastAsia="zh-CN"/>
        </w:rPr>
        <w:t>5</w:t>
      </w:r>
      <w:r>
        <w:rPr>
          <w:rFonts w:hint="eastAsia" w:ascii="宋体" w:hAnsi="宋体" w:eastAsia="宋体" w:cs="宋体"/>
          <w:b w:val="0"/>
          <w:bCs w:val="0"/>
          <w:highlight w:val="none"/>
        </w:rPr>
        <w:t>年</w:t>
      </w:r>
      <w:r>
        <w:rPr>
          <w:rFonts w:hint="eastAsia" w:ascii="宋体" w:hAnsi="宋体" w:eastAsia="宋体" w:cs="宋体"/>
          <w:b w:val="0"/>
          <w:bCs w:val="0"/>
          <w:highlight w:val="none"/>
          <w:u w:val="single"/>
          <w:lang w:val="en-US" w:eastAsia="zh-CN"/>
        </w:rPr>
        <w:t>1</w:t>
      </w:r>
      <w:r>
        <w:rPr>
          <w:rFonts w:hint="eastAsia" w:ascii="宋体" w:hAnsi="宋体" w:cs="宋体"/>
          <w:b w:val="0"/>
          <w:bCs w:val="0"/>
          <w:highlight w:val="none"/>
          <w:u w:val="single"/>
          <w:lang w:val="en-US" w:eastAsia="zh-CN"/>
        </w:rPr>
        <w:t>2</w:t>
      </w:r>
      <w:r>
        <w:rPr>
          <w:rFonts w:hint="eastAsia" w:ascii="宋体" w:hAnsi="宋体" w:eastAsia="宋体" w:cs="宋体"/>
          <w:b w:val="0"/>
          <w:bCs w:val="0"/>
          <w:highlight w:val="none"/>
          <w:u w:val="none"/>
          <w:lang w:val="en-US" w:eastAsia="zh-CN"/>
        </w:rPr>
        <w:t>月</w:t>
      </w:r>
      <w:r>
        <w:rPr>
          <w:rFonts w:hint="eastAsia" w:ascii="宋体" w:hAnsi="宋体" w:cs="宋体"/>
          <w:b w:val="0"/>
          <w:bCs w:val="0"/>
          <w:highlight w:val="none"/>
          <w:u w:val="single"/>
          <w:lang w:val="en-US" w:eastAsia="zh-CN"/>
        </w:rPr>
        <w:t>22</w:t>
      </w:r>
      <w:r>
        <w:rPr>
          <w:rFonts w:hint="eastAsia" w:ascii="宋体" w:hAnsi="宋体" w:eastAsia="宋体" w:cs="宋体"/>
          <w:b w:val="0"/>
          <w:bCs w:val="0"/>
          <w:highlight w:val="none"/>
        </w:rPr>
        <w:t>日</w:t>
      </w:r>
      <w:r>
        <w:rPr>
          <w:rFonts w:hint="eastAsia" w:ascii="宋体" w:hAnsi="宋体" w:eastAsia="宋体" w:cs="宋体"/>
          <w:b w:val="0"/>
          <w:bCs w:val="0"/>
          <w:highlight w:val="none"/>
          <w:u w:val="single"/>
        </w:rPr>
        <w:t>9</w:t>
      </w:r>
      <w:r>
        <w:rPr>
          <w:rFonts w:hint="eastAsia" w:ascii="宋体" w:hAnsi="宋体" w:eastAsia="宋体" w:cs="宋体"/>
          <w:b w:val="0"/>
          <w:bCs w:val="0"/>
          <w:highlight w:val="none"/>
        </w:rPr>
        <w:t>时</w:t>
      </w:r>
      <w:r>
        <w:rPr>
          <w:rFonts w:hint="eastAsia" w:ascii="宋体" w:hAnsi="宋体" w:eastAsia="宋体" w:cs="宋体"/>
          <w:b w:val="0"/>
          <w:bCs w:val="0"/>
          <w:highlight w:val="none"/>
          <w:u w:val="single"/>
        </w:rPr>
        <w:t>00</w:t>
      </w:r>
      <w:r>
        <w:rPr>
          <w:rFonts w:hint="eastAsia" w:ascii="宋体" w:hAnsi="宋体" w:eastAsia="宋体" w:cs="宋体"/>
          <w:b w:val="0"/>
          <w:bCs w:val="0"/>
          <w:highlight w:val="none"/>
        </w:rPr>
        <w:t>分</w:t>
      </w:r>
      <w:r>
        <w:rPr>
          <w:rFonts w:hint="eastAsia" w:ascii="宋体" w:hAnsi="宋体" w:eastAsia="宋体" w:cs="宋体"/>
          <w:b w:val="0"/>
          <w:bCs w:val="0"/>
          <w:highlight w:val="none"/>
          <w:u w:val="single"/>
        </w:rPr>
        <w:t>00</w:t>
      </w:r>
      <w:r>
        <w:rPr>
          <w:rFonts w:hint="eastAsia" w:ascii="宋体" w:hAnsi="宋体" w:eastAsia="宋体" w:cs="宋体"/>
          <w:b w:val="0"/>
          <w:bCs w:val="0"/>
          <w:highlight w:val="none"/>
        </w:rPr>
        <w:t>秒至</w:t>
      </w:r>
      <w:r>
        <w:rPr>
          <w:rFonts w:hint="eastAsia" w:ascii="宋体" w:hAnsi="宋体" w:eastAsia="宋体" w:cs="宋体"/>
          <w:b w:val="0"/>
          <w:bCs w:val="0"/>
          <w:highlight w:val="none"/>
          <w:u w:val="single"/>
        </w:rPr>
        <w:t>202</w:t>
      </w:r>
      <w:r>
        <w:rPr>
          <w:rFonts w:hint="eastAsia" w:ascii="宋体" w:hAnsi="宋体" w:eastAsia="宋体" w:cs="宋体"/>
          <w:b w:val="0"/>
          <w:bCs w:val="0"/>
          <w:highlight w:val="none"/>
          <w:u w:val="single"/>
          <w:lang w:val="en-US" w:eastAsia="zh-CN"/>
        </w:rPr>
        <w:t>5</w:t>
      </w:r>
      <w:r>
        <w:rPr>
          <w:rFonts w:hint="eastAsia" w:ascii="宋体" w:hAnsi="宋体" w:eastAsia="宋体" w:cs="宋体"/>
          <w:b w:val="0"/>
          <w:bCs w:val="0"/>
          <w:highlight w:val="none"/>
        </w:rPr>
        <w:t>年</w:t>
      </w:r>
      <w:r>
        <w:rPr>
          <w:rFonts w:hint="eastAsia" w:ascii="宋体" w:hAnsi="宋体" w:eastAsia="宋体" w:cs="宋体"/>
          <w:b w:val="0"/>
          <w:bCs w:val="0"/>
          <w:highlight w:val="none"/>
          <w:u w:val="single"/>
          <w:lang w:val="en-US" w:eastAsia="zh-CN"/>
        </w:rPr>
        <w:t>1</w:t>
      </w:r>
      <w:r>
        <w:rPr>
          <w:rFonts w:hint="eastAsia" w:ascii="宋体" w:hAnsi="宋体" w:cs="宋体"/>
          <w:b w:val="0"/>
          <w:bCs w:val="0"/>
          <w:highlight w:val="none"/>
          <w:u w:val="single"/>
          <w:lang w:val="en-US" w:eastAsia="zh-CN"/>
        </w:rPr>
        <w:t>2</w:t>
      </w:r>
      <w:r>
        <w:rPr>
          <w:rFonts w:hint="eastAsia" w:ascii="宋体" w:hAnsi="宋体" w:eastAsia="宋体" w:cs="宋体"/>
          <w:b w:val="0"/>
          <w:bCs w:val="0"/>
          <w:highlight w:val="none"/>
          <w:u w:val="none"/>
          <w:lang w:val="en-US" w:eastAsia="zh-CN"/>
        </w:rPr>
        <w:t>月</w:t>
      </w:r>
      <w:r>
        <w:rPr>
          <w:rFonts w:hint="eastAsia" w:ascii="宋体" w:hAnsi="宋体" w:cs="宋体"/>
          <w:b w:val="0"/>
          <w:bCs w:val="0"/>
          <w:highlight w:val="none"/>
          <w:u w:val="single"/>
          <w:lang w:val="en-US" w:eastAsia="zh-CN"/>
        </w:rPr>
        <w:t>24</w:t>
      </w:r>
      <w:r>
        <w:rPr>
          <w:rFonts w:hint="eastAsia" w:ascii="宋体" w:hAnsi="宋体" w:eastAsia="宋体" w:cs="宋体"/>
          <w:b w:val="0"/>
          <w:bCs w:val="0"/>
          <w:highlight w:val="none"/>
        </w:rPr>
        <w:t>日</w:t>
      </w:r>
      <w:r>
        <w:rPr>
          <w:rFonts w:hint="eastAsia" w:ascii="宋体" w:hAnsi="宋体" w:eastAsia="宋体" w:cs="宋体"/>
          <w:b w:val="0"/>
          <w:bCs w:val="0"/>
          <w:highlight w:val="none"/>
          <w:u w:val="single"/>
        </w:rPr>
        <w:t>17</w:t>
      </w:r>
      <w:r>
        <w:rPr>
          <w:rFonts w:hint="eastAsia" w:ascii="宋体" w:hAnsi="宋体" w:eastAsia="宋体" w:cs="宋体"/>
          <w:b w:val="0"/>
          <w:bCs w:val="0"/>
          <w:highlight w:val="none"/>
        </w:rPr>
        <w:t>时</w:t>
      </w:r>
      <w:r>
        <w:rPr>
          <w:rFonts w:hint="eastAsia" w:ascii="宋体" w:hAnsi="宋体" w:eastAsia="宋体" w:cs="宋体"/>
          <w:b w:val="0"/>
          <w:bCs w:val="0"/>
          <w:highlight w:val="none"/>
          <w:u w:val="single"/>
        </w:rPr>
        <w:t>00</w:t>
      </w:r>
      <w:r>
        <w:rPr>
          <w:rFonts w:hint="eastAsia" w:ascii="宋体" w:hAnsi="宋体" w:eastAsia="宋体" w:cs="宋体"/>
          <w:b w:val="0"/>
          <w:bCs w:val="0"/>
          <w:highlight w:val="none"/>
        </w:rPr>
        <w:t>分</w:t>
      </w:r>
      <w:r>
        <w:rPr>
          <w:rFonts w:hint="eastAsia" w:ascii="宋体" w:hAnsi="宋体" w:eastAsia="宋体" w:cs="宋体"/>
          <w:b w:val="0"/>
          <w:bCs w:val="0"/>
          <w:highlight w:val="none"/>
          <w:u w:val="single"/>
        </w:rPr>
        <w:t>00</w:t>
      </w:r>
      <w:r>
        <w:rPr>
          <w:rFonts w:hint="eastAsia" w:ascii="宋体" w:hAnsi="宋体" w:eastAsia="宋体" w:cs="宋体"/>
          <w:b w:val="0"/>
          <w:bCs w:val="0"/>
          <w:highlight w:val="none"/>
        </w:rPr>
        <w:t>秒</w:t>
      </w:r>
      <w:r>
        <w:rPr>
          <w:rFonts w:ascii="宋体" w:hAnsi="宋体"/>
          <w:highlight w:val="none"/>
        </w:rPr>
        <w:t>（北京时间，下同），登录</w:t>
      </w:r>
      <w:bookmarkStart w:id="75" w:name="_Hlk137459855"/>
      <w:r>
        <w:rPr>
          <w:rFonts w:ascii="宋体" w:hAnsi="宋体"/>
          <w:highlight w:val="none"/>
        </w:rPr>
        <w:t>“河北交投招标与采购服务平台”（网址：</w:t>
      </w:r>
      <w:r>
        <w:rPr>
          <w:highlight w:val="none"/>
        </w:rPr>
        <w:t>https</w:t>
      </w:r>
      <w:r>
        <w:rPr>
          <w:rFonts w:ascii="宋体" w:hAnsi="宋体"/>
          <w:highlight w:val="none"/>
        </w:rPr>
        <w:t>://</w:t>
      </w:r>
      <w:r>
        <w:rPr>
          <w:highlight w:val="none"/>
        </w:rPr>
        <w:t>ebidding</w:t>
      </w:r>
      <w:r>
        <w:rPr>
          <w:rFonts w:ascii="宋体" w:hAnsi="宋体"/>
          <w:highlight w:val="none"/>
        </w:rPr>
        <w:t>.</w:t>
      </w:r>
      <w:r>
        <w:rPr>
          <w:highlight w:val="none"/>
        </w:rPr>
        <w:t>hebtig</w:t>
      </w:r>
      <w:r>
        <w:rPr>
          <w:rFonts w:ascii="宋体" w:hAnsi="宋体"/>
          <w:highlight w:val="none"/>
        </w:rPr>
        <w:t>.</w:t>
      </w:r>
      <w:r>
        <w:rPr>
          <w:highlight w:val="none"/>
        </w:rPr>
        <w:t>com</w:t>
      </w:r>
      <w:r>
        <w:rPr>
          <w:rFonts w:ascii="宋体" w:hAnsi="宋体"/>
          <w:highlight w:val="none"/>
        </w:rPr>
        <w:t>/</w:t>
      </w:r>
      <w:r>
        <w:rPr>
          <w:rFonts w:ascii="宋体" w:hAnsi="宋体"/>
          <w:szCs w:val="21"/>
          <w:highlight w:val="none"/>
        </w:rPr>
        <w:t>）</w:t>
      </w:r>
      <w:bookmarkEnd w:id="75"/>
      <w:r>
        <w:rPr>
          <w:rFonts w:ascii="宋体" w:hAnsi="宋体"/>
          <w:szCs w:val="21"/>
          <w:highlight w:val="none"/>
        </w:rPr>
        <w:t>（</w:t>
      </w:r>
      <w:r>
        <w:rPr>
          <w:rFonts w:ascii="宋体" w:hAnsi="宋体"/>
          <w:highlight w:val="none"/>
        </w:rPr>
        <w:t>以下简称“招采平台”）</w:t>
      </w:r>
      <w:bookmarkStart w:id="76" w:name="_Hlk137459914"/>
      <w:r>
        <w:rPr>
          <w:rFonts w:ascii="宋体" w:hAnsi="宋体"/>
          <w:highlight w:val="none"/>
        </w:rPr>
        <w:t>投标人</w:t>
      </w:r>
      <w:bookmarkEnd w:id="76"/>
      <w:r>
        <w:rPr>
          <w:rFonts w:ascii="宋体" w:hAnsi="宋体"/>
          <w:highlight w:val="none"/>
        </w:rPr>
        <w:t>端，</w:t>
      </w:r>
      <w:bookmarkStart w:id="77" w:name="_Hlk137459935"/>
      <w:r>
        <w:rPr>
          <w:rFonts w:ascii="宋体" w:hAnsi="宋体"/>
          <w:highlight w:val="none"/>
        </w:rPr>
        <w:t>找到本项目并点击我要报名；在“我的项目”中下载本项目采购文件。</w:t>
      </w:r>
      <w:bookmarkEnd w:id="77"/>
    </w:p>
    <w:p w14:paraId="768A4953">
      <w:pPr>
        <w:spacing w:line="400" w:lineRule="exact"/>
        <w:ind w:firstLine="422" w:firstLineChars="200"/>
        <w:rPr>
          <w:rFonts w:ascii="宋体" w:hAnsi="宋体"/>
          <w:highlight w:val="none"/>
        </w:rPr>
      </w:pPr>
      <w:bookmarkStart w:id="78" w:name="_Hlk137459944"/>
      <w:r>
        <w:rPr>
          <w:b/>
          <w:bCs/>
          <w:highlight w:val="none"/>
        </w:rPr>
        <w:t>4</w:t>
      </w:r>
      <w:r>
        <w:rPr>
          <w:rFonts w:ascii="宋体" w:hAnsi="宋体"/>
          <w:b/>
          <w:bCs/>
          <w:highlight w:val="none"/>
        </w:rPr>
        <w:t>.</w:t>
      </w:r>
      <w:r>
        <w:rPr>
          <w:b/>
          <w:bCs/>
          <w:highlight w:val="none"/>
        </w:rPr>
        <w:t>2</w:t>
      </w:r>
      <w:r>
        <w:rPr>
          <w:rFonts w:ascii="宋体" w:hAnsi="宋体"/>
          <w:highlight w:val="none"/>
        </w:rPr>
        <w:t xml:space="preserve"> 供应商按</w:t>
      </w:r>
      <w:r>
        <w:rPr>
          <w:highlight w:val="none"/>
        </w:rPr>
        <w:t>4</w:t>
      </w:r>
      <w:r>
        <w:rPr>
          <w:rFonts w:ascii="宋体" w:hAnsi="宋体"/>
          <w:highlight w:val="none"/>
        </w:rPr>
        <w:t>.</w:t>
      </w:r>
      <w:r>
        <w:rPr>
          <w:highlight w:val="none"/>
        </w:rPr>
        <w:t>1</w:t>
      </w:r>
      <w:r>
        <w:rPr>
          <w:rFonts w:ascii="宋体" w:hAnsi="宋体"/>
          <w:highlight w:val="none"/>
        </w:rPr>
        <w:t>款下载采购文件前，应先在</w:t>
      </w:r>
      <w:r>
        <w:rPr>
          <w:rFonts w:ascii="宋体" w:hAnsi="宋体"/>
          <w:szCs w:val="21"/>
          <w:highlight w:val="none"/>
        </w:rPr>
        <w:t>“招采平台”</w:t>
      </w:r>
      <w:r>
        <w:rPr>
          <w:rFonts w:ascii="宋体" w:hAnsi="宋体"/>
          <w:highlight w:val="none"/>
        </w:rPr>
        <w:t>按该平台公布的操作手册进行用户注册和河北交投</w:t>
      </w:r>
      <w:r>
        <w:rPr>
          <w:highlight w:val="none"/>
        </w:rPr>
        <w:t>CA</w:t>
      </w:r>
      <w:r>
        <w:rPr>
          <w:rFonts w:ascii="宋体" w:hAnsi="宋体"/>
          <w:highlight w:val="none"/>
        </w:rPr>
        <w:t>数字证书办理，已完成注册和河北交投</w:t>
      </w:r>
      <w:r>
        <w:rPr>
          <w:highlight w:val="none"/>
        </w:rPr>
        <w:t>CA</w:t>
      </w:r>
      <w:r>
        <w:rPr>
          <w:rFonts w:ascii="宋体" w:hAnsi="宋体"/>
          <w:highlight w:val="none"/>
        </w:rPr>
        <w:t>数字证书办理的供应商不必重复操作。</w:t>
      </w:r>
    </w:p>
    <w:p w14:paraId="33B9FF20">
      <w:pPr>
        <w:spacing w:line="400" w:lineRule="exact"/>
        <w:ind w:firstLine="422" w:firstLineChars="200"/>
        <w:rPr>
          <w:rFonts w:ascii="宋体" w:hAnsi="宋体"/>
          <w:highlight w:val="none"/>
        </w:rPr>
      </w:pPr>
      <w:r>
        <w:rPr>
          <w:b/>
          <w:bCs/>
          <w:highlight w:val="none"/>
        </w:rPr>
        <w:t>4</w:t>
      </w:r>
      <w:r>
        <w:rPr>
          <w:rFonts w:ascii="宋体" w:hAnsi="宋体"/>
          <w:b/>
          <w:bCs/>
          <w:highlight w:val="none"/>
        </w:rPr>
        <w:t>.</w:t>
      </w:r>
      <w:r>
        <w:rPr>
          <w:b/>
          <w:bCs/>
          <w:highlight w:val="none"/>
        </w:rPr>
        <w:t>3</w:t>
      </w:r>
      <w:r>
        <w:rPr>
          <w:rFonts w:ascii="宋体" w:hAnsi="宋体"/>
          <w:highlight w:val="none"/>
        </w:rPr>
        <w:t>采购文件每套售价</w:t>
      </w:r>
      <w:r>
        <w:rPr>
          <w:rFonts w:ascii="宋体" w:hAnsi="宋体"/>
          <w:highlight w:val="none"/>
          <w:u w:val="single"/>
        </w:rPr>
        <w:t xml:space="preserve"> </w:t>
      </w:r>
      <w:r>
        <w:rPr>
          <w:rFonts w:hint="eastAsia" w:ascii="宋体" w:hAnsi="宋体"/>
          <w:highlight w:val="none"/>
          <w:u w:val="single"/>
        </w:rPr>
        <w:t>500</w:t>
      </w:r>
      <w:r>
        <w:rPr>
          <w:rFonts w:ascii="宋体" w:hAnsi="宋体"/>
          <w:highlight w:val="none"/>
        </w:rPr>
        <w:t>元 ，售后不退。</w:t>
      </w:r>
    </w:p>
    <w:bookmarkEnd w:id="74"/>
    <w:bookmarkEnd w:id="78"/>
    <w:p w14:paraId="0DBE67BF">
      <w:pPr>
        <w:widowControl/>
        <w:spacing w:before="260" w:after="260"/>
        <w:outlineLvl w:val="1"/>
        <w:rPr>
          <w:rFonts w:eastAsia="黑体"/>
          <w:b/>
          <w:spacing w:val="1"/>
          <w:kern w:val="0"/>
          <w:sz w:val="28"/>
          <w:szCs w:val="28"/>
          <w:highlight w:val="none"/>
        </w:rPr>
      </w:pPr>
      <w:bookmarkStart w:id="79" w:name="_Toc149140170"/>
      <w:r>
        <w:rPr>
          <w:rFonts w:eastAsia="黑体"/>
          <w:b/>
          <w:spacing w:val="1"/>
          <w:kern w:val="0"/>
          <w:sz w:val="28"/>
          <w:szCs w:val="28"/>
          <w:highlight w:val="none"/>
        </w:rPr>
        <w:t>5. 响应文件的递交及开启</w:t>
      </w:r>
      <w:bookmarkEnd w:id="79"/>
    </w:p>
    <w:p w14:paraId="1DD395EB">
      <w:pPr>
        <w:spacing w:line="400" w:lineRule="exact"/>
        <w:ind w:firstLine="422" w:firstLineChars="200"/>
        <w:rPr>
          <w:rFonts w:ascii="宋体" w:hAnsi="宋体"/>
          <w:highlight w:val="yellow"/>
        </w:rPr>
      </w:pPr>
      <w:bookmarkStart w:id="80" w:name="_Hlk137459988"/>
      <w:r>
        <w:rPr>
          <w:b/>
          <w:bCs/>
          <w:highlight w:val="none"/>
        </w:rPr>
        <w:t>5</w:t>
      </w:r>
      <w:r>
        <w:rPr>
          <w:rFonts w:ascii="宋体" w:hAnsi="宋体"/>
          <w:b/>
          <w:bCs/>
          <w:highlight w:val="none"/>
        </w:rPr>
        <w:t>.</w:t>
      </w:r>
      <w:r>
        <w:rPr>
          <w:b/>
          <w:bCs/>
          <w:highlight w:val="none"/>
        </w:rPr>
        <w:t>1</w:t>
      </w:r>
      <w:r>
        <w:rPr>
          <w:rFonts w:ascii="宋体" w:hAnsi="宋体"/>
          <w:b/>
          <w:bCs/>
          <w:highlight w:val="none"/>
        </w:rPr>
        <w:t xml:space="preserve"> </w:t>
      </w:r>
      <w:r>
        <w:rPr>
          <w:rFonts w:ascii="宋体" w:hAnsi="宋体"/>
          <w:highlight w:val="none"/>
        </w:rPr>
        <w:t>递交响应文件截止时间：</w:t>
      </w:r>
      <w:r>
        <w:rPr>
          <w:rFonts w:hint="eastAsia" w:ascii="宋体" w:hAnsi="宋体"/>
          <w:b w:val="0"/>
          <w:bCs w:val="0"/>
          <w:highlight w:val="none"/>
          <w:u w:val="single"/>
        </w:rPr>
        <w:t>202</w:t>
      </w:r>
      <w:r>
        <w:rPr>
          <w:rFonts w:hint="eastAsia" w:ascii="宋体" w:hAnsi="宋体"/>
          <w:b w:val="0"/>
          <w:bCs w:val="0"/>
          <w:highlight w:val="none"/>
          <w:u w:val="single"/>
          <w:lang w:val="en-US" w:eastAsia="zh-CN"/>
        </w:rPr>
        <w:t>5</w:t>
      </w:r>
      <w:r>
        <w:rPr>
          <w:rFonts w:ascii="宋体" w:hAnsi="宋体"/>
          <w:b w:val="0"/>
          <w:bCs w:val="0"/>
          <w:highlight w:val="none"/>
        </w:rPr>
        <w:t>年</w:t>
      </w:r>
      <w:r>
        <w:rPr>
          <w:rFonts w:hint="eastAsia" w:ascii="宋体" w:hAnsi="宋体"/>
          <w:b w:val="0"/>
          <w:bCs w:val="0"/>
          <w:highlight w:val="none"/>
          <w:u w:val="single"/>
          <w:lang w:val="en-US" w:eastAsia="zh-CN"/>
        </w:rPr>
        <w:t>12</w:t>
      </w:r>
      <w:r>
        <w:rPr>
          <w:rFonts w:hint="eastAsia" w:ascii="宋体" w:hAnsi="宋体"/>
          <w:b w:val="0"/>
          <w:bCs w:val="0"/>
          <w:highlight w:val="none"/>
          <w:u w:val="none"/>
          <w:lang w:val="en-US" w:eastAsia="zh-CN"/>
        </w:rPr>
        <w:t>月</w:t>
      </w:r>
      <w:r>
        <w:rPr>
          <w:rFonts w:hint="eastAsia" w:ascii="宋体" w:hAnsi="宋体"/>
          <w:b w:val="0"/>
          <w:bCs w:val="0"/>
          <w:highlight w:val="none"/>
          <w:u w:val="single"/>
          <w:lang w:val="en-US" w:eastAsia="zh-CN"/>
        </w:rPr>
        <w:t xml:space="preserve">25 </w:t>
      </w:r>
      <w:r>
        <w:rPr>
          <w:rFonts w:ascii="宋体" w:hAnsi="宋体"/>
          <w:b w:val="0"/>
          <w:bCs w:val="0"/>
          <w:highlight w:val="none"/>
        </w:rPr>
        <w:t>日</w:t>
      </w:r>
      <w:r>
        <w:rPr>
          <w:rFonts w:hint="eastAsia" w:ascii="宋体" w:hAnsi="宋体"/>
          <w:b w:val="0"/>
          <w:bCs w:val="0"/>
          <w:highlight w:val="none"/>
          <w:u w:val="single"/>
          <w:lang w:val="en-US" w:eastAsia="zh-CN"/>
        </w:rPr>
        <w:t>14</w:t>
      </w:r>
      <w:r>
        <w:rPr>
          <w:rFonts w:ascii="宋体" w:hAnsi="宋体"/>
          <w:b w:val="0"/>
          <w:bCs w:val="0"/>
          <w:highlight w:val="none"/>
        </w:rPr>
        <w:t>时</w:t>
      </w:r>
      <w:r>
        <w:rPr>
          <w:rFonts w:hint="eastAsia" w:ascii="宋体" w:hAnsi="宋体"/>
          <w:b w:val="0"/>
          <w:bCs w:val="0"/>
          <w:highlight w:val="none"/>
          <w:lang w:val="en-US" w:eastAsia="zh-CN"/>
        </w:rPr>
        <w:t>3</w:t>
      </w:r>
      <w:r>
        <w:rPr>
          <w:rFonts w:hint="eastAsia" w:ascii="宋体" w:hAnsi="宋体"/>
          <w:b w:val="0"/>
          <w:bCs w:val="0"/>
          <w:highlight w:val="none"/>
          <w:u w:val="single"/>
        </w:rPr>
        <w:t>0</w:t>
      </w:r>
      <w:r>
        <w:rPr>
          <w:rFonts w:ascii="宋体" w:hAnsi="宋体"/>
          <w:b w:val="0"/>
          <w:bCs w:val="0"/>
          <w:highlight w:val="none"/>
        </w:rPr>
        <w:t>分</w:t>
      </w:r>
      <w:r>
        <w:rPr>
          <w:rFonts w:hint="eastAsia" w:ascii="宋体" w:hAnsi="宋体"/>
          <w:b w:val="0"/>
          <w:bCs w:val="0"/>
          <w:highlight w:val="none"/>
          <w:u w:val="single"/>
        </w:rPr>
        <w:t>00</w:t>
      </w:r>
      <w:r>
        <w:rPr>
          <w:rFonts w:ascii="宋体" w:hAnsi="宋体"/>
          <w:b w:val="0"/>
          <w:bCs w:val="0"/>
          <w:highlight w:val="none"/>
        </w:rPr>
        <w:t>秒；</w:t>
      </w:r>
    </w:p>
    <w:p w14:paraId="39C90E9C">
      <w:pPr>
        <w:spacing w:line="400" w:lineRule="exact"/>
        <w:ind w:firstLine="422" w:firstLineChars="200"/>
        <w:rPr>
          <w:rFonts w:ascii="宋体" w:hAnsi="宋体"/>
        </w:rPr>
      </w:pPr>
      <w:r>
        <w:rPr>
          <w:b/>
          <w:bCs/>
        </w:rPr>
        <w:t>5</w:t>
      </w:r>
      <w:r>
        <w:rPr>
          <w:rFonts w:ascii="宋体" w:hAnsi="宋体"/>
          <w:b/>
          <w:bCs/>
        </w:rPr>
        <w:t>.</w:t>
      </w:r>
      <w:r>
        <w:rPr>
          <w:b/>
          <w:bCs/>
        </w:rPr>
        <w:t>2</w:t>
      </w:r>
      <w:r>
        <w:rPr>
          <w:rFonts w:ascii="宋体" w:hAnsi="宋体"/>
          <w:b/>
          <w:bCs/>
        </w:rPr>
        <w:t xml:space="preserve"> </w:t>
      </w:r>
      <w:r>
        <w:rPr>
          <w:rFonts w:ascii="宋体" w:hAnsi="宋体"/>
        </w:rPr>
        <w:t>递交方式：各供应商应在响应文件递交截止时间前通过河北交投招标与采购服务平台递交.</w:t>
      </w:r>
      <w:r>
        <w:t>HEBJTTF</w:t>
      </w:r>
      <w:r>
        <w:rPr>
          <w:rFonts w:ascii="宋体" w:hAnsi="宋体"/>
        </w:rPr>
        <w:t>格式响应文件，</w:t>
      </w:r>
      <w:r>
        <w:rPr>
          <w:rFonts w:hint="eastAsia" w:ascii="宋体" w:hAnsi="宋体"/>
        </w:rPr>
        <w:t>不</w:t>
      </w:r>
      <w:r>
        <w:rPr>
          <w:rFonts w:ascii="宋体" w:hAnsi="宋体"/>
        </w:rPr>
        <w:t>提交纸质版文件。逾期递交的响应文件，采购人将予以拒收。</w:t>
      </w:r>
    </w:p>
    <w:p w14:paraId="318226A6">
      <w:pPr>
        <w:spacing w:line="400" w:lineRule="exact"/>
        <w:ind w:firstLine="422" w:firstLineChars="200"/>
        <w:rPr>
          <w:rFonts w:ascii="宋体" w:hAnsi="宋体"/>
        </w:rPr>
      </w:pPr>
      <w:r>
        <w:rPr>
          <w:b/>
          <w:bCs/>
        </w:rPr>
        <w:t>5</w:t>
      </w:r>
      <w:r>
        <w:rPr>
          <w:rFonts w:ascii="宋体" w:hAnsi="宋体"/>
          <w:b/>
          <w:bCs/>
        </w:rPr>
        <w:t>.</w:t>
      </w:r>
      <w:r>
        <w:rPr>
          <w:b/>
          <w:bCs/>
        </w:rPr>
        <w:t>3</w:t>
      </w:r>
      <w:r>
        <w:rPr>
          <w:rFonts w:ascii="宋体" w:hAnsi="宋体"/>
          <w:b/>
          <w:bCs/>
        </w:rPr>
        <w:t xml:space="preserve"> </w:t>
      </w:r>
      <w:r>
        <w:rPr>
          <w:rFonts w:ascii="宋体" w:hAnsi="宋体"/>
        </w:rPr>
        <w:t>开启方式：</w:t>
      </w:r>
    </w:p>
    <w:p w14:paraId="755C96D7">
      <w:pPr>
        <w:spacing w:line="400" w:lineRule="exact"/>
        <w:ind w:firstLine="420" w:firstLineChars="200"/>
        <w:rPr>
          <w:rFonts w:ascii="宋体" w:hAnsi="宋体"/>
        </w:rPr>
      </w:pPr>
      <w:bookmarkStart w:id="81" w:name="_Hlk139376684"/>
      <w:r>
        <w:rPr>
          <w:rFonts w:ascii="宋体" w:hAnsi="宋体"/>
        </w:rPr>
        <w:t>（</w:t>
      </w:r>
      <w:r>
        <w:t>1</w:t>
      </w:r>
      <w:r>
        <w:rPr>
          <w:rFonts w:ascii="宋体" w:hAnsi="宋体"/>
        </w:rPr>
        <w:t>）供应商须登录河北交投招标与采购服务平台在线参加开启工作。开启时，供应商进入河北交投招标与采购服务平台-开标大厅，然后通过投标人登录进入开标大厅观看开启直播。</w:t>
      </w:r>
    </w:p>
    <w:p w14:paraId="08D93B6B">
      <w:pPr>
        <w:spacing w:line="400" w:lineRule="exact"/>
        <w:ind w:firstLine="420" w:firstLineChars="200"/>
        <w:rPr>
          <w:rFonts w:ascii="宋体" w:hAnsi="宋体"/>
        </w:rPr>
      </w:pPr>
      <w:r>
        <w:rPr>
          <w:rFonts w:ascii="宋体" w:hAnsi="宋体"/>
        </w:rPr>
        <w:t>（</w:t>
      </w:r>
      <w:r>
        <w:t>2</w:t>
      </w:r>
      <w:r>
        <w:rPr>
          <w:rFonts w:ascii="宋体" w:hAnsi="宋体"/>
        </w:rPr>
        <w:t>）在开启准备环节，供应商无需操作，等待采购人/采购代理机构完成响应文件的解密及导入。</w:t>
      </w:r>
    </w:p>
    <w:p w14:paraId="2DC09805">
      <w:pPr>
        <w:spacing w:line="400" w:lineRule="exact"/>
        <w:ind w:firstLine="420" w:firstLineChars="200"/>
        <w:rPr>
          <w:rFonts w:ascii="宋体" w:hAnsi="宋体"/>
        </w:rPr>
      </w:pPr>
      <w:r>
        <w:rPr>
          <w:rFonts w:ascii="宋体" w:hAnsi="宋体"/>
        </w:rPr>
        <w:t>（</w:t>
      </w:r>
      <w:r>
        <w:t>3</w:t>
      </w:r>
      <w:r>
        <w:rPr>
          <w:rFonts w:ascii="宋体" w:hAnsi="宋体"/>
        </w:rPr>
        <w:t>）开启管理员下达解密指令后，供应商须在电脑插入河北交投</w:t>
      </w:r>
      <w:r>
        <w:t>CA</w:t>
      </w:r>
      <w:r>
        <w:rPr>
          <w:rFonts w:ascii="宋体" w:hAnsi="宋体"/>
        </w:rPr>
        <w:t>数字证书后点击【投标单位</w:t>
      </w:r>
      <w:r>
        <w:t>CA</w:t>
      </w:r>
      <w:r>
        <w:rPr>
          <w:rFonts w:ascii="宋体" w:hAnsi="宋体"/>
        </w:rPr>
        <w:t>解密】，输入数字证书密码完成解密</w:t>
      </w:r>
      <w:r>
        <w:rPr>
          <w:rFonts w:hint="eastAsia" w:ascii="宋体" w:hAnsi="宋体"/>
        </w:rPr>
        <w:t>（</w:t>
      </w:r>
      <w:r>
        <w:rPr>
          <w:rFonts w:hint="eastAsia"/>
        </w:rPr>
        <w:t>30</w:t>
      </w:r>
      <w:r>
        <w:rPr>
          <w:rFonts w:hint="eastAsia" w:ascii="宋体" w:hAnsi="宋体"/>
        </w:rPr>
        <w:t>分钟有效）</w:t>
      </w:r>
      <w:r>
        <w:rPr>
          <w:rFonts w:ascii="宋体" w:hAnsi="宋体"/>
        </w:rPr>
        <w:t>。</w:t>
      </w:r>
    </w:p>
    <w:p w14:paraId="39856F76">
      <w:pPr>
        <w:pStyle w:val="108"/>
        <w:wordWrap/>
        <w:spacing w:line="400" w:lineRule="exact"/>
        <w:ind w:firstLineChars="200"/>
        <w:rPr>
          <w:rFonts w:ascii="宋体" w:hAnsi="宋体" w:eastAsia="宋体"/>
        </w:rPr>
      </w:pPr>
      <w:r>
        <w:rPr>
          <w:rFonts w:ascii="宋体" w:hAnsi="宋体" w:eastAsia="宋体"/>
        </w:rPr>
        <w:t>因供应商未按操作手册要求配置软硬件、忘记河北交投</w:t>
      </w:r>
      <w:r>
        <w:rPr>
          <w:rFonts w:ascii="Times New Roman" w:hAnsi="Times New Roman" w:eastAsia="宋体"/>
        </w:rPr>
        <w:t>CA</w:t>
      </w:r>
      <w:r>
        <w:rPr>
          <w:rFonts w:ascii="宋体" w:hAnsi="宋体" w:eastAsia="宋体"/>
        </w:rPr>
        <w:t>登陆密码、未在要求时限内完成解密等自身原因，导致响应文件在规定时间内未能解密、解密失败或解密超时，视为供应商撤销投标，由供应商自身承担一切后果。</w:t>
      </w:r>
    </w:p>
    <w:p w14:paraId="5BAF3E9A">
      <w:pPr>
        <w:widowControl/>
        <w:spacing w:line="400" w:lineRule="exact"/>
        <w:ind w:firstLine="420" w:firstLineChars="200"/>
        <w:rPr>
          <w:rFonts w:ascii="宋体" w:hAnsi="宋体"/>
        </w:rPr>
      </w:pPr>
      <w:r>
        <w:rPr>
          <w:rFonts w:ascii="宋体" w:hAnsi="宋体"/>
        </w:rPr>
        <w:t>因供应商的河北交投</w:t>
      </w:r>
      <w:r>
        <w:t>CA</w:t>
      </w:r>
      <w:r>
        <w:rPr>
          <w:rFonts w:ascii="宋体" w:hAnsi="宋体"/>
        </w:rPr>
        <w:t>数字证书发生故障，可在线向开启管理员提出开启“密码解密”功能，开启管理员同意开启后，供应商可输入编制响应文件时设置的保障密码对响应文件进行解密。</w:t>
      </w:r>
    </w:p>
    <w:p w14:paraId="6CF1819D">
      <w:pPr>
        <w:widowControl/>
        <w:spacing w:line="400" w:lineRule="exact"/>
        <w:ind w:firstLine="420" w:firstLineChars="200"/>
        <w:rPr>
          <w:rFonts w:ascii="宋体" w:hAnsi="宋体"/>
        </w:rPr>
      </w:pPr>
      <w:r>
        <w:rPr>
          <w:rFonts w:ascii="宋体" w:hAnsi="宋体"/>
        </w:rPr>
        <w:t>因采购人原因或系统发生故障等，导致无法按时完成响应文件解密或开启工作无法进行的，可根据实际情况相应延迟解密时间或调整开启时间。</w:t>
      </w:r>
    </w:p>
    <w:p w14:paraId="1618611D">
      <w:pPr>
        <w:spacing w:line="400" w:lineRule="exact"/>
        <w:ind w:firstLine="420" w:firstLineChars="200"/>
        <w:rPr>
          <w:rFonts w:ascii="宋体" w:hAnsi="宋体"/>
        </w:rPr>
      </w:pPr>
      <w:r>
        <w:rPr>
          <w:rFonts w:ascii="宋体" w:hAnsi="宋体"/>
        </w:rPr>
        <w:t>（</w:t>
      </w:r>
      <w:r>
        <w:t>4</w:t>
      </w:r>
      <w:r>
        <w:rPr>
          <w:rFonts w:ascii="宋体" w:hAnsi="宋体"/>
        </w:rPr>
        <w:t>）解密时间结束后，等待开启人点击唱标后，供应商即可查看唱标内容并查看开启记录表。开启过程中，可在线提出异议，开启管理员回复后可进行查看。</w:t>
      </w:r>
    </w:p>
    <w:bookmarkEnd w:id="80"/>
    <w:bookmarkEnd w:id="81"/>
    <w:p w14:paraId="5F3DF7E7">
      <w:pPr>
        <w:widowControl/>
        <w:spacing w:before="260" w:after="260"/>
        <w:outlineLvl w:val="1"/>
        <w:rPr>
          <w:rFonts w:eastAsia="黑体"/>
          <w:b/>
          <w:spacing w:val="1"/>
          <w:kern w:val="0"/>
          <w:sz w:val="28"/>
          <w:szCs w:val="28"/>
        </w:rPr>
      </w:pPr>
      <w:bookmarkStart w:id="82" w:name="_Toc149140171"/>
      <w:r>
        <w:rPr>
          <w:rFonts w:eastAsia="黑体"/>
          <w:b/>
          <w:spacing w:val="1"/>
          <w:kern w:val="0"/>
          <w:sz w:val="28"/>
          <w:szCs w:val="28"/>
        </w:rPr>
        <w:t>6. 发布公告的媒介</w:t>
      </w:r>
      <w:bookmarkEnd w:id="82"/>
    </w:p>
    <w:p w14:paraId="5C6B3867">
      <w:pPr>
        <w:spacing w:line="400" w:lineRule="exact"/>
        <w:ind w:firstLine="424" w:firstLineChars="200"/>
        <w:rPr>
          <w:rFonts w:ascii="宋体" w:hAnsi="宋体"/>
          <w:spacing w:val="1"/>
          <w:kern w:val="0"/>
          <w:szCs w:val="21"/>
        </w:rPr>
      </w:pPr>
      <w:bookmarkStart w:id="83" w:name="_Hlk139440160"/>
      <w:r>
        <w:rPr>
          <w:rFonts w:ascii="宋体" w:hAnsi="宋体"/>
          <w:spacing w:val="1"/>
          <w:kern w:val="0"/>
          <w:szCs w:val="21"/>
        </w:rPr>
        <w:t>本采购公告同时在</w:t>
      </w:r>
      <w:r>
        <w:rPr>
          <w:rFonts w:ascii="宋体" w:hAnsi="宋体"/>
          <w:spacing w:val="1"/>
          <w:kern w:val="0"/>
          <w:szCs w:val="21"/>
          <w:u w:val="single"/>
        </w:rPr>
        <w:t>河北交投招标与采购服务平台</w:t>
      </w:r>
      <w:r>
        <w:rPr>
          <w:rFonts w:ascii="宋体" w:hAnsi="宋体"/>
          <w:spacing w:val="1"/>
          <w:kern w:val="0"/>
          <w:szCs w:val="21"/>
        </w:rPr>
        <w:t>上发布。</w:t>
      </w:r>
    </w:p>
    <w:bookmarkEnd w:id="83"/>
    <w:p w14:paraId="062EDEC4">
      <w:pPr>
        <w:widowControl/>
        <w:spacing w:before="260" w:after="260"/>
        <w:outlineLvl w:val="1"/>
        <w:rPr>
          <w:rFonts w:eastAsia="黑体"/>
          <w:b/>
          <w:spacing w:val="1"/>
          <w:kern w:val="0"/>
          <w:sz w:val="28"/>
          <w:szCs w:val="28"/>
        </w:rPr>
      </w:pPr>
      <w:bookmarkStart w:id="84" w:name="_Toc149140172"/>
      <w:r>
        <w:rPr>
          <w:rFonts w:eastAsia="黑体"/>
          <w:b/>
          <w:spacing w:val="1"/>
          <w:kern w:val="0"/>
          <w:sz w:val="28"/>
          <w:szCs w:val="28"/>
        </w:rPr>
        <w:t>7. 其他</w:t>
      </w:r>
      <w:bookmarkEnd w:id="84"/>
    </w:p>
    <w:p w14:paraId="3F9AB8C2">
      <w:pPr>
        <w:spacing w:line="400" w:lineRule="exact"/>
        <w:ind w:firstLine="420" w:firstLineChars="200"/>
        <w:rPr>
          <w:rFonts w:ascii="宋体" w:hAnsi="宋体"/>
          <w:szCs w:val="21"/>
          <w:u w:val="single"/>
        </w:rPr>
      </w:pPr>
      <w:bookmarkStart w:id="85" w:name="_Hlk137460110"/>
      <w:r>
        <w:rPr>
          <w:rFonts w:ascii="宋体" w:hAnsi="宋体"/>
          <w:szCs w:val="21"/>
          <w:u w:val="single"/>
        </w:rPr>
        <w:t>如需帮助，请登陆河北交投招标与采购服务平台网站首页“服务指南”-“操作手册”查看相应操作手册。</w:t>
      </w:r>
    </w:p>
    <w:bookmarkEnd w:id="85"/>
    <w:p w14:paraId="4C5BE452">
      <w:pPr>
        <w:widowControl/>
        <w:spacing w:before="260" w:after="260"/>
        <w:outlineLvl w:val="1"/>
        <w:rPr>
          <w:rFonts w:eastAsia="黑体"/>
          <w:b/>
          <w:spacing w:val="1"/>
          <w:kern w:val="0"/>
          <w:sz w:val="28"/>
          <w:szCs w:val="28"/>
        </w:rPr>
      </w:pPr>
      <w:bookmarkStart w:id="86" w:name="_Toc149140173"/>
      <w:r>
        <w:rPr>
          <w:rFonts w:eastAsia="黑体"/>
          <w:b/>
          <w:spacing w:val="1"/>
          <w:kern w:val="0"/>
          <w:sz w:val="28"/>
          <w:szCs w:val="28"/>
        </w:rPr>
        <w:t>8. 联系方式</w:t>
      </w:r>
      <w:bookmarkEnd w:id="86"/>
    </w:p>
    <w:p w14:paraId="60AB28EB">
      <w:pPr>
        <w:spacing w:line="400" w:lineRule="exact"/>
        <w:ind w:firstLine="420" w:firstLineChars="200"/>
        <w:rPr>
          <w:rFonts w:ascii="宋体" w:hAnsi="宋体"/>
          <w:kern w:val="0"/>
          <w:szCs w:val="21"/>
        </w:rPr>
      </w:pPr>
      <w:r>
        <w:rPr>
          <w:rFonts w:ascii="宋体" w:hAnsi="宋体"/>
          <w:kern w:val="0"/>
          <w:szCs w:val="21"/>
        </w:rPr>
        <w:t>采 购 人：</w:t>
      </w:r>
      <w:r>
        <w:rPr>
          <w:rFonts w:hint="eastAsia" w:cs="宋体" w:asciiTheme="minorEastAsia" w:hAnsiTheme="minorEastAsia" w:eastAsiaTheme="minorEastAsia"/>
          <w:kern w:val="0"/>
          <w:szCs w:val="21"/>
        </w:rPr>
        <w:t>河北交投绿色建材有限公司</w:t>
      </w:r>
    </w:p>
    <w:p w14:paraId="5AC01125">
      <w:pPr>
        <w:spacing w:line="400" w:lineRule="exact"/>
        <w:ind w:firstLine="420" w:firstLineChars="200"/>
        <w:rPr>
          <w:rFonts w:hint="eastAsia"/>
          <w:color w:val="000000" w:themeColor="text1"/>
          <w:highlight w:val="none"/>
          <w14:textFill>
            <w14:solidFill>
              <w14:schemeClr w14:val="tx1"/>
            </w14:solidFill>
          </w14:textFill>
        </w:rPr>
      </w:pPr>
      <w:r>
        <w:rPr>
          <w:rFonts w:ascii="宋体" w:hAnsi="宋体"/>
          <w:kern w:val="0"/>
          <w:szCs w:val="21"/>
        </w:rPr>
        <w:t>地    址</w:t>
      </w:r>
      <w:r>
        <w:rPr>
          <w:rFonts w:ascii="宋体" w:hAnsi="宋体"/>
          <w:kern w:val="0"/>
          <w:szCs w:val="21"/>
          <w:highlight w:val="none"/>
        </w:rPr>
        <w:t>：</w:t>
      </w:r>
      <w:r>
        <w:rPr>
          <w:rFonts w:hint="eastAsia"/>
          <w:color w:val="000000" w:themeColor="text1"/>
          <w:highlight w:val="none"/>
          <w14:textFill>
            <w14:solidFill>
              <w14:schemeClr w14:val="tx1"/>
            </w14:solidFill>
          </w14:textFill>
        </w:rPr>
        <w:t>河北高碑店市张六庄镇祥瑞路1号</w:t>
      </w:r>
    </w:p>
    <w:p w14:paraId="0B1D0D9D">
      <w:pPr>
        <w:spacing w:line="400" w:lineRule="exact"/>
        <w:ind w:firstLine="420" w:firstLineChars="200"/>
        <w:rPr>
          <w:rFonts w:hint="eastAsia"/>
          <w:color w:val="000000" w:themeColor="text1"/>
          <w:highlight w:val="none"/>
          <w:lang w:val="en-US" w:eastAsia="zh-CN"/>
          <w14:textFill>
            <w14:solidFill>
              <w14:schemeClr w14:val="tx1"/>
            </w14:solidFill>
          </w14:textFill>
        </w:rPr>
      </w:pPr>
      <w:r>
        <w:rPr>
          <w:rFonts w:ascii="宋体" w:hAnsi="宋体"/>
          <w:kern w:val="0"/>
          <w:szCs w:val="21"/>
          <w:highlight w:val="none"/>
        </w:rPr>
        <w:t>联 系 人：</w:t>
      </w:r>
      <w:r>
        <w:rPr>
          <w:rFonts w:hint="eastAsia" w:ascii="宋体" w:hAnsi="宋体"/>
          <w:kern w:val="0"/>
          <w:szCs w:val="21"/>
          <w:highlight w:val="none"/>
          <w:lang w:val="en-US" w:eastAsia="zh-CN"/>
        </w:rPr>
        <w:t xml:space="preserve">李森             </w:t>
      </w:r>
      <w:r>
        <w:rPr>
          <w:rFonts w:hint="eastAsia"/>
          <w:color w:val="000000" w:themeColor="text1"/>
          <w:highlight w:val="none"/>
          <w14:textFill>
            <w14:solidFill>
              <w14:schemeClr w14:val="tx1"/>
            </w14:solidFill>
          </w14:textFill>
        </w:rPr>
        <w:t>庄</w:t>
      </w:r>
      <w:r>
        <w:rPr>
          <w:rFonts w:hint="eastAsia"/>
          <w:color w:val="000000" w:themeColor="text1"/>
          <w:highlight w:val="none"/>
          <w:lang w:val="en-US" w:eastAsia="zh-CN"/>
          <w14:textFill>
            <w14:solidFill>
              <w14:schemeClr w14:val="tx1"/>
            </w14:solidFill>
          </w14:textFill>
        </w:rPr>
        <w:t>荣丽</w:t>
      </w:r>
    </w:p>
    <w:p w14:paraId="3D8AB93A">
      <w:pPr>
        <w:spacing w:line="400" w:lineRule="exact"/>
        <w:ind w:firstLine="420" w:firstLineChars="200"/>
        <w:rPr>
          <w:rFonts w:hint="eastAsia"/>
          <w:szCs w:val="21"/>
          <w:highlight w:val="none"/>
        </w:rPr>
      </w:pPr>
      <w:r>
        <w:rPr>
          <w:rFonts w:ascii="宋体" w:hAnsi="宋体"/>
          <w:szCs w:val="21"/>
          <w:highlight w:val="none"/>
        </w:rPr>
        <w:t xml:space="preserve">电    </w:t>
      </w:r>
      <w:r>
        <w:rPr>
          <w:rFonts w:ascii="宋体" w:hAnsi="宋体"/>
          <w:kern w:val="0"/>
          <w:szCs w:val="21"/>
          <w:highlight w:val="none"/>
        </w:rPr>
        <w:t>话：</w:t>
      </w:r>
      <w:r>
        <w:rPr>
          <w:rFonts w:hint="eastAsia" w:cs="Times New Roman"/>
          <w:szCs w:val="21"/>
          <w:highlight w:val="none"/>
          <w:lang w:val="en-US" w:eastAsia="zh-CN"/>
        </w:rPr>
        <w:t>17731845008</w:t>
      </w:r>
      <w:r>
        <w:rPr>
          <w:rFonts w:hint="eastAsia" w:ascii="Times New Roman" w:hAnsi="Times New Roman" w:eastAsia="宋体" w:cs="Times New Roman"/>
          <w:szCs w:val="21"/>
          <w:highlight w:val="none"/>
          <w:lang w:val="en-US" w:eastAsia="zh-CN"/>
        </w:rPr>
        <w:t xml:space="preserve">  </w:t>
      </w:r>
      <w:r>
        <w:rPr>
          <w:rFonts w:hint="eastAsia" w:ascii="宋体" w:hAnsi="宋体"/>
          <w:kern w:val="0"/>
          <w:szCs w:val="21"/>
          <w:highlight w:val="none"/>
          <w:lang w:val="en-US" w:eastAsia="zh-CN"/>
        </w:rPr>
        <w:t xml:space="preserve">      </w:t>
      </w:r>
      <w:r>
        <w:rPr>
          <w:rFonts w:hint="eastAsia"/>
          <w:szCs w:val="21"/>
          <w:highlight w:val="none"/>
        </w:rPr>
        <w:t>15133994592</w:t>
      </w:r>
    </w:p>
    <w:bookmarkEnd w:id="38"/>
    <w:p w14:paraId="6A435247">
      <w:pPr>
        <w:spacing w:line="400" w:lineRule="exact"/>
        <w:ind w:firstLine="420" w:firstLineChars="200"/>
        <w:rPr>
          <w:rFonts w:ascii="宋体" w:hAnsi="宋体"/>
          <w:szCs w:val="21"/>
          <w:u w:val="single"/>
        </w:rPr>
      </w:pPr>
    </w:p>
    <w:p w14:paraId="6C3FC024">
      <w:pPr>
        <w:spacing w:line="400" w:lineRule="exact"/>
        <w:ind w:firstLine="420" w:firstLineChars="200"/>
        <w:rPr>
          <w:rFonts w:ascii="宋体" w:hAnsi="宋体"/>
          <w:szCs w:val="21"/>
        </w:rPr>
      </w:pPr>
      <w:r>
        <w:rPr>
          <w:rFonts w:ascii="宋体" w:hAnsi="宋体"/>
          <w:szCs w:val="21"/>
        </w:rPr>
        <w:t>采购代理机构：</w:t>
      </w:r>
      <w:r>
        <w:rPr>
          <w:rFonts w:hint="eastAsia"/>
          <w:szCs w:val="21"/>
        </w:rPr>
        <w:t>河北雄安交投工程咨询有限公司</w:t>
      </w:r>
    </w:p>
    <w:p w14:paraId="1ABE4ED7">
      <w:pPr>
        <w:spacing w:line="400" w:lineRule="exact"/>
        <w:ind w:firstLine="420" w:firstLineChars="200"/>
        <w:rPr>
          <w:rFonts w:ascii="宋体" w:hAnsi="宋体"/>
          <w:szCs w:val="21"/>
          <w:u w:val="single"/>
        </w:rPr>
      </w:pPr>
      <w:r>
        <w:rPr>
          <w:rFonts w:ascii="宋体" w:hAnsi="宋体"/>
          <w:szCs w:val="21"/>
        </w:rPr>
        <w:t>地    址：</w:t>
      </w:r>
      <w:r>
        <w:rPr>
          <w:rFonts w:hint="eastAsia"/>
          <w:szCs w:val="21"/>
        </w:rPr>
        <w:t>河北省保定市容城县</w:t>
      </w:r>
      <w:r>
        <w:rPr>
          <w:rFonts w:hint="eastAsia"/>
          <w:szCs w:val="21"/>
          <w:lang w:val="en-US" w:eastAsia="zh-CN"/>
        </w:rPr>
        <w:t>益康路6</w:t>
      </w:r>
      <w:r>
        <w:rPr>
          <w:rFonts w:hint="eastAsia"/>
          <w:szCs w:val="21"/>
        </w:rPr>
        <w:t>号</w:t>
      </w:r>
      <w:r>
        <w:rPr>
          <w:rFonts w:hint="eastAsia"/>
          <w:szCs w:val="21"/>
          <w:lang w:val="en-US" w:eastAsia="zh-CN"/>
        </w:rPr>
        <w:t>120</w:t>
      </w:r>
      <w:r>
        <w:rPr>
          <w:rFonts w:hint="eastAsia"/>
          <w:szCs w:val="21"/>
        </w:rPr>
        <w:t>室</w:t>
      </w:r>
    </w:p>
    <w:p w14:paraId="0476734F">
      <w:pPr>
        <w:spacing w:line="400" w:lineRule="exact"/>
        <w:ind w:firstLine="420" w:firstLineChars="200"/>
        <w:rPr>
          <w:rFonts w:ascii="宋体" w:hAnsi="宋体"/>
          <w:szCs w:val="21"/>
        </w:rPr>
      </w:pPr>
      <w:r>
        <w:rPr>
          <w:rFonts w:ascii="宋体" w:hAnsi="宋体"/>
          <w:szCs w:val="21"/>
        </w:rPr>
        <w:t>联 系 人：</w:t>
      </w:r>
      <w:r>
        <w:rPr>
          <w:rFonts w:hint="eastAsia"/>
          <w:szCs w:val="21"/>
        </w:rPr>
        <w:t>赵伯珅</w:t>
      </w:r>
    </w:p>
    <w:p w14:paraId="166DDAE8">
      <w:pPr>
        <w:spacing w:line="400" w:lineRule="exact"/>
        <w:ind w:firstLine="420" w:firstLineChars="200"/>
        <w:rPr>
          <w:rFonts w:ascii="宋体" w:hAnsi="宋体"/>
          <w:szCs w:val="21"/>
          <w:u w:val="single"/>
        </w:rPr>
      </w:pPr>
      <w:r>
        <w:rPr>
          <w:rFonts w:ascii="宋体" w:hAnsi="宋体"/>
          <w:szCs w:val="21"/>
        </w:rPr>
        <w:t>电    话</w:t>
      </w:r>
      <w:r>
        <w:rPr>
          <w:rFonts w:ascii="宋体" w:hAnsi="宋体"/>
          <w:szCs w:val="21"/>
          <w:highlight w:val="none"/>
        </w:rPr>
        <w:t>：</w:t>
      </w:r>
      <w:r>
        <w:rPr>
          <w:rFonts w:hint="eastAsia" w:ascii="Times New Roman" w:hAnsi="Times New Roman" w:eastAsia="宋体" w:cs="Times New Roman"/>
          <w:szCs w:val="21"/>
          <w:highlight w:val="none"/>
          <w:lang w:val="en-US" w:eastAsia="zh-CN"/>
        </w:rPr>
        <w:t>0312-6736380</w:t>
      </w:r>
    </w:p>
    <w:p w14:paraId="0AC8CD21">
      <w:pPr>
        <w:spacing w:line="400" w:lineRule="exact"/>
        <w:ind w:firstLine="420" w:firstLineChars="200"/>
        <w:rPr>
          <w:rFonts w:ascii="宋体" w:hAnsi="宋体"/>
          <w:b/>
          <w:bCs/>
          <w:szCs w:val="21"/>
        </w:rPr>
      </w:pPr>
      <w:r>
        <w:rPr>
          <w:rFonts w:ascii="宋体" w:hAnsi="宋体"/>
          <w:szCs w:val="21"/>
        </w:rPr>
        <w:t>电子邮件：</w:t>
      </w:r>
      <w:r>
        <w:rPr>
          <w:rFonts w:hint="eastAsia"/>
          <w:szCs w:val="21"/>
        </w:rPr>
        <w:t>xjtgczx_jyb@163.com</w:t>
      </w:r>
    </w:p>
    <w:p w14:paraId="11B66968">
      <w:pPr>
        <w:widowControl/>
        <w:spacing w:before="260" w:after="260"/>
        <w:outlineLvl w:val="1"/>
        <w:rPr>
          <w:rFonts w:eastAsia="黑体"/>
          <w:b/>
          <w:spacing w:val="1"/>
          <w:kern w:val="0"/>
          <w:sz w:val="28"/>
          <w:szCs w:val="28"/>
        </w:rPr>
      </w:pPr>
      <w:bookmarkStart w:id="87" w:name="_Toc149140174"/>
      <w:r>
        <w:rPr>
          <w:rFonts w:eastAsia="黑体"/>
          <w:b/>
          <w:spacing w:val="1"/>
          <w:kern w:val="0"/>
          <w:sz w:val="28"/>
          <w:szCs w:val="28"/>
        </w:rPr>
        <w:t>9. 河北交投招标与采购服务平台</w:t>
      </w:r>
      <w:r>
        <w:rPr>
          <w:rFonts w:hint="eastAsia" w:eastAsia="黑体"/>
          <w:b/>
          <w:spacing w:val="1"/>
          <w:kern w:val="0"/>
          <w:sz w:val="28"/>
          <w:szCs w:val="28"/>
        </w:rPr>
        <w:t>使用</w:t>
      </w:r>
      <w:r>
        <w:rPr>
          <w:rFonts w:eastAsia="黑体"/>
          <w:b/>
          <w:spacing w:val="1"/>
          <w:kern w:val="0"/>
          <w:sz w:val="28"/>
          <w:szCs w:val="28"/>
        </w:rPr>
        <w:t>说明</w:t>
      </w:r>
      <w:bookmarkEnd w:id="87"/>
    </w:p>
    <w:p w14:paraId="2B914C5F">
      <w:pPr>
        <w:spacing w:line="400" w:lineRule="exact"/>
        <w:ind w:firstLine="420" w:firstLineChars="200"/>
        <w:rPr>
          <w:rFonts w:ascii="宋体" w:hAnsi="宋体"/>
        </w:rPr>
      </w:pPr>
      <w:bookmarkStart w:id="88" w:name="_Toc118805230"/>
      <w:bookmarkStart w:id="89" w:name="_Hlk137460228"/>
      <w:r>
        <w:t>9</w:t>
      </w:r>
      <w:r>
        <w:rPr>
          <w:rFonts w:ascii="宋体" w:hAnsi="宋体"/>
        </w:rPr>
        <w:t>.</w:t>
      </w:r>
      <w:r>
        <w:t>1</w:t>
      </w:r>
      <w:r>
        <w:rPr>
          <w:rFonts w:ascii="宋体" w:hAnsi="宋体"/>
        </w:rPr>
        <w:t>递交响应</w:t>
      </w:r>
      <w:r>
        <w:rPr>
          <w:rFonts w:ascii="宋体" w:hAnsi="宋体"/>
          <w:spacing w:val="1"/>
          <w:kern w:val="0"/>
          <w:szCs w:val="21"/>
        </w:rPr>
        <w:t>文件</w:t>
      </w:r>
      <w:bookmarkEnd w:id="88"/>
    </w:p>
    <w:p w14:paraId="6EF0C7E4">
      <w:pPr>
        <w:spacing w:line="400" w:lineRule="exact"/>
        <w:ind w:firstLine="420" w:firstLineChars="200"/>
        <w:rPr>
          <w:rFonts w:ascii="宋体" w:hAnsi="宋体"/>
          <w:szCs w:val="21"/>
        </w:rPr>
      </w:pPr>
      <w:r>
        <w:rPr>
          <w:rFonts w:ascii="宋体" w:hAnsi="宋体"/>
          <w:szCs w:val="21"/>
        </w:rPr>
        <w:t>（</w:t>
      </w:r>
      <w:r>
        <w:rPr>
          <w:szCs w:val="21"/>
        </w:rPr>
        <w:t>1</w:t>
      </w:r>
      <w:r>
        <w:rPr>
          <w:rFonts w:ascii="宋体" w:hAnsi="宋体"/>
          <w:szCs w:val="21"/>
        </w:rPr>
        <w:t>）供应商应充分考虑到网络及系统平台可能存在的非正常情况，建议在响应文件递交截止时间</w:t>
      </w:r>
      <w:r>
        <w:rPr>
          <w:szCs w:val="21"/>
        </w:rPr>
        <w:t>2</w:t>
      </w:r>
      <w:r>
        <w:rPr>
          <w:rFonts w:ascii="宋体" w:hAnsi="宋体"/>
          <w:szCs w:val="21"/>
        </w:rPr>
        <w:t>小时前上传（对于超过</w:t>
      </w:r>
      <w:r>
        <w:rPr>
          <w:szCs w:val="21"/>
        </w:rPr>
        <w:t>100M</w:t>
      </w:r>
      <w:r>
        <w:rPr>
          <w:rFonts w:ascii="宋体" w:hAnsi="宋体"/>
          <w:szCs w:val="21"/>
        </w:rPr>
        <w:t>的文件，需预留更多时间）。</w:t>
      </w:r>
    </w:p>
    <w:p w14:paraId="7C1486D5">
      <w:pPr>
        <w:spacing w:line="400" w:lineRule="exact"/>
        <w:ind w:firstLine="420" w:firstLineChars="200"/>
        <w:rPr>
          <w:rFonts w:ascii="宋体" w:hAnsi="宋体"/>
          <w:szCs w:val="21"/>
        </w:rPr>
      </w:pPr>
      <w:r>
        <w:rPr>
          <w:rFonts w:ascii="宋体" w:hAnsi="宋体"/>
          <w:szCs w:val="21"/>
        </w:rPr>
        <w:t>（</w:t>
      </w:r>
      <w:r>
        <w:rPr>
          <w:szCs w:val="21"/>
        </w:rPr>
        <w:t>2</w:t>
      </w:r>
      <w:r>
        <w:rPr>
          <w:rFonts w:ascii="宋体" w:hAnsi="宋体"/>
          <w:szCs w:val="21"/>
        </w:rPr>
        <w:t>）供应商应充分考虑下载采购文件、递交响应文件等相关操作所需时间，提前进行相应业务操作。避免临近截止时间因网络环境、个人电脑环境等原因导致未能及时参与、报价、递交文件，导致响应失败。</w:t>
      </w:r>
    </w:p>
    <w:p w14:paraId="58ED8B72">
      <w:pPr>
        <w:spacing w:line="400" w:lineRule="exact"/>
        <w:ind w:firstLine="420" w:firstLineChars="200"/>
        <w:rPr>
          <w:rFonts w:ascii="宋体" w:hAnsi="宋体"/>
          <w:szCs w:val="21"/>
        </w:rPr>
      </w:pPr>
      <w:r>
        <w:rPr>
          <w:rFonts w:ascii="宋体" w:hAnsi="宋体"/>
          <w:szCs w:val="21"/>
        </w:rPr>
        <w:t>（</w:t>
      </w:r>
      <w:r>
        <w:rPr>
          <w:szCs w:val="21"/>
        </w:rPr>
        <w:t>3</w:t>
      </w:r>
      <w:r>
        <w:rPr>
          <w:rFonts w:ascii="宋体" w:hAnsi="宋体"/>
          <w:szCs w:val="21"/>
        </w:rPr>
        <w:t>）在生成</w:t>
      </w:r>
      <w:r>
        <w:rPr>
          <w:rFonts w:ascii="宋体" w:hAnsi="宋体"/>
          <w:spacing w:val="1"/>
          <w:kern w:val="0"/>
          <w:szCs w:val="21"/>
        </w:rPr>
        <w:t>响应</w:t>
      </w:r>
      <w:r>
        <w:rPr>
          <w:rFonts w:ascii="宋体" w:hAnsi="宋体"/>
          <w:szCs w:val="21"/>
        </w:rPr>
        <w:t>文件后，请对照采购文件要求，认真核对签名信息和数量后再上传响应文件。</w:t>
      </w:r>
    </w:p>
    <w:p w14:paraId="7E9C52D1">
      <w:pPr>
        <w:spacing w:line="400" w:lineRule="exact"/>
        <w:ind w:firstLine="420" w:firstLineChars="200"/>
        <w:rPr>
          <w:rFonts w:ascii="宋体" w:hAnsi="宋体"/>
          <w:szCs w:val="21"/>
        </w:rPr>
      </w:pPr>
      <w:r>
        <w:rPr>
          <w:szCs w:val="21"/>
        </w:rPr>
        <w:t>9</w:t>
      </w:r>
      <w:r>
        <w:rPr>
          <w:rFonts w:ascii="宋体" w:hAnsi="宋体"/>
          <w:szCs w:val="21"/>
        </w:rPr>
        <w:t>.</w:t>
      </w:r>
      <w:r>
        <w:rPr>
          <w:szCs w:val="21"/>
        </w:rPr>
        <w:t>2</w:t>
      </w:r>
      <w:r>
        <w:rPr>
          <w:rFonts w:ascii="宋体" w:hAnsi="宋体"/>
          <w:szCs w:val="21"/>
        </w:rPr>
        <w:t>供应商</w:t>
      </w:r>
      <w:r>
        <w:rPr>
          <w:rFonts w:ascii="宋体" w:hAnsi="宋体"/>
          <w:spacing w:val="1"/>
          <w:kern w:val="0"/>
          <w:szCs w:val="21"/>
        </w:rPr>
        <w:t>参加</w:t>
      </w:r>
      <w:r>
        <w:rPr>
          <w:rFonts w:ascii="宋体" w:hAnsi="宋体"/>
          <w:szCs w:val="21"/>
        </w:rPr>
        <w:t>开启方式：供应商须登录河北交投招标与采购服务平台-开标大厅，进入响应文件开启会议</w:t>
      </w:r>
    </w:p>
    <w:p w14:paraId="05FF86C8">
      <w:pPr>
        <w:spacing w:line="400" w:lineRule="exact"/>
        <w:ind w:firstLine="420" w:firstLineChars="200"/>
        <w:rPr>
          <w:rFonts w:ascii="宋体" w:hAnsi="宋体"/>
          <w:szCs w:val="21"/>
        </w:rPr>
      </w:pPr>
      <w:bookmarkStart w:id="90" w:name="_Hlk139376804"/>
      <w:r>
        <w:rPr>
          <w:szCs w:val="21"/>
        </w:rPr>
        <w:t>9</w:t>
      </w:r>
      <w:r>
        <w:rPr>
          <w:rFonts w:ascii="宋体" w:hAnsi="宋体"/>
          <w:szCs w:val="21"/>
        </w:rPr>
        <w:t>.</w:t>
      </w:r>
      <w:r>
        <w:rPr>
          <w:szCs w:val="21"/>
        </w:rPr>
        <w:t>3</w:t>
      </w:r>
      <w:r>
        <w:rPr>
          <w:rFonts w:ascii="宋体" w:hAnsi="宋体"/>
          <w:szCs w:val="21"/>
        </w:rPr>
        <w:t>响应文件开启前，</w:t>
      </w:r>
      <w:r>
        <w:rPr>
          <w:rFonts w:ascii="宋体" w:hAnsi="宋体"/>
        </w:rPr>
        <w:t>供应商</w:t>
      </w:r>
      <w:r>
        <w:rPr>
          <w:rFonts w:ascii="宋体" w:hAnsi="宋体"/>
          <w:szCs w:val="21"/>
        </w:rPr>
        <w:t>应提前进行驱动环境检测（打开检测工具（河北交投版），点击</w:t>
      </w:r>
      <w:r>
        <w:rPr>
          <w:rFonts w:ascii="宋体" w:hAnsi="宋体"/>
          <w:spacing w:val="1"/>
          <w:kern w:val="0"/>
          <w:szCs w:val="21"/>
        </w:rPr>
        <w:t>“一键检测”</w:t>
      </w:r>
      <w:r>
        <w:rPr>
          <w:rFonts w:ascii="宋体" w:hAnsi="宋体"/>
          <w:szCs w:val="21"/>
        </w:rPr>
        <w:t>），如未进行驱动检测导致开启时无法解密所造成的一切后果由</w:t>
      </w:r>
      <w:r>
        <w:rPr>
          <w:rFonts w:ascii="宋体" w:hAnsi="宋体"/>
        </w:rPr>
        <w:t>供应商</w:t>
      </w:r>
      <w:r>
        <w:rPr>
          <w:rFonts w:ascii="宋体" w:hAnsi="宋体"/>
          <w:szCs w:val="21"/>
        </w:rPr>
        <w:t>自行负责。</w:t>
      </w:r>
    </w:p>
    <w:p w14:paraId="19277B67">
      <w:pPr>
        <w:spacing w:line="400" w:lineRule="exact"/>
        <w:ind w:firstLine="420" w:firstLineChars="200"/>
        <w:rPr>
          <w:rFonts w:ascii="宋体" w:hAnsi="宋体"/>
          <w:szCs w:val="21"/>
        </w:rPr>
      </w:pPr>
      <w:r>
        <w:rPr>
          <w:szCs w:val="21"/>
        </w:rPr>
        <w:t>9</w:t>
      </w:r>
      <w:r>
        <w:rPr>
          <w:rFonts w:ascii="宋体" w:hAnsi="宋体"/>
          <w:szCs w:val="21"/>
        </w:rPr>
        <w:t>.</w:t>
      </w:r>
      <w:r>
        <w:rPr>
          <w:szCs w:val="21"/>
        </w:rPr>
        <w:t>4</w:t>
      </w:r>
      <w:r>
        <w:rPr>
          <w:rFonts w:ascii="宋体" w:hAnsi="宋体"/>
          <w:szCs w:val="21"/>
        </w:rPr>
        <w:t>建议使用</w:t>
      </w:r>
      <w:r>
        <w:rPr>
          <w:szCs w:val="21"/>
        </w:rPr>
        <w:t>IE</w:t>
      </w:r>
      <w:r>
        <w:rPr>
          <w:rFonts w:ascii="宋体" w:hAnsi="宋体"/>
          <w:spacing w:val="1"/>
          <w:kern w:val="0"/>
          <w:szCs w:val="21"/>
        </w:rPr>
        <w:t>浏览器</w:t>
      </w:r>
      <w:r>
        <w:rPr>
          <w:rFonts w:ascii="宋体" w:hAnsi="宋体"/>
          <w:szCs w:val="21"/>
        </w:rPr>
        <w:t>、</w:t>
      </w:r>
      <w:r>
        <w:rPr>
          <w:szCs w:val="21"/>
        </w:rPr>
        <w:t>360</w:t>
      </w:r>
      <w:r>
        <w:rPr>
          <w:rFonts w:ascii="宋体" w:hAnsi="宋体"/>
          <w:szCs w:val="21"/>
        </w:rPr>
        <w:t>浏览器兼容模式、</w:t>
      </w:r>
      <w:r>
        <w:rPr>
          <w:szCs w:val="21"/>
        </w:rPr>
        <w:t>Edge</w:t>
      </w:r>
      <w:r>
        <w:rPr>
          <w:rFonts w:ascii="宋体" w:hAnsi="宋体"/>
          <w:szCs w:val="21"/>
        </w:rPr>
        <w:t>浏览器</w:t>
      </w:r>
      <w:r>
        <w:rPr>
          <w:szCs w:val="21"/>
        </w:rPr>
        <w:t>IE</w:t>
      </w:r>
      <w:r>
        <w:rPr>
          <w:rFonts w:ascii="宋体" w:hAnsi="宋体"/>
          <w:szCs w:val="21"/>
        </w:rPr>
        <w:t>模式登录，确保河北交投</w:t>
      </w:r>
      <w:r>
        <w:rPr>
          <w:szCs w:val="21"/>
        </w:rPr>
        <w:t>CA</w:t>
      </w:r>
      <w:r>
        <w:rPr>
          <w:rFonts w:ascii="宋体" w:hAnsi="宋体"/>
          <w:szCs w:val="21"/>
        </w:rPr>
        <w:t>数字证书能正常使用，如有问题可拨打网站首页技术支持电话。</w:t>
      </w:r>
    </w:p>
    <w:p w14:paraId="1AC50713">
      <w:pPr>
        <w:spacing w:line="400" w:lineRule="exact"/>
        <w:ind w:firstLine="420" w:firstLineChars="200"/>
        <w:rPr>
          <w:rFonts w:ascii="宋体" w:hAnsi="宋体"/>
          <w:szCs w:val="21"/>
        </w:rPr>
      </w:pPr>
      <w:r>
        <w:rPr>
          <w:szCs w:val="21"/>
        </w:rPr>
        <w:t>9</w:t>
      </w:r>
      <w:r>
        <w:rPr>
          <w:rFonts w:ascii="宋体" w:hAnsi="宋体"/>
          <w:szCs w:val="21"/>
        </w:rPr>
        <w:t>.</w:t>
      </w:r>
      <w:r>
        <w:rPr>
          <w:szCs w:val="21"/>
        </w:rPr>
        <w:t>5</w:t>
      </w:r>
      <w:r>
        <w:rPr>
          <w:rFonts w:ascii="宋体" w:hAnsi="宋体"/>
        </w:rPr>
        <w:t>供应商</w:t>
      </w:r>
      <w:r>
        <w:rPr>
          <w:rFonts w:ascii="宋体" w:hAnsi="宋体"/>
          <w:szCs w:val="21"/>
        </w:rPr>
        <w:t>提前准备好响应文件生成时使用的河北交投</w:t>
      </w:r>
      <w:r>
        <w:rPr>
          <w:szCs w:val="21"/>
        </w:rPr>
        <w:t>CA</w:t>
      </w:r>
      <w:r>
        <w:rPr>
          <w:rFonts w:ascii="宋体" w:hAnsi="宋体"/>
          <w:szCs w:val="21"/>
        </w:rPr>
        <w:t>数字证书，确保网络顺畅，推荐使用公司</w:t>
      </w:r>
      <w:r>
        <w:rPr>
          <w:rFonts w:ascii="宋体" w:hAnsi="宋体"/>
          <w:spacing w:val="1"/>
          <w:kern w:val="0"/>
          <w:szCs w:val="21"/>
        </w:rPr>
        <w:t>办公</w:t>
      </w:r>
      <w:r>
        <w:rPr>
          <w:rFonts w:ascii="宋体" w:hAnsi="宋体"/>
          <w:szCs w:val="21"/>
        </w:rPr>
        <w:t>环境的有线网络。</w:t>
      </w:r>
    </w:p>
    <w:bookmarkEnd w:id="90"/>
    <w:p w14:paraId="42D94F7F">
      <w:pPr>
        <w:spacing w:line="400" w:lineRule="exact"/>
        <w:ind w:firstLine="420" w:firstLineChars="200"/>
        <w:rPr>
          <w:rFonts w:ascii="宋体" w:hAnsi="宋体"/>
          <w:szCs w:val="21"/>
          <w:lang w:bidi="ar"/>
        </w:rPr>
      </w:pPr>
      <w:r>
        <w:rPr>
          <w:szCs w:val="21"/>
        </w:rPr>
        <w:t>9</w:t>
      </w:r>
      <w:r>
        <w:rPr>
          <w:rFonts w:ascii="宋体" w:hAnsi="宋体"/>
          <w:szCs w:val="21"/>
        </w:rPr>
        <w:t>.</w:t>
      </w:r>
      <w:r>
        <w:rPr>
          <w:szCs w:val="21"/>
        </w:rPr>
        <w:t>6</w:t>
      </w:r>
      <w:r>
        <w:rPr>
          <w:rFonts w:ascii="宋体" w:hAnsi="宋体"/>
          <w:szCs w:val="21"/>
        </w:rPr>
        <w:t>在评审过程中供应商应随时关注平台信息，在规定时间内答复评审小组发出的澄清、说明。未在规定时间内答复的，评审小组将按照评审办法作出最不利于该供应商的量化。</w:t>
      </w:r>
    </w:p>
    <w:p w14:paraId="66AD42F5">
      <w:pPr>
        <w:spacing w:line="400" w:lineRule="exact"/>
        <w:ind w:firstLine="420" w:firstLineChars="200"/>
        <w:rPr>
          <w:rFonts w:ascii="宋体" w:hAnsi="宋体"/>
          <w:szCs w:val="21"/>
        </w:rPr>
      </w:pPr>
      <w:r>
        <w:rPr>
          <w:szCs w:val="21"/>
        </w:rPr>
        <w:t>9</w:t>
      </w:r>
      <w:r>
        <w:rPr>
          <w:rFonts w:ascii="宋体" w:hAnsi="宋体"/>
          <w:szCs w:val="21"/>
        </w:rPr>
        <w:t>.</w:t>
      </w:r>
      <w:r>
        <w:rPr>
          <w:szCs w:val="21"/>
        </w:rPr>
        <w:t>7</w:t>
      </w:r>
      <w:r>
        <w:rPr>
          <w:rFonts w:ascii="宋体" w:hAnsi="宋体"/>
          <w:szCs w:val="21"/>
        </w:rPr>
        <w:t>如遇操作相关问题可拨打技术支持电话进行咨询，服务电话：</w:t>
      </w:r>
    </w:p>
    <w:p w14:paraId="2019CFD3">
      <w:pPr>
        <w:spacing w:line="400" w:lineRule="exact"/>
        <w:ind w:firstLine="420" w:firstLineChars="200"/>
        <w:rPr>
          <w:rFonts w:ascii="宋体" w:hAnsi="宋体"/>
          <w:szCs w:val="21"/>
        </w:rPr>
      </w:pPr>
      <w:r>
        <w:rPr>
          <w:rFonts w:ascii="宋体" w:hAnsi="宋体"/>
          <w:szCs w:val="21"/>
        </w:rPr>
        <w:t>电子招采平台：</w:t>
      </w:r>
      <w:r>
        <w:rPr>
          <w:spacing w:val="1"/>
          <w:kern w:val="0"/>
          <w:szCs w:val="21"/>
        </w:rPr>
        <w:t>0312</w:t>
      </w:r>
      <w:r>
        <w:rPr>
          <w:rFonts w:ascii="宋体" w:hAnsi="宋体"/>
          <w:szCs w:val="21"/>
        </w:rPr>
        <w:t>-</w:t>
      </w:r>
      <w:r>
        <w:rPr>
          <w:rFonts w:hint="eastAsia"/>
          <w:szCs w:val="21"/>
          <w:lang w:val="en-US" w:eastAsia="zh-CN"/>
        </w:rPr>
        <w:t>6736375</w:t>
      </w:r>
      <w:r>
        <w:rPr>
          <w:rFonts w:ascii="宋体" w:hAnsi="宋体"/>
          <w:szCs w:val="21"/>
        </w:rPr>
        <w:t>；</w:t>
      </w:r>
    </w:p>
    <w:p w14:paraId="1645CB4E">
      <w:pPr>
        <w:spacing w:line="400" w:lineRule="exact"/>
        <w:ind w:firstLine="420" w:firstLineChars="200"/>
        <w:rPr>
          <w:rFonts w:ascii="宋体" w:hAnsi="宋体"/>
          <w:szCs w:val="21"/>
        </w:rPr>
      </w:pPr>
      <w:r>
        <w:rPr>
          <w:rFonts w:ascii="宋体" w:hAnsi="宋体"/>
          <w:szCs w:val="21"/>
        </w:rPr>
        <w:t>河北交投</w:t>
      </w:r>
      <w:r>
        <w:rPr>
          <w:szCs w:val="21"/>
        </w:rPr>
        <w:t>CA</w:t>
      </w:r>
      <w:r>
        <w:rPr>
          <w:rFonts w:ascii="宋体" w:hAnsi="宋体"/>
          <w:szCs w:val="21"/>
        </w:rPr>
        <w:t>数字证书：</w:t>
      </w:r>
      <w:r>
        <w:rPr>
          <w:szCs w:val="21"/>
        </w:rPr>
        <w:t>400</w:t>
      </w:r>
      <w:r>
        <w:rPr>
          <w:rFonts w:ascii="宋体" w:hAnsi="宋体"/>
          <w:szCs w:val="21"/>
        </w:rPr>
        <w:t>-</w:t>
      </w:r>
      <w:r>
        <w:rPr>
          <w:szCs w:val="21"/>
        </w:rPr>
        <w:t>707</w:t>
      </w:r>
      <w:r>
        <w:rPr>
          <w:rFonts w:ascii="宋体" w:hAnsi="宋体"/>
          <w:szCs w:val="21"/>
        </w:rPr>
        <w:t>-</w:t>
      </w:r>
      <w:r>
        <w:rPr>
          <w:szCs w:val="21"/>
        </w:rPr>
        <w:t>3355</w:t>
      </w:r>
      <w:r>
        <w:rPr>
          <w:rFonts w:ascii="宋体" w:hAnsi="宋体"/>
          <w:szCs w:val="21"/>
        </w:rPr>
        <w:t>；</w:t>
      </w:r>
    </w:p>
    <w:p w14:paraId="5FD795D8">
      <w:pPr>
        <w:spacing w:line="400" w:lineRule="exact"/>
        <w:ind w:firstLine="420" w:firstLineChars="200"/>
        <w:rPr>
          <w:rFonts w:ascii="宋体" w:hAnsi="宋体"/>
          <w:szCs w:val="21"/>
        </w:rPr>
      </w:pPr>
      <w:r>
        <w:rPr>
          <w:rFonts w:ascii="宋体" w:hAnsi="宋体"/>
          <w:szCs w:val="21"/>
        </w:rPr>
        <w:t>注册审核：</w:t>
      </w:r>
      <w:r>
        <w:rPr>
          <w:spacing w:val="1"/>
          <w:kern w:val="0"/>
          <w:szCs w:val="21"/>
        </w:rPr>
        <w:t>0312</w:t>
      </w:r>
      <w:r>
        <w:rPr>
          <w:rFonts w:ascii="宋体" w:hAnsi="宋体"/>
          <w:szCs w:val="21"/>
        </w:rPr>
        <w:t>-</w:t>
      </w:r>
      <w:r>
        <w:rPr>
          <w:rFonts w:hint="eastAsia"/>
          <w:szCs w:val="21"/>
          <w:lang w:val="en-US" w:eastAsia="zh-CN"/>
        </w:rPr>
        <w:t>6736375</w:t>
      </w:r>
      <w:r>
        <w:rPr>
          <w:rFonts w:ascii="宋体" w:hAnsi="宋体"/>
          <w:szCs w:val="21"/>
        </w:rPr>
        <w:t>。</w:t>
      </w:r>
      <w:bookmarkEnd w:id="89"/>
    </w:p>
    <w:p w14:paraId="15EB37E7">
      <w:pPr>
        <w:rPr>
          <w:rFonts w:ascii="宋体" w:hAnsi="宋体"/>
        </w:rPr>
      </w:pPr>
      <w:r>
        <w:rPr>
          <w:rFonts w:ascii="宋体" w:hAnsi="宋体"/>
        </w:rPr>
        <w:br w:type="page"/>
      </w:r>
    </w:p>
    <w:p w14:paraId="41872F9C">
      <w:pPr>
        <w:rPr>
          <w:rFonts w:ascii="宋体" w:hAnsi="宋体"/>
          <w:b/>
          <w:bCs/>
          <w:szCs w:val="21"/>
        </w:rPr>
      </w:pPr>
    </w:p>
    <w:p w14:paraId="201E106A">
      <w:pPr>
        <w:pStyle w:val="108"/>
        <w:ind w:firstLine="0"/>
        <w:rPr>
          <w:rFonts w:ascii="宋体" w:hAnsi="宋体" w:eastAsia="宋体"/>
        </w:rPr>
      </w:pPr>
      <w:bookmarkStart w:id="91" w:name="_第二章_供应商须知"/>
      <w:bookmarkStart w:id="92" w:name="_Toc48146149"/>
    </w:p>
    <w:p w14:paraId="1DA21ED9">
      <w:pPr>
        <w:pStyle w:val="108"/>
        <w:rPr>
          <w:rFonts w:ascii="宋体" w:hAnsi="宋体" w:eastAsia="宋体"/>
        </w:rPr>
      </w:pPr>
    </w:p>
    <w:p w14:paraId="055217D7">
      <w:pPr>
        <w:pStyle w:val="108"/>
        <w:rPr>
          <w:rFonts w:ascii="宋体" w:hAnsi="宋体" w:eastAsia="宋体"/>
        </w:rPr>
      </w:pPr>
    </w:p>
    <w:p w14:paraId="507F2ADD">
      <w:pPr>
        <w:pStyle w:val="108"/>
        <w:rPr>
          <w:rFonts w:ascii="宋体" w:hAnsi="宋体" w:eastAsia="宋体"/>
        </w:rPr>
      </w:pPr>
    </w:p>
    <w:p w14:paraId="26D7CF8C">
      <w:pPr>
        <w:pStyle w:val="108"/>
        <w:rPr>
          <w:rFonts w:ascii="宋体" w:hAnsi="宋体" w:eastAsia="宋体"/>
        </w:rPr>
      </w:pPr>
    </w:p>
    <w:p w14:paraId="21E4683D">
      <w:pPr>
        <w:pStyle w:val="108"/>
        <w:rPr>
          <w:rFonts w:ascii="宋体" w:hAnsi="宋体" w:eastAsia="宋体"/>
        </w:rPr>
      </w:pPr>
    </w:p>
    <w:p w14:paraId="2B42DA6D">
      <w:pPr>
        <w:pStyle w:val="108"/>
        <w:rPr>
          <w:rFonts w:ascii="宋体" w:hAnsi="宋体" w:eastAsia="宋体"/>
        </w:rPr>
      </w:pPr>
    </w:p>
    <w:p w14:paraId="48E95E24">
      <w:pPr>
        <w:pStyle w:val="108"/>
        <w:rPr>
          <w:rFonts w:ascii="宋体" w:hAnsi="宋体" w:eastAsia="宋体"/>
        </w:rPr>
      </w:pPr>
    </w:p>
    <w:p w14:paraId="658DC377">
      <w:pPr>
        <w:pStyle w:val="108"/>
        <w:rPr>
          <w:rFonts w:ascii="宋体" w:hAnsi="宋体" w:eastAsia="宋体"/>
        </w:rPr>
      </w:pPr>
    </w:p>
    <w:p w14:paraId="7429402D">
      <w:pPr>
        <w:pStyle w:val="2"/>
        <w:spacing w:before="260" w:after="260" w:line="415" w:lineRule="auto"/>
        <w:jc w:val="center"/>
        <w:rPr>
          <w:rFonts w:ascii="宋体" w:hAnsi="宋体"/>
        </w:rPr>
      </w:pPr>
      <w:bookmarkStart w:id="93" w:name="_Toc149140187"/>
      <w:r>
        <w:rPr>
          <w:rFonts w:ascii="宋体" w:hAnsi="宋体"/>
        </w:rPr>
        <w:t>第二章 供应商须知</w:t>
      </w:r>
      <w:bookmarkEnd w:id="91"/>
      <w:bookmarkEnd w:id="92"/>
      <w:bookmarkEnd w:id="93"/>
    </w:p>
    <w:p w14:paraId="1579512D">
      <w:pPr>
        <w:pStyle w:val="2"/>
        <w:spacing w:after="340" w:line="240" w:lineRule="auto"/>
        <w:jc w:val="center"/>
        <w:rPr>
          <w:rFonts w:ascii="宋体" w:hAnsi="宋体"/>
        </w:rPr>
      </w:pPr>
      <w:r>
        <w:rPr>
          <w:rFonts w:ascii="宋体" w:hAnsi="宋体"/>
          <w:sz w:val="32"/>
          <w:szCs w:val="32"/>
        </w:rPr>
        <w:br w:type="page"/>
      </w:r>
      <w:bookmarkStart w:id="94" w:name="_Toc149140188"/>
      <w:bookmarkStart w:id="95" w:name="_Toc143102133"/>
      <w:r>
        <w:rPr>
          <w:rFonts w:ascii="宋体" w:hAnsi="宋体"/>
          <w:bCs w:val="0"/>
          <w:kern w:val="2"/>
          <w:sz w:val="32"/>
          <w:szCs w:val="20"/>
        </w:rPr>
        <w:t>供应商须知前附表</w:t>
      </w:r>
      <w:bookmarkEnd w:id="94"/>
      <w:bookmarkEnd w:id="95"/>
      <w:bookmarkStart w:id="96" w:name="_Hlk531337468"/>
    </w:p>
    <w:bookmarkEnd w:id="96"/>
    <w:tbl>
      <w:tblPr>
        <w:tblStyle w:val="40"/>
        <w:tblW w:w="9322" w:type="dxa"/>
        <w:tblInd w:w="0" w:type="dxa"/>
        <w:tblLayout w:type="fixed"/>
        <w:tblCellMar>
          <w:top w:w="0" w:type="dxa"/>
          <w:left w:w="108" w:type="dxa"/>
          <w:bottom w:w="0" w:type="dxa"/>
          <w:right w:w="108" w:type="dxa"/>
        </w:tblCellMar>
      </w:tblPr>
      <w:tblGrid>
        <w:gridCol w:w="1271"/>
        <w:gridCol w:w="3164"/>
        <w:gridCol w:w="4887"/>
      </w:tblGrid>
      <w:tr w14:paraId="6866F691">
        <w:tblPrEx>
          <w:tblCellMar>
            <w:top w:w="0" w:type="dxa"/>
            <w:left w:w="108" w:type="dxa"/>
            <w:bottom w:w="0" w:type="dxa"/>
            <w:right w:w="108" w:type="dxa"/>
          </w:tblCellMar>
        </w:tblPrEx>
        <w:trPr>
          <w:cantSplit/>
          <w:tblHeader/>
        </w:trPr>
        <w:tc>
          <w:tcPr>
            <w:tcW w:w="1271" w:type="dxa"/>
            <w:tcBorders>
              <w:top w:val="single" w:color="auto" w:sz="4" w:space="0"/>
              <w:left w:val="single" w:color="auto" w:sz="4" w:space="0"/>
              <w:bottom w:val="single" w:color="auto" w:sz="4" w:space="0"/>
              <w:right w:val="single" w:color="auto" w:sz="4" w:space="0"/>
            </w:tcBorders>
            <w:vAlign w:val="center"/>
          </w:tcPr>
          <w:p w14:paraId="2F9106C7">
            <w:pPr>
              <w:spacing w:line="440" w:lineRule="exact"/>
              <w:jc w:val="center"/>
              <w:rPr>
                <w:rFonts w:ascii="宋体" w:hAnsi="宋体"/>
                <w:bCs/>
              </w:rPr>
            </w:pPr>
            <w:r>
              <w:rPr>
                <w:rFonts w:ascii="宋体" w:hAnsi="宋体"/>
                <w:bCs/>
              </w:rPr>
              <w:t>条款号</w:t>
            </w:r>
          </w:p>
        </w:tc>
        <w:tc>
          <w:tcPr>
            <w:tcW w:w="3164" w:type="dxa"/>
            <w:tcBorders>
              <w:top w:val="single" w:color="auto" w:sz="4" w:space="0"/>
              <w:left w:val="single" w:color="auto" w:sz="4" w:space="0"/>
              <w:bottom w:val="single" w:color="auto" w:sz="4" w:space="0"/>
              <w:right w:val="single" w:color="auto" w:sz="4" w:space="0"/>
            </w:tcBorders>
            <w:vAlign w:val="center"/>
          </w:tcPr>
          <w:p w14:paraId="6125FBD3">
            <w:pPr>
              <w:spacing w:line="440" w:lineRule="exact"/>
              <w:jc w:val="center"/>
              <w:rPr>
                <w:rFonts w:ascii="宋体" w:hAnsi="宋体"/>
                <w:bCs/>
              </w:rPr>
            </w:pPr>
            <w:r>
              <w:rPr>
                <w:rFonts w:ascii="宋体" w:hAnsi="宋体"/>
                <w:bCs/>
              </w:rPr>
              <w:t>条款内容</w:t>
            </w:r>
          </w:p>
        </w:tc>
        <w:tc>
          <w:tcPr>
            <w:tcW w:w="4887" w:type="dxa"/>
            <w:tcBorders>
              <w:top w:val="single" w:color="auto" w:sz="4" w:space="0"/>
              <w:left w:val="single" w:color="auto" w:sz="4" w:space="0"/>
              <w:bottom w:val="single" w:color="auto" w:sz="4" w:space="0"/>
              <w:right w:val="single" w:color="auto" w:sz="4" w:space="0"/>
            </w:tcBorders>
            <w:vAlign w:val="center"/>
          </w:tcPr>
          <w:p w14:paraId="0407809E">
            <w:pPr>
              <w:spacing w:line="440" w:lineRule="exact"/>
              <w:jc w:val="center"/>
              <w:rPr>
                <w:rFonts w:ascii="宋体" w:hAnsi="宋体"/>
                <w:bCs/>
              </w:rPr>
            </w:pPr>
            <w:r>
              <w:rPr>
                <w:rFonts w:ascii="宋体" w:hAnsi="宋体"/>
                <w:bCs/>
              </w:rPr>
              <w:t>编列内容</w:t>
            </w:r>
          </w:p>
        </w:tc>
      </w:tr>
      <w:tr w14:paraId="5216E079">
        <w:tblPrEx>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vAlign w:val="center"/>
          </w:tcPr>
          <w:p w14:paraId="27D7FB21">
            <w:pPr>
              <w:spacing w:line="440" w:lineRule="exact"/>
              <w:jc w:val="center"/>
              <w:rPr>
                <w:rFonts w:ascii="宋体" w:hAnsi="宋体"/>
                <w:bCs/>
              </w:rPr>
            </w:pPr>
            <w:r>
              <w:rPr>
                <w:bCs/>
              </w:rPr>
              <w:t>1</w:t>
            </w:r>
            <w:r>
              <w:rPr>
                <w:rFonts w:ascii="宋体" w:hAnsi="宋体"/>
                <w:bCs/>
              </w:rPr>
              <w:t>.</w:t>
            </w:r>
            <w:r>
              <w:rPr>
                <w:bCs/>
              </w:rPr>
              <w:t>7</w:t>
            </w:r>
            <w:r>
              <w:rPr>
                <w:rFonts w:ascii="宋体" w:hAnsi="宋体"/>
                <w:bCs/>
              </w:rPr>
              <w:t>.</w:t>
            </w:r>
            <w:r>
              <w:rPr>
                <w:bCs/>
              </w:rPr>
              <w:t>1</w:t>
            </w:r>
          </w:p>
        </w:tc>
        <w:tc>
          <w:tcPr>
            <w:tcW w:w="3164" w:type="dxa"/>
            <w:tcBorders>
              <w:top w:val="single" w:color="auto" w:sz="4" w:space="0"/>
              <w:left w:val="single" w:color="auto" w:sz="4" w:space="0"/>
              <w:bottom w:val="single" w:color="auto" w:sz="4" w:space="0"/>
              <w:right w:val="single" w:color="auto" w:sz="4" w:space="0"/>
            </w:tcBorders>
            <w:vAlign w:val="center"/>
          </w:tcPr>
          <w:p w14:paraId="0C910B86">
            <w:pPr>
              <w:jc w:val="center"/>
              <w:rPr>
                <w:rFonts w:ascii="宋体" w:hAnsi="宋体"/>
                <w:bCs/>
              </w:rPr>
            </w:pPr>
            <w:r>
              <w:rPr>
                <w:rFonts w:ascii="宋体" w:hAnsi="宋体"/>
                <w:bCs/>
              </w:rPr>
              <w:t>踏勘现场</w:t>
            </w:r>
          </w:p>
        </w:tc>
        <w:tc>
          <w:tcPr>
            <w:tcW w:w="4887" w:type="dxa"/>
            <w:tcBorders>
              <w:top w:val="single" w:color="auto" w:sz="4" w:space="0"/>
              <w:left w:val="single" w:color="auto" w:sz="4" w:space="0"/>
              <w:bottom w:val="single" w:color="auto" w:sz="4" w:space="0"/>
              <w:right w:val="single" w:color="auto" w:sz="4" w:space="0"/>
            </w:tcBorders>
            <w:vAlign w:val="center"/>
          </w:tcPr>
          <w:p w14:paraId="58D7A536">
            <w:pPr>
              <w:topLinePunct/>
              <w:spacing w:line="400" w:lineRule="exact"/>
              <w:rPr>
                <w:bCs/>
                <w:szCs w:val="20"/>
              </w:rPr>
            </w:pPr>
            <w:r>
              <w:rPr>
                <w:rFonts w:ascii="Segoe UI Symbol" w:hAnsi="Segoe UI Symbol" w:cs="Segoe UI Symbol"/>
                <w:bCs/>
                <w:sz w:val="32"/>
                <w:szCs w:val="20"/>
              </w:rPr>
              <w:t>☑</w:t>
            </w:r>
            <w:r>
              <w:rPr>
                <w:bCs/>
                <w:szCs w:val="21"/>
              </w:rPr>
              <w:t>不组织。</w:t>
            </w:r>
          </w:p>
          <w:p w14:paraId="2578163C">
            <w:pPr>
              <w:topLinePunct/>
              <w:spacing w:line="400" w:lineRule="exact"/>
              <w:rPr>
                <w:bCs/>
                <w:szCs w:val="21"/>
              </w:rPr>
            </w:pPr>
            <w:r>
              <w:rPr>
                <w:bCs/>
                <w:sz w:val="32"/>
                <w:szCs w:val="20"/>
              </w:rPr>
              <w:t>□</w:t>
            </w:r>
            <w:r>
              <w:rPr>
                <w:bCs/>
                <w:szCs w:val="21"/>
              </w:rPr>
              <w:t>组织，踏勘时间：</w:t>
            </w:r>
          </w:p>
          <w:p w14:paraId="151E0967">
            <w:pPr>
              <w:topLinePunct/>
              <w:spacing w:line="400" w:lineRule="exact"/>
              <w:ind w:firstLine="420" w:firstLineChars="200"/>
              <w:rPr>
                <w:rFonts w:ascii="宋体" w:hAnsi="宋体"/>
                <w:bCs/>
                <w:szCs w:val="21"/>
              </w:rPr>
            </w:pPr>
            <w:r>
              <w:rPr>
                <w:bCs/>
                <w:szCs w:val="21"/>
              </w:rPr>
              <w:t>踏勘集中地点</w:t>
            </w:r>
            <w:r>
              <w:rPr>
                <w:rFonts w:ascii="宋体" w:hAnsi="宋体"/>
                <w:bCs/>
                <w:szCs w:val="21"/>
              </w:rPr>
              <w:t>：</w:t>
            </w:r>
          </w:p>
        </w:tc>
      </w:tr>
      <w:tr w14:paraId="224058A5">
        <w:tblPrEx>
          <w:tblCellMar>
            <w:top w:w="0" w:type="dxa"/>
            <w:left w:w="108" w:type="dxa"/>
            <w:bottom w:w="0" w:type="dxa"/>
            <w:right w:w="108" w:type="dxa"/>
          </w:tblCellMar>
        </w:tblPrEx>
        <w:trPr>
          <w:trHeight w:val="90" w:hRule="atLeast"/>
        </w:trPr>
        <w:tc>
          <w:tcPr>
            <w:tcW w:w="1271" w:type="dxa"/>
            <w:tcBorders>
              <w:top w:val="single" w:color="auto" w:sz="4" w:space="0"/>
              <w:left w:val="single" w:color="auto" w:sz="4" w:space="0"/>
              <w:bottom w:val="single" w:color="auto" w:sz="4" w:space="0"/>
              <w:right w:val="single" w:color="auto" w:sz="4" w:space="0"/>
            </w:tcBorders>
            <w:vAlign w:val="center"/>
          </w:tcPr>
          <w:p w14:paraId="31BE05B9">
            <w:pPr>
              <w:spacing w:line="440" w:lineRule="exact"/>
              <w:jc w:val="center"/>
              <w:rPr>
                <w:rFonts w:ascii="宋体" w:hAnsi="宋体"/>
                <w:bCs/>
              </w:rPr>
            </w:pPr>
            <w:r>
              <w:rPr>
                <w:bCs/>
                <w:szCs w:val="21"/>
              </w:rPr>
              <w:t>1</w:t>
            </w:r>
            <w:r>
              <w:rPr>
                <w:rFonts w:ascii="宋体" w:hAnsi="宋体"/>
                <w:bCs/>
                <w:szCs w:val="21"/>
              </w:rPr>
              <w:t>.</w:t>
            </w:r>
            <w:r>
              <w:rPr>
                <w:bCs/>
                <w:szCs w:val="21"/>
              </w:rPr>
              <w:t>8</w:t>
            </w:r>
          </w:p>
        </w:tc>
        <w:tc>
          <w:tcPr>
            <w:tcW w:w="3164" w:type="dxa"/>
            <w:tcBorders>
              <w:top w:val="single" w:color="auto" w:sz="4" w:space="0"/>
              <w:left w:val="single" w:color="auto" w:sz="4" w:space="0"/>
              <w:bottom w:val="single" w:color="auto" w:sz="4" w:space="0"/>
              <w:right w:val="single" w:color="auto" w:sz="4" w:space="0"/>
            </w:tcBorders>
            <w:vAlign w:val="center"/>
          </w:tcPr>
          <w:p w14:paraId="0709C4D3">
            <w:pPr>
              <w:spacing w:line="440" w:lineRule="exact"/>
              <w:jc w:val="center"/>
              <w:rPr>
                <w:rFonts w:ascii="宋体" w:hAnsi="宋体"/>
                <w:bCs/>
              </w:rPr>
            </w:pPr>
            <w:r>
              <w:rPr>
                <w:rFonts w:ascii="宋体" w:hAnsi="宋体"/>
                <w:bCs/>
                <w:szCs w:val="21"/>
              </w:rPr>
              <w:t>采购预备会</w:t>
            </w:r>
          </w:p>
        </w:tc>
        <w:tc>
          <w:tcPr>
            <w:tcW w:w="4887" w:type="dxa"/>
            <w:tcBorders>
              <w:top w:val="single" w:color="auto" w:sz="4" w:space="0"/>
              <w:left w:val="single" w:color="auto" w:sz="4" w:space="0"/>
              <w:bottom w:val="single" w:color="auto" w:sz="4" w:space="0"/>
              <w:right w:val="single" w:color="auto" w:sz="4" w:space="0"/>
            </w:tcBorders>
            <w:vAlign w:val="center"/>
          </w:tcPr>
          <w:p w14:paraId="5DB25840">
            <w:pPr>
              <w:topLinePunct/>
              <w:spacing w:line="400" w:lineRule="exact"/>
              <w:rPr>
                <w:bCs/>
                <w:szCs w:val="21"/>
              </w:rPr>
            </w:pPr>
            <w:r>
              <w:rPr>
                <w:rFonts w:ascii="Segoe UI Symbol" w:hAnsi="Segoe UI Symbol" w:cs="Segoe UI Symbol"/>
                <w:bCs/>
                <w:sz w:val="32"/>
                <w:szCs w:val="20"/>
              </w:rPr>
              <w:t>☑</w:t>
            </w:r>
            <w:r>
              <w:rPr>
                <w:bCs/>
                <w:szCs w:val="21"/>
              </w:rPr>
              <w:t>不召开</w:t>
            </w:r>
          </w:p>
          <w:p w14:paraId="0C7BD6EF">
            <w:pPr>
              <w:spacing w:line="440" w:lineRule="exact"/>
              <w:rPr>
                <w:bCs/>
                <w:szCs w:val="21"/>
              </w:rPr>
            </w:pPr>
            <w:r>
              <w:rPr>
                <w:bCs/>
                <w:sz w:val="32"/>
                <w:szCs w:val="20"/>
              </w:rPr>
              <w:t>□</w:t>
            </w:r>
            <w:r>
              <w:rPr>
                <w:bCs/>
                <w:szCs w:val="21"/>
              </w:rPr>
              <w:t>召开，召开时间：</w:t>
            </w:r>
          </w:p>
          <w:p w14:paraId="193C6F55">
            <w:pPr>
              <w:topLinePunct/>
              <w:spacing w:line="400" w:lineRule="exact"/>
              <w:rPr>
                <w:rFonts w:ascii="宋体" w:hAnsi="宋体"/>
                <w:bCs/>
                <w:szCs w:val="21"/>
              </w:rPr>
            </w:pPr>
            <w:r>
              <w:rPr>
                <w:bCs/>
                <w:sz w:val="24"/>
                <w:szCs w:val="21"/>
              </w:rPr>
              <w:t xml:space="preserve">     </w:t>
            </w:r>
            <w:r>
              <w:rPr>
                <w:bCs/>
                <w:szCs w:val="21"/>
              </w:rPr>
              <w:t xml:space="preserve">  召开地点：</w:t>
            </w:r>
          </w:p>
        </w:tc>
      </w:tr>
      <w:tr w14:paraId="5E931A0D">
        <w:tblPrEx>
          <w:tblCellMar>
            <w:top w:w="0" w:type="dxa"/>
            <w:left w:w="108" w:type="dxa"/>
            <w:bottom w:w="0" w:type="dxa"/>
            <w:right w:w="108" w:type="dxa"/>
          </w:tblCellMar>
        </w:tblPrEx>
        <w:trPr>
          <w:trHeight w:val="667" w:hRule="atLeast"/>
        </w:trPr>
        <w:tc>
          <w:tcPr>
            <w:tcW w:w="1271" w:type="dxa"/>
            <w:tcBorders>
              <w:top w:val="single" w:color="auto" w:sz="4" w:space="0"/>
              <w:left w:val="single" w:color="auto" w:sz="4" w:space="0"/>
              <w:bottom w:val="single" w:color="auto" w:sz="4" w:space="0"/>
              <w:right w:val="single" w:color="auto" w:sz="4" w:space="0"/>
            </w:tcBorders>
            <w:vAlign w:val="center"/>
          </w:tcPr>
          <w:p w14:paraId="399CE742">
            <w:pPr>
              <w:spacing w:line="440" w:lineRule="exact"/>
              <w:jc w:val="center"/>
              <w:rPr>
                <w:rFonts w:ascii="宋体" w:hAnsi="宋体"/>
                <w:bCs/>
              </w:rPr>
            </w:pPr>
            <w:r>
              <w:rPr>
                <w:bCs/>
              </w:rPr>
              <w:t>1</w:t>
            </w:r>
            <w:r>
              <w:rPr>
                <w:rFonts w:ascii="宋体" w:hAnsi="宋体"/>
                <w:bCs/>
              </w:rPr>
              <w:t>.</w:t>
            </w:r>
            <w:r>
              <w:rPr>
                <w:bCs/>
              </w:rPr>
              <w:t>9</w:t>
            </w:r>
          </w:p>
        </w:tc>
        <w:tc>
          <w:tcPr>
            <w:tcW w:w="3164" w:type="dxa"/>
            <w:tcBorders>
              <w:top w:val="single" w:color="auto" w:sz="4" w:space="0"/>
              <w:left w:val="single" w:color="auto" w:sz="4" w:space="0"/>
              <w:bottom w:val="single" w:color="auto" w:sz="4" w:space="0"/>
              <w:right w:val="single" w:color="auto" w:sz="4" w:space="0"/>
            </w:tcBorders>
            <w:vAlign w:val="center"/>
          </w:tcPr>
          <w:p w14:paraId="1D788589">
            <w:pPr>
              <w:spacing w:line="440" w:lineRule="exact"/>
              <w:jc w:val="center"/>
              <w:rPr>
                <w:rFonts w:ascii="宋体" w:hAnsi="宋体"/>
                <w:bCs/>
              </w:rPr>
            </w:pPr>
            <w:r>
              <w:rPr>
                <w:rFonts w:ascii="宋体" w:hAnsi="宋体"/>
                <w:bCs/>
                <w:szCs w:val="21"/>
              </w:rPr>
              <w:t>分包（</w:t>
            </w:r>
            <w:r>
              <w:rPr>
                <w:bCs/>
                <w:szCs w:val="21"/>
              </w:rPr>
              <w:t>A</w:t>
            </w:r>
            <w:r>
              <w:rPr>
                <w:rFonts w:ascii="宋体" w:hAnsi="宋体"/>
                <w:bCs/>
                <w:szCs w:val="21"/>
              </w:rPr>
              <w:t>、</w:t>
            </w:r>
            <w:r>
              <w:rPr>
                <w:bCs/>
                <w:szCs w:val="21"/>
              </w:rPr>
              <w:t>C</w:t>
            </w:r>
            <w:r>
              <w:rPr>
                <w:rFonts w:ascii="宋体" w:hAnsi="宋体"/>
                <w:bCs/>
                <w:szCs w:val="21"/>
              </w:rPr>
              <w:t>）</w:t>
            </w:r>
          </w:p>
        </w:tc>
        <w:tc>
          <w:tcPr>
            <w:tcW w:w="4887" w:type="dxa"/>
            <w:tcBorders>
              <w:top w:val="single" w:color="auto" w:sz="4" w:space="0"/>
              <w:left w:val="single" w:color="auto" w:sz="4" w:space="0"/>
              <w:bottom w:val="single" w:color="auto" w:sz="4" w:space="0"/>
              <w:right w:val="single" w:color="auto" w:sz="4" w:space="0"/>
            </w:tcBorders>
            <w:vAlign w:val="center"/>
          </w:tcPr>
          <w:p w14:paraId="0CD8B4B3">
            <w:pPr>
              <w:topLinePunct/>
              <w:spacing w:line="400" w:lineRule="exact"/>
              <w:rPr>
                <w:rFonts w:ascii="宋体" w:hAnsi="宋体"/>
                <w:bCs/>
                <w:szCs w:val="21"/>
              </w:rPr>
            </w:pPr>
            <w:r>
              <w:rPr>
                <w:rFonts w:ascii="宋体" w:hAnsi="宋体"/>
                <w:bCs/>
                <w:szCs w:val="21"/>
              </w:rPr>
              <w:t>允许分包的内容：</w:t>
            </w:r>
            <w:r>
              <w:rPr>
                <w:rFonts w:hint="eastAsia" w:ascii="宋体" w:hAnsi="宋体"/>
                <w:bCs/>
                <w:szCs w:val="21"/>
              </w:rPr>
              <w:t>不允许。</w:t>
            </w:r>
          </w:p>
          <w:p w14:paraId="389DD6D6">
            <w:pPr>
              <w:topLinePunct/>
              <w:spacing w:line="400" w:lineRule="exact"/>
              <w:rPr>
                <w:rFonts w:ascii="宋体" w:hAnsi="宋体"/>
                <w:bCs/>
                <w:sz w:val="24"/>
                <w:szCs w:val="21"/>
              </w:rPr>
            </w:pPr>
            <w:r>
              <w:rPr>
                <w:rFonts w:ascii="宋体" w:hAnsi="宋体"/>
                <w:bCs/>
                <w:szCs w:val="21"/>
              </w:rPr>
              <w:t>对分包供应商的要求</w:t>
            </w:r>
            <w:r>
              <w:rPr>
                <w:rFonts w:ascii="宋体" w:hAnsi="宋体"/>
                <w:bCs/>
                <w:sz w:val="24"/>
                <w:szCs w:val="21"/>
              </w:rPr>
              <w:t>：</w:t>
            </w:r>
          </w:p>
        </w:tc>
      </w:tr>
      <w:tr w14:paraId="3D3D3228">
        <w:tblPrEx>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vAlign w:val="center"/>
          </w:tcPr>
          <w:p w14:paraId="5179823B">
            <w:pPr>
              <w:spacing w:line="440" w:lineRule="exact"/>
              <w:jc w:val="center"/>
              <w:rPr>
                <w:rFonts w:ascii="宋体" w:hAnsi="宋体"/>
                <w:bCs/>
              </w:rPr>
            </w:pPr>
            <w:r>
              <w:rPr>
                <w:bCs/>
                <w:szCs w:val="21"/>
              </w:rPr>
              <w:t>1</w:t>
            </w:r>
            <w:r>
              <w:rPr>
                <w:rFonts w:ascii="宋体" w:hAnsi="宋体"/>
                <w:bCs/>
                <w:szCs w:val="21"/>
              </w:rPr>
              <w:t>.</w:t>
            </w:r>
            <w:r>
              <w:rPr>
                <w:bCs/>
                <w:szCs w:val="21"/>
              </w:rPr>
              <w:t>10</w:t>
            </w:r>
            <w:r>
              <w:rPr>
                <w:rFonts w:ascii="宋体" w:hAnsi="宋体"/>
                <w:bCs/>
                <w:szCs w:val="21"/>
              </w:rPr>
              <w:t>.</w:t>
            </w:r>
            <w:r>
              <w:rPr>
                <w:bCs/>
                <w:szCs w:val="21"/>
              </w:rPr>
              <w:t>2</w:t>
            </w:r>
          </w:p>
        </w:tc>
        <w:tc>
          <w:tcPr>
            <w:tcW w:w="3164" w:type="dxa"/>
            <w:tcBorders>
              <w:top w:val="single" w:color="auto" w:sz="4" w:space="0"/>
              <w:left w:val="single" w:color="auto" w:sz="4" w:space="0"/>
              <w:bottom w:val="single" w:color="auto" w:sz="4" w:space="0"/>
              <w:right w:val="single" w:color="auto" w:sz="4" w:space="0"/>
            </w:tcBorders>
            <w:vAlign w:val="center"/>
          </w:tcPr>
          <w:p w14:paraId="1C14180D">
            <w:pPr>
              <w:spacing w:line="440" w:lineRule="exact"/>
              <w:jc w:val="center"/>
              <w:rPr>
                <w:rFonts w:ascii="宋体" w:hAnsi="宋体"/>
                <w:bCs/>
              </w:rPr>
            </w:pPr>
            <w:r>
              <w:rPr>
                <w:rFonts w:ascii="宋体" w:hAnsi="宋体"/>
                <w:bCs/>
                <w:szCs w:val="21"/>
              </w:rPr>
              <w:t>对非关键条款的偏差</w:t>
            </w:r>
          </w:p>
        </w:tc>
        <w:tc>
          <w:tcPr>
            <w:tcW w:w="4887" w:type="dxa"/>
            <w:tcBorders>
              <w:top w:val="single" w:color="auto" w:sz="4" w:space="0"/>
              <w:left w:val="single" w:color="auto" w:sz="4" w:space="0"/>
              <w:bottom w:val="single" w:color="auto" w:sz="4" w:space="0"/>
              <w:right w:val="single" w:color="auto" w:sz="4" w:space="0"/>
            </w:tcBorders>
            <w:vAlign w:val="center"/>
          </w:tcPr>
          <w:p w14:paraId="7699AFDA">
            <w:pPr>
              <w:keepNext w:val="0"/>
              <w:keepLines w:val="0"/>
              <w:pageBreakBefore w:val="0"/>
              <w:widowControl w:val="0"/>
              <w:kinsoku/>
              <w:wordWrap/>
              <w:overflowPunct/>
              <w:topLinePunct/>
              <w:bidi w:val="0"/>
              <w:adjustRightInd/>
              <w:snapToGrid/>
              <w:spacing w:line="400" w:lineRule="exact"/>
              <w:textAlignment w:val="auto"/>
              <w:rPr>
                <w:rFonts w:ascii="宋体" w:hAnsi="宋体"/>
                <w:bCs/>
                <w:szCs w:val="21"/>
              </w:rPr>
            </w:pPr>
            <w:r>
              <w:rPr>
                <w:rFonts w:ascii="宋体" w:hAnsi="宋体"/>
                <w:bCs/>
                <w:szCs w:val="21"/>
              </w:rPr>
              <w:t>允许偏差的非关键条款：</w:t>
            </w:r>
          </w:p>
          <w:p w14:paraId="0DFF8B69">
            <w:pPr>
              <w:pStyle w:val="15"/>
              <w:keepNext w:val="0"/>
              <w:keepLines w:val="0"/>
              <w:pageBreakBefore w:val="0"/>
              <w:widowControl w:val="0"/>
              <w:kinsoku/>
              <w:wordWrap/>
              <w:overflowPunct/>
              <w:bidi w:val="0"/>
              <w:adjustRightInd/>
              <w:snapToGrid/>
              <w:spacing w:line="400" w:lineRule="exact"/>
              <w:textAlignment w:val="auto"/>
              <w:rPr>
                <w:sz w:val="21"/>
                <w:szCs w:val="21"/>
                <w:u w:val="single"/>
                <w:lang w:eastAsia="zh-CN"/>
              </w:rPr>
            </w:pPr>
            <w:r>
              <w:rPr>
                <w:rFonts w:hint="eastAsia"/>
                <w:sz w:val="21"/>
                <w:szCs w:val="21"/>
                <w:u w:val="single"/>
                <w:lang w:eastAsia="zh-CN"/>
              </w:rPr>
              <w:t>（1）方案不够完善；</w:t>
            </w:r>
          </w:p>
          <w:p w14:paraId="35F52F64">
            <w:pPr>
              <w:pStyle w:val="15"/>
              <w:keepNext w:val="0"/>
              <w:keepLines w:val="0"/>
              <w:pageBreakBefore w:val="0"/>
              <w:widowControl w:val="0"/>
              <w:kinsoku/>
              <w:wordWrap/>
              <w:overflowPunct/>
              <w:bidi w:val="0"/>
              <w:adjustRightInd/>
              <w:snapToGrid/>
              <w:spacing w:line="400" w:lineRule="exact"/>
              <w:textAlignment w:val="auto"/>
              <w:rPr>
                <w:sz w:val="21"/>
                <w:szCs w:val="21"/>
                <w:u w:val="single"/>
                <w:lang w:eastAsia="zh-CN"/>
              </w:rPr>
            </w:pPr>
            <w:r>
              <w:rPr>
                <w:rFonts w:hint="eastAsia"/>
                <w:sz w:val="21"/>
                <w:szCs w:val="21"/>
                <w:u w:val="single"/>
                <w:lang w:eastAsia="zh-CN"/>
              </w:rPr>
              <w:t>（2）响应文件页码不连续、个别文字有遗漏错误等不影响响应文件实质性内容的偏差。</w:t>
            </w:r>
          </w:p>
          <w:p w14:paraId="5F327431">
            <w:pPr>
              <w:keepNext w:val="0"/>
              <w:keepLines w:val="0"/>
              <w:pageBreakBefore w:val="0"/>
              <w:widowControl w:val="0"/>
              <w:kinsoku/>
              <w:wordWrap/>
              <w:overflowPunct/>
              <w:topLinePunct/>
              <w:bidi w:val="0"/>
              <w:adjustRightInd/>
              <w:snapToGrid/>
              <w:spacing w:line="400" w:lineRule="exact"/>
              <w:textAlignment w:val="auto"/>
              <w:rPr>
                <w:rFonts w:ascii="宋体" w:hAnsi="宋体"/>
                <w:bCs/>
                <w:kern w:val="0"/>
              </w:rPr>
            </w:pPr>
            <w:r>
              <w:rPr>
                <w:rFonts w:ascii="宋体" w:hAnsi="宋体"/>
                <w:bCs/>
                <w:szCs w:val="21"/>
              </w:rPr>
              <w:t>允许偏差的项数：</w:t>
            </w:r>
            <w:r>
              <w:rPr>
                <w:rFonts w:ascii="宋体" w:hAnsi="宋体"/>
                <w:bCs/>
                <w:kern w:val="0"/>
                <w:szCs w:val="21"/>
                <w:u w:val="single"/>
              </w:rPr>
              <w:t xml:space="preserve"> </w:t>
            </w:r>
            <w:r>
              <w:rPr>
                <w:rFonts w:hint="eastAsia" w:ascii="宋体" w:hAnsi="宋体"/>
                <w:bCs/>
                <w:kern w:val="0"/>
                <w:szCs w:val="21"/>
                <w:u w:val="single"/>
              </w:rPr>
              <w:t>2</w:t>
            </w:r>
            <w:r>
              <w:rPr>
                <w:rFonts w:ascii="宋体" w:hAnsi="宋体"/>
                <w:bCs/>
                <w:kern w:val="0"/>
                <w:szCs w:val="21"/>
                <w:u w:val="single"/>
              </w:rPr>
              <w:t xml:space="preserve"> </w:t>
            </w:r>
            <w:r>
              <w:rPr>
                <w:rFonts w:ascii="宋体" w:hAnsi="宋体"/>
                <w:bCs/>
                <w:szCs w:val="21"/>
              </w:rPr>
              <w:t>项</w:t>
            </w:r>
          </w:p>
        </w:tc>
      </w:tr>
      <w:tr w14:paraId="429A35A2">
        <w:tblPrEx>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vAlign w:val="center"/>
          </w:tcPr>
          <w:p w14:paraId="1D39CB00">
            <w:pPr>
              <w:spacing w:line="440" w:lineRule="exact"/>
              <w:jc w:val="center"/>
              <w:rPr>
                <w:rFonts w:ascii="宋体" w:hAnsi="宋体"/>
                <w:bCs/>
              </w:rPr>
            </w:pPr>
            <w:r>
              <w:rPr>
                <w:bCs/>
              </w:rPr>
              <w:t>2</w:t>
            </w:r>
            <w:r>
              <w:rPr>
                <w:rFonts w:ascii="宋体" w:hAnsi="宋体"/>
                <w:bCs/>
              </w:rPr>
              <w:t>.</w:t>
            </w:r>
            <w:r>
              <w:rPr>
                <w:bCs/>
              </w:rPr>
              <w:t>1</w:t>
            </w:r>
            <w:r>
              <w:rPr>
                <w:rFonts w:ascii="宋体" w:hAnsi="宋体"/>
                <w:bCs/>
              </w:rPr>
              <w:t>（</w:t>
            </w:r>
            <w:r>
              <w:rPr>
                <w:bCs/>
              </w:rPr>
              <w:t>7</w:t>
            </w:r>
            <w:r>
              <w:rPr>
                <w:rFonts w:ascii="宋体" w:hAnsi="宋体"/>
                <w:bCs/>
              </w:rPr>
              <w:t>）</w:t>
            </w:r>
          </w:p>
        </w:tc>
        <w:tc>
          <w:tcPr>
            <w:tcW w:w="3164" w:type="dxa"/>
            <w:tcBorders>
              <w:top w:val="single" w:color="auto" w:sz="4" w:space="0"/>
              <w:left w:val="single" w:color="auto" w:sz="4" w:space="0"/>
              <w:bottom w:val="single" w:color="auto" w:sz="4" w:space="0"/>
              <w:right w:val="single" w:color="auto" w:sz="4" w:space="0"/>
            </w:tcBorders>
            <w:vAlign w:val="center"/>
          </w:tcPr>
          <w:p w14:paraId="77742D5D">
            <w:pPr>
              <w:spacing w:line="440" w:lineRule="exact"/>
              <w:jc w:val="center"/>
              <w:rPr>
                <w:rFonts w:ascii="宋体" w:hAnsi="宋体"/>
                <w:bCs/>
              </w:rPr>
            </w:pPr>
            <w:r>
              <w:rPr>
                <w:rFonts w:ascii="宋体" w:hAnsi="宋体"/>
                <w:bCs/>
              </w:rPr>
              <w:t>构成采购文件的其他资料</w:t>
            </w:r>
          </w:p>
        </w:tc>
        <w:tc>
          <w:tcPr>
            <w:tcW w:w="4887" w:type="dxa"/>
            <w:tcBorders>
              <w:top w:val="single" w:color="auto" w:sz="4" w:space="0"/>
              <w:left w:val="single" w:color="auto" w:sz="4" w:space="0"/>
              <w:bottom w:val="single" w:color="auto" w:sz="4" w:space="0"/>
              <w:right w:val="single" w:color="auto" w:sz="4" w:space="0"/>
            </w:tcBorders>
            <w:vAlign w:val="center"/>
          </w:tcPr>
          <w:p w14:paraId="0919A179">
            <w:pPr>
              <w:spacing w:line="440" w:lineRule="exact"/>
              <w:rPr>
                <w:rFonts w:ascii="宋体" w:hAnsi="宋体"/>
                <w:bCs/>
              </w:rPr>
            </w:pPr>
            <w:r>
              <w:rPr>
                <w:rFonts w:ascii="宋体" w:hAnsi="宋体"/>
                <w:bCs/>
                <w:szCs w:val="21"/>
              </w:rPr>
              <w:t>资料名称：</w:t>
            </w:r>
            <w:r>
              <w:rPr>
                <w:rFonts w:hint="eastAsia" w:ascii="宋体" w:hAnsi="宋体"/>
                <w:bCs/>
                <w:szCs w:val="21"/>
              </w:rPr>
              <w:t>无</w:t>
            </w:r>
          </w:p>
        </w:tc>
      </w:tr>
      <w:tr w14:paraId="6C766EB7">
        <w:tblPrEx>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vAlign w:val="center"/>
          </w:tcPr>
          <w:p w14:paraId="6C2D521B">
            <w:pPr>
              <w:spacing w:line="440" w:lineRule="exact"/>
              <w:jc w:val="center"/>
              <w:rPr>
                <w:rFonts w:ascii="宋体" w:hAnsi="宋体"/>
                <w:bCs/>
              </w:rPr>
            </w:pPr>
            <w:r>
              <w:rPr>
                <w:bCs/>
              </w:rPr>
              <w:t>2</w:t>
            </w:r>
            <w:r>
              <w:rPr>
                <w:rFonts w:ascii="宋体" w:hAnsi="宋体"/>
                <w:bCs/>
              </w:rPr>
              <w:t>.</w:t>
            </w:r>
            <w:r>
              <w:rPr>
                <w:bCs/>
              </w:rPr>
              <w:t>2</w:t>
            </w:r>
            <w:r>
              <w:rPr>
                <w:rFonts w:ascii="宋体" w:hAnsi="宋体"/>
                <w:bCs/>
              </w:rPr>
              <w:t>.</w:t>
            </w:r>
            <w:r>
              <w:rPr>
                <w:bCs/>
              </w:rPr>
              <w:t>1</w:t>
            </w:r>
          </w:p>
        </w:tc>
        <w:tc>
          <w:tcPr>
            <w:tcW w:w="3164" w:type="dxa"/>
            <w:tcBorders>
              <w:top w:val="single" w:color="auto" w:sz="4" w:space="0"/>
              <w:left w:val="single" w:color="auto" w:sz="4" w:space="0"/>
              <w:bottom w:val="single" w:color="auto" w:sz="4" w:space="0"/>
              <w:right w:val="single" w:color="auto" w:sz="4" w:space="0"/>
            </w:tcBorders>
            <w:vAlign w:val="center"/>
          </w:tcPr>
          <w:p w14:paraId="3FB11DD1">
            <w:pPr>
              <w:jc w:val="center"/>
              <w:rPr>
                <w:rFonts w:ascii="宋体" w:hAnsi="宋体"/>
                <w:bCs/>
              </w:rPr>
            </w:pPr>
            <w:r>
              <w:rPr>
                <w:rFonts w:ascii="宋体" w:hAnsi="宋体"/>
                <w:bCs/>
              </w:rPr>
              <w:t>供应商要求澄清采购文件的时间</w:t>
            </w:r>
          </w:p>
        </w:tc>
        <w:tc>
          <w:tcPr>
            <w:tcW w:w="4887" w:type="dxa"/>
            <w:tcBorders>
              <w:top w:val="single" w:color="auto" w:sz="4" w:space="0"/>
              <w:left w:val="single" w:color="auto" w:sz="4" w:space="0"/>
              <w:bottom w:val="single" w:color="auto" w:sz="4" w:space="0"/>
              <w:right w:val="single" w:color="auto" w:sz="4" w:space="0"/>
            </w:tcBorders>
            <w:vAlign w:val="center"/>
          </w:tcPr>
          <w:p w14:paraId="47A04C75">
            <w:pPr>
              <w:spacing w:line="440" w:lineRule="exact"/>
              <w:rPr>
                <w:rFonts w:ascii="宋体" w:hAnsi="宋体"/>
                <w:bCs/>
                <w:szCs w:val="21"/>
              </w:rPr>
            </w:pPr>
            <w:r>
              <w:rPr>
                <w:rFonts w:ascii="宋体" w:hAnsi="宋体"/>
                <w:bCs/>
                <w:szCs w:val="21"/>
              </w:rPr>
              <w:t>截止时间：</w:t>
            </w:r>
            <w:r>
              <w:rPr>
                <w:rFonts w:hint="eastAsia"/>
                <w:bCs/>
                <w:szCs w:val="21"/>
              </w:rPr>
              <w:t>递交响应文件截止之日3天前。</w:t>
            </w:r>
          </w:p>
          <w:p w14:paraId="3B39DBAC">
            <w:pPr>
              <w:spacing w:line="440" w:lineRule="exact"/>
              <w:rPr>
                <w:rFonts w:ascii="宋体" w:hAnsi="宋体"/>
                <w:bCs/>
              </w:rPr>
            </w:pPr>
            <w:r>
              <w:rPr>
                <w:rFonts w:ascii="宋体" w:hAnsi="宋体"/>
                <w:bCs/>
              </w:rPr>
              <w:t>形式：供应商应在河北交投招标与采购服务平台中，将需要澄清的问题以盖章</w:t>
            </w:r>
            <w:r>
              <w:rPr>
                <w:bCs/>
              </w:rPr>
              <w:t>PDF</w:t>
            </w:r>
            <w:r>
              <w:rPr>
                <w:rFonts w:ascii="宋体" w:hAnsi="宋体"/>
                <w:bCs/>
              </w:rPr>
              <w:t>附件形式提出</w:t>
            </w:r>
          </w:p>
        </w:tc>
      </w:tr>
      <w:tr w14:paraId="4F7E201A">
        <w:tblPrEx>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vAlign w:val="center"/>
          </w:tcPr>
          <w:p w14:paraId="5D2AF10A">
            <w:pPr>
              <w:spacing w:line="440" w:lineRule="exact"/>
              <w:jc w:val="center"/>
              <w:rPr>
                <w:rFonts w:ascii="宋体" w:hAnsi="宋体"/>
                <w:bCs/>
              </w:rPr>
            </w:pPr>
            <w:r>
              <w:rPr>
                <w:bCs/>
              </w:rPr>
              <w:t>3</w:t>
            </w:r>
            <w:r>
              <w:rPr>
                <w:rFonts w:ascii="宋体" w:hAnsi="宋体"/>
                <w:bCs/>
              </w:rPr>
              <w:t>.</w:t>
            </w:r>
            <w:r>
              <w:rPr>
                <w:bCs/>
              </w:rPr>
              <w:t>1</w:t>
            </w:r>
            <w:r>
              <w:rPr>
                <w:rFonts w:ascii="宋体" w:hAnsi="宋体"/>
                <w:bCs/>
              </w:rPr>
              <w:t>.</w:t>
            </w:r>
            <w:r>
              <w:rPr>
                <w:bCs/>
              </w:rPr>
              <w:t>1</w:t>
            </w:r>
            <w:r>
              <w:rPr>
                <w:rFonts w:ascii="宋体" w:hAnsi="宋体"/>
                <w:bCs/>
              </w:rPr>
              <w:t>（</w:t>
            </w:r>
            <w:r>
              <w:rPr>
                <w:bCs/>
              </w:rPr>
              <w:t>10</w:t>
            </w:r>
            <w:r>
              <w:rPr>
                <w:rFonts w:ascii="宋体" w:hAnsi="宋体"/>
                <w:bCs/>
              </w:rPr>
              <w:t>）</w:t>
            </w:r>
          </w:p>
        </w:tc>
        <w:tc>
          <w:tcPr>
            <w:tcW w:w="3164" w:type="dxa"/>
            <w:tcBorders>
              <w:top w:val="single" w:color="auto" w:sz="4" w:space="0"/>
              <w:left w:val="single" w:color="auto" w:sz="4" w:space="0"/>
              <w:bottom w:val="single" w:color="auto" w:sz="4" w:space="0"/>
              <w:right w:val="single" w:color="auto" w:sz="4" w:space="0"/>
            </w:tcBorders>
            <w:vAlign w:val="center"/>
          </w:tcPr>
          <w:p w14:paraId="17F61935">
            <w:pPr>
              <w:spacing w:line="440" w:lineRule="exact"/>
              <w:jc w:val="center"/>
              <w:rPr>
                <w:rFonts w:ascii="宋体" w:hAnsi="宋体"/>
                <w:bCs/>
              </w:rPr>
            </w:pPr>
            <w:r>
              <w:rPr>
                <w:rFonts w:ascii="宋体" w:hAnsi="宋体"/>
                <w:bCs/>
              </w:rPr>
              <w:t>构成响应文件的其他资料</w:t>
            </w:r>
          </w:p>
        </w:tc>
        <w:tc>
          <w:tcPr>
            <w:tcW w:w="4887" w:type="dxa"/>
            <w:tcBorders>
              <w:top w:val="single" w:color="auto" w:sz="4" w:space="0"/>
              <w:left w:val="single" w:color="auto" w:sz="4" w:space="0"/>
              <w:bottom w:val="single" w:color="auto" w:sz="4" w:space="0"/>
              <w:right w:val="single" w:color="auto" w:sz="4" w:space="0"/>
            </w:tcBorders>
            <w:vAlign w:val="center"/>
          </w:tcPr>
          <w:p w14:paraId="11B39C01">
            <w:pPr>
              <w:spacing w:line="440" w:lineRule="exact"/>
              <w:rPr>
                <w:rFonts w:ascii="宋体" w:hAnsi="宋体"/>
                <w:bCs/>
              </w:rPr>
            </w:pPr>
            <w:r>
              <w:rPr>
                <w:rFonts w:ascii="宋体" w:hAnsi="宋体"/>
                <w:bCs/>
                <w:szCs w:val="21"/>
              </w:rPr>
              <w:t>资料名称：</w:t>
            </w:r>
            <w:r>
              <w:rPr>
                <w:rFonts w:hint="eastAsia" w:ascii="宋体" w:hAnsi="宋体"/>
                <w:bCs/>
                <w:szCs w:val="21"/>
              </w:rPr>
              <w:t>无</w:t>
            </w:r>
          </w:p>
        </w:tc>
      </w:tr>
      <w:tr w14:paraId="1EB194BD">
        <w:tblPrEx>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vAlign w:val="center"/>
          </w:tcPr>
          <w:p w14:paraId="03F981A7">
            <w:pPr>
              <w:spacing w:line="440" w:lineRule="exact"/>
              <w:jc w:val="center"/>
              <w:rPr>
                <w:rFonts w:ascii="宋体" w:hAnsi="宋体"/>
                <w:bCs/>
              </w:rPr>
            </w:pPr>
            <w:r>
              <w:rPr>
                <w:bCs/>
              </w:rPr>
              <w:t>3</w:t>
            </w:r>
            <w:r>
              <w:rPr>
                <w:rFonts w:ascii="宋体" w:hAnsi="宋体"/>
                <w:bCs/>
              </w:rPr>
              <w:t>.</w:t>
            </w:r>
            <w:r>
              <w:rPr>
                <w:bCs/>
              </w:rPr>
              <w:t>2</w:t>
            </w:r>
            <w:r>
              <w:rPr>
                <w:rFonts w:ascii="宋体" w:hAnsi="宋体"/>
                <w:bCs/>
              </w:rPr>
              <w:t>.</w:t>
            </w:r>
            <w:r>
              <w:rPr>
                <w:bCs/>
              </w:rPr>
              <w:t>3</w:t>
            </w:r>
          </w:p>
        </w:tc>
        <w:tc>
          <w:tcPr>
            <w:tcW w:w="3164" w:type="dxa"/>
            <w:tcBorders>
              <w:top w:val="single" w:color="auto" w:sz="4" w:space="0"/>
              <w:left w:val="single" w:color="auto" w:sz="4" w:space="0"/>
              <w:bottom w:val="single" w:color="auto" w:sz="4" w:space="0"/>
              <w:right w:val="single" w:color="auto" w:sz="4" w:space="0"/>
            </w:tcBorders>
            <w:vAlign w:val="center"/>
          </w:tcPr>
          <w:p w14:paraId="07711263">
            <w:pPr>
              <w:spacing w:line="440" w:lineRule="exact"/>
              <w:jc w:val="center"/>
              <w:rPr>
                <w:rFonts w:ascii="宋体" w:hAnsi="宋体"/>
                <w:bCs/>
              </w:rPr>
            </w:pPr>
            <w:r>
              <w:rPr>
                <w:rFonts w:ascii="宋体" w:hAnsi="宋体"/>
                <w:szCs w:val="21"/>
              </w:rPr>
              <w:t>框架协议价格形式</w:t>
            </w:r>
          </w:p>
        </w:tc>
        <w:tc>
          <w:tcPr>
            <w:tcW w:w="4887" w:type="dxa"/>
            <w:tcBorders>
              <w:top w:val="single" w:color="auto" w:sz="4" w:space="0"/>
              <w:left w:val="single" w:color="auto" w:sz="4" w:space="0"/>
              <w:bottom w:val="single" w:color="auto" w:sz="4" w:space="0"/>
              <w:right w:val="single" w:color="auto" w:sz="4" w:space="0"/>
            </w:tcBorders>
            <w:vAlign w:val="center"/>
          </w:tcPr>
          <w:p w14:paraId="1A1F44B0">
            <w:pPr>
              <w:spacing w:line="440" w:lineRule="exact"/>
              <w:rPr>
                <w:bCs/>
              </w:rPr>
            </w:pPr>
            <w:r>
              <w:rPr>
                <w:rFonts w:ascii="Segoe UI Symbol" w:hAnsi="Segoe UI Symbol" w:cs="Segoe UI Symbol"/>
                <w:bCs/>
                <w:sz w:val="32"/>
                <w:szCs w:val="20"/>
              </w:rPr>
              <w:t>☑</w:t>
            </w:r>
            <w:r>
              <w:rPr>
                <w:bCs/>
              </w:rPr>
              <w:t>无价格</w:t>
            </w:r>
          </w:p>
          <w:p w14:paraId="734AAB8F">
            <w:pPr>
              <w:spacing w:line="440" w:lineRule="exact"/>
              <w:rPr>
                <w:bCs/>
              </w:rPr>
            </w:pPr>
            <w:r>
              <w:rPr>
                <w:bCs/>
                <w:sz w:val="32"/>
                <w:szCs w:val="20"/>
              </w:rPr>
              <w:t>□</w:t>
            </w:r>
            <w:r>
              <w:rPr>
                <w:bCs/>
              </w:rPr>
              <w:t>有，固定价格：</w:t>
            </w:r>
            <w:r>
              <w:rPr>
                <w:bCs/>
                <w:u w:val="single"/>
              </w:rPr>
              <w:t xml:space="preserve">   </w:t>
            </w:r>
            <w:r>
              <w:rPr>
                <w:bCs/>
              </w:rPr>
              <w:t>元</w:t>
            </w:r>
          </w:p>
          <w:p w14:paraId="76514A0B">
            <w:pPr>
              <w:spacing w:line="440" w:lineRule="exact"/>
              <w:rPr>
                <w:bCs/>
              </w:rPr>
            </w:pPr>
            <w:r>
              <w:rPr>
                <w:bCs/>
                <w:sz w:val="32"/>
                <w:szCs w:val="20"/>
              </w:rPr>
              <w:t>□</w:t>
            </w:r>
            <w:r>
              <w:rPr>
                <w:bCs/>
              </w:rPr>
              <w:t>有，可调价格：</w:t>
            </w:r>
            <w:r>
              <w:rPr>
                <w:bCs/>
                <w:u w:val="single"/>
              </w:rPr>
              <w:t xml:space="preserve">   </w:t>
            </w:r>
            <w:r>
              <w:rPr>
                <w:bCs/>
              </w:rPr>
              <w:t>元</w:t>
            </w:r>
          </w:p>
          <w:p w14:paraId="79025A4C">
            <w:pPr>
              <w:spacing w:line="440" w:lineRule="exact"/>
              <w:rPr>
                <w:rFonts w:ascii="宋体" w:hAnsi="宋体"/>
                <w:bCs/>
              </w:rPr>
            </w:pPr>
            <w:r>
              <w:rPr>
                <w:bCs/>
                <w:sz w:val="32"/>
                <w:szCs w:val="20"/>
              </w:rPr>
              <w:t>□</w:t>
            </w:r>
            <w:r>
              <w:rPr>
                <w:bCs/>
              </w:rPr>
              <w:t>有，最高限价：</w:t>
            </w:r>
            <w:r>
              <w:rPr>
                <w:bCs/>
                <w:u w:val="single"/>
              </w:rPr>
              <w:t xml:space="preserve">   </w:t>
            </w:r>
            <w:r>
              <w:rPr>
                <w:bCs/>
              </w:rPr>
              <w:t>元</w:t>
            </w:r>
          </w:p>
        </w:tc>
      </w:tr>
      <w:tr w14:paraId="7C4BD251">
        <w:tblPrEx>
          <w:tblCellMar>
            <w:top w:w="0" w:type="dxa"/>
            <w:left w:w="108" w:type="dxa"/>
            <w:bottom w:w="0" w:type="dxa"/>
            <w:right w:w="108" w:type="dxa"/>
          </w:tblCellMar>
        </w:tblPrEx>
        <w:trPr>
          <w:trHeight w:val="884" w:hRule="atLeast"/>
        </w:trPr>
        <w:tc>
          <w:tcPr>
            <w:tcW w:w="1271" w:type="dxa"/>
            <w:tcBorders>
              <w:top w:val="single" w:color="auto" w:sz="4" w:space="0"/>
              <w:left w:val="single" w:color="auto" w:sz="4" w:space="0"/>
              <w:bottom w:val="single" w:color="auto" w:sz="4" w:space="0"/>
              <w:right w:val="single" w:color="auto" w:sz="4" w:space="0"/>
            </w:tcBorders>
            <w:vAlign w:val="center"/>
          </w:tcPr>
          <w:p w14:paraId="09C355B1">
            <w:pPr>
              <w:spacing w:line="440" w:lineRule="exact"/>
              <w:jc w:val="center"/>
              <w:rPr>
                <w:rFonts w:ascii="宋体" w:hAnsi="宋体"/>
                <w:bCs/>
                <w:szCs w:val="21"/>
              </w:rPr>
            </w:pPr>
            <w:r>
              <w:rPr>
                <w:bCs/>
                <w:szCs w:val="21"/>
              </w:rPr>
              <w:t>3</w:t>
            </w:r>
            <w:r>
              <w:rPr>
                <w:rFonts w:ascii="宋体" w:hAnsi="宋体"/>
                <w:bCs/>
                <w:szCs w:val="21"/>
              </w:rPr>
              <w:t>.</w:t>
            </w:r>
            <w:r>
              <w:rPr>
                <w:bCs/>
                <w:szCs w:val="21"/>
              </w:rPr>
              <w:t>2</w:t>
            </w:r>
            <w:r>
              <w:rPr>
                <w:rFonts w:ascii="宋体" w:hAnsi="宋体"/>
                <w:bCs/>
                <w:szCs w:val="21"/>
              </w:rPr>
              <w:t>.</w:t>
            </w:r>
            <w:r>
              <w:rPr>
                <w:bCs/>
                <w:szCs w:val="21"/>
              </w:rPr>
              <w:t>3</w:t>
            </w:r>
            <w:r>
              <w:rPr>
                <w:rFonts w:ascii="宋体" w:hAnsi="宋体"/>
                <w:bCs/>
                <w:szCs w:val="21"/>
              </w:rPr>
              <w:t>（</w:t>
            </w:r>
            <w:r>
              <w:rPr>
                <w:bCs/>
                <w:szCs w:val="21"/>
              </w:rPr>
              <w:t>1</w:t>
            </w:r>
            <w:r>
              <w:rPr>
                <w:rFonts w:ascii="宋体" w:hAnsi="宋体"/>
                <w:bCs/>
                <w:szCs w:val="21"/>
              </w:rPr>
              <w:t>）</w:t>
            </w:r>
          </w:p>
        </w:tc>
        <w:tc>
          <w:tcPr>
            <w:tcW w:w="3164" w:type="dxa"/>
            <w:tcBorders>
              <w:top w:val="single" w:color="auto" w:sz="4" w:space="0"/>
              <w:left w:val="single" w:color="auto" w:sz="4" w:space="0"/>
              <w:bottom w:val="single" w:color="auto" w:sz="4" w:space="0"/>
              <w:right w:val="single" w:color="auto" w:sz="4" w:space="0"/>
            </w:tcBorders>
            <w:vAlign w:val="center"/>
          </w:tcPr>
          <w:p w14:paraId="27AF626E">
            <w:pPr>
              <w:spacing w:line="440" w:lineRule="exact"/>
              <w:jc w:val="center"/>
              <w:rPr>
                <w:bCs/>
                <w:szCs w:val="21"/>
              </w:rPr>
            </w:pPr>
            <w:r>
              <w:rPr>
                <w:bCs/>
                <w:szCs w:val="21"/>
              </w:rPr>
              <w:t>固定价格调整</w:t>
            </w:r>
            <w:r>
              <w:t>特殊例外情形</w:t>
            </w:r>
          </w:p>
        </w:tc>
        <w:tc>
          <w:tcPr>
            <w:tcW w:w="4887" w:type="dxa"/>
            <w:tcBorders>
              <w:top w:val="single" w:color="auto" w:sz="4" w:space="0"/>
              <w:left w:val="single" w:color="auto" w:sz="4" w:space="0"/>
              <w:bottom w:val="single" w:color="auto" w:sz="4" w:space="0"/>
              <w:right w:val="single" w:color="auto" w:sz="4" w:space="0"/>
            </w:tcBorders>
            <w:vAlign w:val="center"/>
          </w:tcPr>
          <w:p w14:paraId="15E7B806">
            <w:pPr>
              <w:spacing w:line="440" w:lineRule="exact"/>
              <w:rPr>
                <w:bCs/>
              </w:rPr>
            </w:pPr>
            <w:r>
              <w:rPr>
                <w:rFonts w:ascii="Segoe UI Symbol" w:hAnsi="Segoe UI Symbol" w:cs="Segoe UI Symbol"/>
                <w:bCs/>
                <w:sz w:val="32"/>
                <w:szCs w:val="20"/>
              </w:rPr>
              <w:t>☑</w:t>
            </w:r>
            <w:r>
              <w:rPr>
                <w:bCs/>
              </w:rPr>
              <w:t>无</w:t>
            </w:r>
          </w:p>
          <w:p w14:paraId="35F4A7C6">
            <w:pPr>
              <w:spacing w:line="440" w:lineRule="exact"/>
              <w:rPr>
                <w:szCs w:val="21"/>
              </w:rPr>
            </w:pPr>
            <w:r>
              <w:rPr>
                <w:bCs/>
                <w:sz w:val="32"/>
                <w:szCs w:val="20"/>
              </w:rPr>
              <w:t>□</w:t>
            </w:r>
            <w:r>
              <w:rPr>
                <w:bCs/>
              </w:rPr>
              <w:t>有，</w:t>
            </w:r>
            <w:r>
              <w:rPr>
                <w:bCs/>
                <w:u w:val="single"/>
              </w:rPr>
              <w:t xml:space="preserve">             </w:t>
            </w:r>
            <w:r>
              <w:rPr>
                <w:bCs/>
              </w:rPr>
              <w:t xml:space="preserve"> </w:t>
            </w:r>
          </w:p>
        </w:tc>
      </w:tr>
      <w:tr w14:paraId="48842B76">
        <w:tblPrEx>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vAlign w:val="center"/>
          </w:tcPr>
          <w:p w14:paraId="61B4B4E5">
            <w:pPr>
              <w:spacing w:line="440" w:lineRule="exact"/>
              <w:jc w:val="center"/>
              <w:rPr>
                <w:rFonts w:ascii="宋体" w:hAnsi="宋体"/>
                <w:bCs/>
                <w:szCs w:val="21"/>
              </w:rPr>
            </w:pPr>
            <w:r>
              <w:rPr>
                <w:bCs/>
                <w:szCs w:val="21"/>
              </w:rPr>
              <w:t>3</w:t>
            </w:r>
            <w:r>
              <w:rPr>
                <w:rFonts w:ascii="宋体" w:hAnsi="宋体"/>
                <w:bCs/>
                <w:szCs w:val="21"/>
              </w:rPr>
              <w:t>.</w:t>
            </w:r>
            <w:r>
              <w:rPr>
                <w:bCs/>
                <w:szCs w:val="21"/>
              </w:rPr>
              <w:t>2</w:t>
            </w:r>
            <w:r>
              <w:rPr>
                <w:rFonts w:ascii="宋体" w:hAnsi="宋体"/>
                <w:bCs/>
                <w:szCs w:val="21"/>
              </w:rPr>
              <w:t>.</w:t>
            </w:r>
            <w:r>
              <w:rPr>
                <w:bCs/>
                <w:szCs w:val="21"/>
              </w:rPr>
              <w:t>3</w:t>
            </w:r>
            <w:r>
              <w:rPr>
                <w:rFonts w:ascii="宋体" w:hAnsi="宋体"/>
                <w:bCs/>
                <w:szCs w:val="21"/>
              </w:rPr>
              <w:t>（</w:t>
            </w:r>
            <w:r>
              <w:rPr>
                <w:bCs/>
                <w:szCs w:val="21"/>
              </w:rPr>
              <w:t>2</w:t>
            </w:r>
            <w:r>
              <w:rPr>
                <w:rFonts w:ascii="宋体" w:hAnsi="宋体"/>
                <w:bCs/>
                <w:szCs w:val="21"/>
              </w:rPr>
              <w:t>）</w:t>
            </w:r>
          </w:p>
        </w:tc>
        <w:tc>
          <w:tcPr>
            <w:tcW w:w="3164" w:type="dxa"/>
            <w:tcBorders>
              <w:top w:val="single" w:color="auto" w:sz="4" w:space="0"/>
              <w:left w:val="single" w:color="auto" w:sz="4" w:space="0"/>
              <w:bottom w:val="single" w:color="auto" w:sz="4" w:space="0"/>
              <w:right w:val="single" w:color="auto" w:sz="4" w:space="0"/>
            </w:tcBorders>
            <w:vAlign w:val="center"/>
          </w:tcPr>
          <w:p w14:paraId="62E7B21E">
            <w:pPr>
              <w:spacing w:line="440" w:lineRule="exact"/>
              <w:jc w:val="center"/>
              <w:rPr>
                <w:rFonts w:ascii="宋体" w:hAnsi="宋体"/>
                <w:bCs/>
                <w:szCs w:val="21"/>
              </w:rPr>
            </w:pPr>
            <w:r>
              <w:rPr>
                <w:rFonts w:ascii="宋体" w:hAnsi="宋体"/>
                <w:bCs/>
                <w:szCs w:val="21"/>
              </w:rPr>
              <w:t>可调价格</w:t>
            </w:r>
            <w:r>
              <w:rPr>
                <w:rFonts w:ascii="宋体" w:hAnsi="宋体"/>
              </w:rPr>
              <w:t>价格调整触发条件</w:t>
            </w:r>
          </w:p>
        </w:tc>
        <w:tc>
          <w:tcPr>
            <w:tcW w:w="4887" w:type="dxa"/>
            <w:tcBorders>
              <w:top w:val="single" w:color="auto" w:sz="4" w:space="0"/>
              <w:left w:val="single" w:color="auto" w:sz="4" w:space="0"/>
              <w:bottom w:val="single" w:color="auto" w:sz="4" w:space="0"/>
              <w:right w:val="single" w:color="auto" w:sz="4" w:space="0"/>
            </w:tcBorders>
            <w:vAlign w:val="center"/>
          </w:tcPr>
          <w:p w14:paraId="756520DD">
            <w:pPr>
              <w:spacing w:line="440" w:lineRule="exact"/>
              <w:rPr>
                <w:rFonts w:ascii="宋体" w:hAnsi="宋体"/>
                <w:bCs/>
                <w:sz w:val="32"/>
                <w:szCs w:val="20"/>
              </w:rPr>
            </w:pPr>
            <w:r>
              <w:rPr>
                <w:rFonts w:hint="eastAsia" w:ascii="宋体" w:hAnsi="宋体"/>
                <w:bCs/>
                <w:szCs w:val="21"/>
              </w:rPr>
              <w:t>不适用</w:t>
            </w:r>
          </w:p>
        </w:tc>
      </w:tr>
      <w:tr w14:paraId="51801331">
        <w:tblPrEx>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vAlign w:val="center"/>
          </w:tcPr>
          <w:p w14:paraId="2539857F">
            <w:pPr>
              <w:spacing w:line="440" w:lineRule="exact"/>
              <w:jc w:val="center"/>
              <w:rPr>
                <w:rFonts w:ascii="宋体" w:hAnsi="宋体"/>
                <w:bCs/>
                <w:szCs w:val="21"/>
              </w:rPr>
            </w:pPr>
            <w:r>
              <w:rPr>
                <w:bCs/>
                <w:szCs w:val="21"/>
              </w:rPr>
              <w:t>3</w:t>
            </w:r>
            <w:r>
              <w:rPr>
                <w:rFonts w:ascii="宋体" w:hAnsi="宋体"/>
                <w:bCs/>
                <w:szCs w:val="21"/>
              </w:rPr>
              <w:t>.</w:t>
            </w:r>
            <w:r>
              <w:rPr>
                <w:bCs/>
                <w:szCs w:val="21"/>
              </w:rPr>
              <w:t>2</w:t>
            </w:r>
            <w:r>
              <w:rPr>
                <w:rFonts w:ascii="宋体" w:hAnsi="宋体"/>
                <w:bCs/>
                <w:szCs w:val="21"/>
              </w:rPr>
              <w:t>.</w:t>
            </w:r>
            <w:r>
              <w:rPr>
                <w:bCs/>
                <w:szCs w:val="21"/>
              </w:rPr>
              <w:t>3</w:t>
            </w:r>
            <w:r>
              <w:rPr>
                <w:rFonts w:ascii="宋体" w:hAnsi="宋体"/>
                <w:bCs/>
                <w:szCs w:val="21"/>
              </w:rPr>
              <w:t>（</w:t>
            </w:r>
            <w:r>
              <w:rPr>
                <w:bCs/>
                <w:szCs w:val="21"/>
              </w:rPr>
              <w:t>3</w:t>
            </w:r>
            <w:r>
              <w:rPr>
                <w:rFonts w:ascii="宋体" w:hAnsi="宋体"/>
                <w:bCs/>
                <w:szCs w:val="21"/>
              </w:rPr>
              <w:t>）</w:t>
            </w:r>
          </w:p>
        </w:tc>
        <w:tc>
          <w:tcPr>
            <w:tcW w:w="3164" w:type="dxa"/>
            <w:tcBorders>
              <w:top w:val="single" w:color="auto" w:sz="4" w:space="0"/>
              <w:left w:val="single" w:color="auto" w:sz="4" w:space="0"/>
              <w:bottom w:val="single" w:color="auto" w:sz="4" w:space="0"/>
              <w:right w:val="single" w:color="auto" w:sz="4" w:space="0"/>
            </w:tcBorders>
            <w:vAlign w:val="center"/>
          </w:tcPr>
          <w:p w14:paraId="34945D27">
            <w:pPr>
              <w:spacing w:line="440" w:lineRule="exact"/>
              <w:jc w:val="center"/>
              <w:rPr>
                <w:rFonts w:ascii="宋体" w:hAnsi="宋体"/>
                <w:bCs/>
                <w:szCs w:val="21"/>
              </w:rPr>
            </w:pPr>
            <w:r>
              <w:rPr>
                <w:rFonts w:ascii="宋体" w:hAnsi="宋体"/>
                <w:bCs/>
                <w:szCs w:val="21"/>
              </w:rPr>
              <w:t>最高限价第一阶段报价形式</w:t>
            </w:r>
          </w:p>
        </w:tc>
        <w:tc>
          <w:tcPr>
            <w:tcW w:w="4887" w:type="dxa"/>
            <w:tcBorders>
              <w:top w:val="single" w:color="auto" w:sz="4" w:space="0"/>
              <w:left w:val="single" w:color="auto" w:sz="4" w:space="0"/>
              <w:bottom w:val="single" w:color="auto" w:sz="4" w:space="0"/>
              <w:right w:val="single" w:color="auto" w:sz="4" w:space="0"/>
            </w:tcBorders>
            <w:vAlign w:val="center"/>
          </w:tcPr>
          <w:p w14:paraId="0D16F2E1">
            <w:pPr>
              <w:spacing w:line="440" w:lineRule="exact"/>
              <w:rPr>
                <w:bCs/>
              </w:rPr>
            </w:pPr>
            <w:r>
              <w:rPr>
                <w:bCs/>
                <w:sz w:val="32"/>
                <w:szCs w:val="20"/>
              </w:rPr>
              <w:t>□</w:t>
            </w:r>
            <w:r>
              <w:rPr>
                <w:bCs/>
              </w:rPr>
              <w:t>需要</w:t>
            </w:r>
          </w:p>
          <w:p w14:paraId="78374138">
            <w:pPr>
              <w:spacing w:line="440" w:lineRule="exact"/>
              <w:rPr>
                <w:rFonts w:ascii="宋体" w:hAnsi="宋体"/>
                <w:bCs/>
                <w:sz w:val="32"/>
                <w:szCs w:val="20"/>
              </w:rPr>
            </w:pPr>
            <w:r>
              <w:rPr>
                <w:rFonts w:ascii="Segoe UI Symbol" w:hAnsi="Segoe UI Symbol" w:cs="Segoe UI Symbol"/>
                <w:bCs/>
                <w:sz w:val="32"/>
                <w:szCs w:val="20"/>
              </w:rPr>
              <w:t>☑</w:t>
            </w:r>
            <w:r>
              <w:rPr>
                <w:bCs/>
              </w:rPr>
              <w:t>不需要</w:t>
            </w:r>
          </w:p>
        </w:tc>
      </w:tr>
      <w:tr w14:paraId="19B0823A">
        <w:tblPrEx>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vAlign w:val="center"/>
          </w:tcPr>
          <w:p w14:paraId="6F753FD3">
            <w:pPr>
              <w:spacing w:line="440" w:lineRule="exact"/>
              <w:jc w:val="center"/>
              <w:rPr>
                <w:rFonts w:ascii="宋体" w:hAnsi="宋体"/>
                <w:bCs/>
                <w:szCs w:val="21"/>
              </w:rPr>
            </w:pPr>
            <w:r>
              <w:rPr>
                <w:bCs/>
                <w:szCs w:val="21"/>
              </w:rPr>
              <w:t>3</w:t>
            </w:r>
            <w:r>
              <w:rPr>
                <w:rFonts w:ascii="宋体" w:hAnsi="宋体"/>
                <w:bCs/>
                <w:szCs w:val="21"/>
              </w:rPr>
              <w:t>.</w:t>
            </w:r>
            <w:r>
              <w:rPr>
                <w:bCs/>
                <w:szCs w:val="21"/>
              </w:rPr>
              <w:t>2</w:t>
            </w:r>
            <w:r>
              <w:rPr>
                <w:rFonts w:ascii="宋体" w:hAnsi="宋体"/>
                <w:bCs/>
                <w:szCs w:val="21"/>
              </w:rPr>
              <w:t>.</w:t>
            </w:r>
            <w:r>
              <w:rPr>
                <w:bCs/>
                <w:szCs w:val="21"/>
              </w:rPr>
              <w:t>4</w:t>
            </w:r>
          </w:p>
        </w:tc>
        <w:tc>
          <w:tcPr>
            <w:tcW w:w="3164" w:type="dxa"/>
            <w:tcBorders>
              <w:top w:val="single" w:color="auto" w:sz="4" w:space="0"/>
              <w:left w:val="single" w:color="auto" w:sz="4" w:space="0"/>
              <w:bottom w:val="single" w:color="auto" w:sz="4" w:space="0"/>
              <w:right w:val="single" w:color="auto" w:sz="4" w:space="0"/>
            </w:tcBorders>
            <w:vAlign w:val="center"/>
          </w:tcPr>
          <w:p w14:paraId="0A72F289">
            <w:pPr>
              <w:spacing w:line="440" w:lineRule="exact"/>
              <w:jc w:val="center"/>
              <w:rPr>
                <w:rFonts w:ascii="宋体" w:hAnsi="宋体"/>
                <w:bCs/>
                <w:szCs w:val="21"/>
              </w:rPr>
            </w:pPr>
            <w:r>
              <w:rPr>
                <w:rFonts w:ascii="宋体" w:hAnsi="宋体"/>
                <w:bCs/>
                <w:szCs w:val="21"/>
              </w:rPr>
              <w:t>报价的其他要求</w:t>
            </w:r>
          </w:p>
        </w:tc>
        <w:tc>
          <w:tcPr>
            <w:tcW w:w="4887" w:type="dxa"/>
            <w:tcBorders>
              <w:top w:val="single" w:color="auto" w:sz="4" w:space="0"/>
              <w:left w:val="single" w:color="auto" w:sz="4" w:space="0"/>
              <w:bottom w:val="single" w:color="auto" w:sz="4" w:space="0"/>
              <w:right w:val="single" w:color="auto" w:sz="4" w:space="0"/>
            </w:tcBorders>
            <w:vAlign w:val="center"/>
          </w:tcPr>
          <w:p w14:paraId="2FBFE6D6">
            <w:pPr>
              <w:spacing w:line="440" w:lineRule="exact"/>
              <w:rPr>
                <w:rFonts w:ascii="宋体" w:hAnsi="宋体"/>
                <w:bCs/>
                <w:sz w:val="32"/>
                <w:szCs w:val="20"/>
              </w:rPr>
            </w:pPr>
            <w:r>
              <w:rPr>
                <w:rFonts w:hint="eastAsia" w:ascii="宋体" w:hAnsi="宋体"/>
                <w:bCs/>
                <w:szCs w:val="21"/>
              </w:rPr>
              <w:t>无</w:t>
            </w:r>
          </w:p>
        </w:tc>
      </w:tr>
      <w:tr w14:paraId="247308BF">
        <w:tblPrEx>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vAlign w:val="center"/>
          </w:tcPr>
          <w:p w14:paraId="0FFD45E2">
            <w:pPr>
              <w:spacing w:line="440" w:lineRule="exact"/>
              <w:jc w:val="center"/>
              <w:rPr>
                <w:rFonts w:ascii="宋体" w:hAnsi="宋体"/>
                <w:bCs/>
              </w:rPr>
            </w:pPr>
            <w:r>
              <w:rPr>
                <w:bCs/>
              </w:rPr>
              <w:t>3</w:t>
            </w:r>
            <w:r>
              <w:rPr>
                <w:rFonts w:ascii="宋体" w:hAnsi="宋体"/>
                <w:bCs/>
              </w:rPr>
              <w:t>.</w:t>
            </w:r>
            <w:r>
              <w:rPr>
                <w:bCs/>
              </w:rPr>
              <w:t>3</w:t>
            </w:r>
            <w:r>
              <w:rPr>
                <w:rFonts w:ascii="宋体" w:hAnsi="宋体"/>
                <w:bCs/>
              </w:rPr>
              <w:t>.</w:t>
            </w:r>
            <w:r>
              <w:rPr>
                <w:bCs/>
              </w:rPr>
              <w:t>1</w:t>
            </w:r>
          </w:p>
        </w:tc>
        <w:tc>
          <w:tcPr>
            <w:tcW w:w="3164" w:type="dxa"/>
            <w:tcBorders>
              <w:top w:val="single" w:color="auto" w:sz="4" w:space="0"/>
              <w:left w:val="single" w:color="auto" w:sz="4" w:space="0"/>
              <w:bottom w:val="single" w:color="auto" w:sz="4" w:space="0"/>
              <w:right w:val="single" w:color="auto" w:sz="4" w:space="0"/>
            </w:tcBorders>
            <w:vAlign w:val="center"/>
          </w:tcPr>
          <w:p w14:paraId="5CCE85F7">
            <w:pPr>
              <w:spacing w:line="440" w:lineRule="exact"/>
              <w:jc w:val="center"/>
              <w:rPr>
                <w:rFonts w:ascii="宋体" w:hAnsi="宋体"/>
                <w:bCs/>
              </w:rPr>
            </w:pPr>
            <w:r>
              <w:rPr>
                <w:rFonts w:ascii="宋体" w:hAnsi="宋体"/>
                <w:bCs/>
              </w:rPr>
              <w:t>响应文件有效期</w:t>
            </w:r>
          </w:p>
        </w:tc>
        <w:tc>
          <w:tcPr>
            <w:tcW w:w="4887" w:type="dxa"/>
            <w:tcBorders>
              <w:top w:val="single" w:color="auto" w:sz="4" w:space="0"/>
              <w:left w:val="single" w:color="auto" w:sz="4" w:space="0"/>
              <w:bottom w:val="single" w:color="auto" w:sz="4" w:space="0"/>
              <w:right w:val="single" w:color="auto" w:sz="4" w:space="0"/>
            </w:tcBorders>
            <w:vAlign w:val="center"/>
          </w:tcPr>
          <w:p w14:paraId="08624224">
            <w:pPr>
              <w:spacing w:line="440" w:lineRule="exact"/>
              <w:rPr>
                <w:rFonts w:ascii="宋体" w:hAnsi="宋体"/>
                <w:bCs/>
              </w:rPr>
            </w:pPr>
            <w:r>
              <w:rPr>
                <w:rFonts w:hint="eastAsia"/>
                <w:bCs/>
              </w:rPr>
              <w:t>90天</w:t>
            </w:r>
          </w:p>
        </w:tc>
      </w:tr>
      <w:tr w14:paraId="456544B3">
        <w:tblPrEx>
          <w:tblCellMar>
            <w:top w:w="0" w:type="dxa"/>
            <w:left w:w="108" w:type="dxa"/>
            <w:bottom w:w="0" w:type="dxa"/>
            <w:right w:w="108" w:type="dxa"/>
          </w:tblCellMar>
        </w:tblPrEx>
        <w:trPr>
          <w:trHeight w:val="536" w:hRule="atLeast"/>
        </w:trPr>
        <w:tc>
          <w:tcPr>
            <w:tcW w:w="1271" w:type="dxa"/>
            <w:tcBorders>
              <w:top w:val="single" w:color="auto" w:sz="4" w:space="0"/>
              <w:left w:val="single" w:color="auto" w:sz="4" w:space="0"/>
              <w:bottom w:val="single" w:color="auto" w:sz="4" w:space="0"/>
              <w:right w:val="single" w:color="auto" w:sz="4" w:space="0"/>
            </w:tcBorders>
            <w:vAlign w:val="center"/>
          </w:tcPr>
          <w:p w14:paraId="5C81EED9">
            <w:pPr>
              <w:spacing w:line="440" w:lineRule="exact"/>
              <w:jc w:val="center"/>
              <w:rPr>
                <w:rFonts w:ascii="宋体" w:hAnsi="宋体"/>
                <w:bCs/>
              </w:rPr>
            </w:pPr>
            <w:r>
              <w:rPr>
                <w:bCs/>
              </w:rPr>
              <w:t>3</w:t>
            </w:r>
            <w:r>
              <w:rPr>
                <w:rFonts w:ascii="宋体" w:hAnsi="宋体"/>
                <w:bCs/>
              </w:rPr>
              <w:t>.</w:t>
            </w:r>
            <w:r>
              <w:rPr>
                <w:bCs/>
              </w:rPr>
              <w:t>4</w:t>
            </w:r>
            <w:r>
              <w:rPr>
                <w:rFonts w:ascii="宋体" w:hAnsi="宋体"/>
                <w:bCs/>
              </w:rPr>
              <w:t>.</w:t>
            </w:r>
            <w:r>
              <w:rPr>
                <w:bCs/>
              </w:rPr>
              <w:t>1</w:t>
            </w:r>
          </w:p>
        </w:tc>
        <w:tc>
          <w:tcPr>
            <w:tcW w:w="3164" w:type="dxa"/>
            <w:tcBorders>
              <w:top w:val="single" w:color="auto" w:sz="4" w:space="0"/>
              <w:left w:val="single" w:color="auto" w:sz="4" w:space="0"/>
              <w:bottom w:val="single" w:color="auto" w:sz="4" w:space="0"/>
              <w:right w:val="single" w:color="auto" w:sz="4" w:space="0"/>
            </w:tcBorders>
            <w:vAlign w:val="center"/>
          </w:tcPr>
          <w:p w14:paraId="40B91CEA">
            <w:pPr>
              <w:spacing w:line="440" w:lineRule="exact"/>
              <w:jc w:val="center"/>
              <w:rPr>
                <w:rFonts w:ascii="宋体" w:hAnsi="宋体"/>
                <w:bCs/>
              </w:rPr>
            </w:pPr>
            <w:r>
              <w:rPr>
                <w:rFonts w:ascii="宋体" w:hAnsi="宋体"/>
                <w:bCs/>
              </w:rPr>
              <w:t>响应保证金</w:t>
            </w:r>
          </w:p>
        </w:tc>
        <w:tc>
          <w:tcPr>
            <w:tcW w:w="4887" w:type="dxa"/>
            <w:tcBorders>
              <w:top w:val="single" w:color="auto" w:sz="4" w:space="0"/>
              <w:left w:val="single" w:color="auto" w:sz="4" w:space="0"/>
              <w:bottom w:val="single" w:color="auto" w:sz="4" w:space="0"/>
              <w:right w:val="single" w:color="auto" w:sz="4" w:space="0"/>
            </w:tcBorders>
            <w:vAlign w:val="center"/>
          </w:tcPr>
          <w:p w14:paraId="577AD852">
            <w:pPr>
              <w:spacing w:line="400" w:lineRule="exact"/>
              <w:rPr>
                <w:szCs w:val="21"/>
              </w:rPr>
            </w:pPr>
            <w:r>
              <w:rPr>
                <w:rFonts w:ascii="Segoe UI Symbol" w:hAnsi="Segoe UI Symbol" w:cs="Segoe UI Symbol"/>
                <w:bCs/>
                <w:sz w:val="32"/>
                <w:szCs w:val="20"/>
              </w:rPr>
              <w:t>☑</w:t>
            </w:r>
            <w:r>
              <w:rPr>
                <w:szCs w:val="21"/>
              </w:rPr>
              <w:t>不要求</w:t>
            </w:r>
          </w:p>
          <w:p w14:paraId="462ABC3C">
            <w:pPr>
              <w:spacing w:line="400" w:lineRule="exact"/>
              <w:rPr>
                <w:szCs w:val="21"/>
              </w:rPr>
            </w:pPr>
            <w:r>
              <w:rPr>
                <w:bCs/>
                <w:sz w:val="32"/>
                <w:szCs w:val="20"/>
              </w:rPr>
              <w:t>□</w:t>
            </w:r>
            <w:r>
              <w:rPr>
                <w:szCs w:val="21"/>
              </w:rPr>
              <w:t>要求，响应保证金的形式（以下可多选）：</w:t>
            </w:r>
          </w:p>
          <w:p w14:paraId="14ED9028">
            <w:pPr>
              <w:spacing w:line="400" w:lineRule="exact"/>
              <w:ind w:firstLine="640"/>
              <w:rPr>
                <w:szCs w:val="21"/>
              </w:rPr>
            </w:pPr>
            <w:r>
              <w:rPr>
                <w:bCs/>
                <w:sz w:val="32"/>
                <w:szCs w:val="20"/>
              </w:rPr>
              <w:t>□</w:t>
            </w:r>
            <w:r>
              <w:rPr>
                <w:szCs w:val="21"/>
              </w:rPr>
              <w:t xml:space="preserve">现金（银行转账或电汇）     </w:t>
            </w:r>
          </w:p>
          <w:p w14:paraId="495C1F20">
            <w:pPr>
              <w:spacing w:line="400" w:lineRule="exact"/>
              <w:ind w:firstLine="640"/>
              <w:rPr>
                <w:szCs w:val="21"/>
              </w:rPr>
            </w:pPr>
            <w:r>
              <w:rPr>
                <w:bCs/>
                <w:sz w:val="32"/>
                <w:szCs w:val="20"/>
              </w:rPr>
              <w:t>□</w:t>
            </w:r>
            <w:r>
              <w:rPr>
                <w:szCs w:val="21"/>
              </w:rPr>
              <w:t>电子保函</w:t>
            </w:r>
          </w:p>
          <w:p w14:paraId="04844E94">
            <w:pPr>
              <w:spacing w:line="400" w:lineRule="exact"/>
              <w:ind w:firstLine="640"/>
              <w:rPr>
                <w:szCs w:val="21"/>
              </w:rPr>
            </w:pPr>
            <w:r>
              <w:rPr>
                <w:szCs w:val="21"/>
              </w:rPr>
              <w:t>响应保证金的金额：</w:t>
            </w:r>
            <w:r>
              <w:rPr>
                <w:szCs w:val="21"/>
                <w:u w:val="single"/>
              </w:rPr>
              <w:t xml:space="preserve">         </w:t>
            </w:r>
          </w:p>
          <w:p w14:paraId="093BA92D">
            <w:pPr>
              <w:spacing w:line="400" w:lineRule="exact"/>
              <w:ind w:firstLine="630" w:firstLineChars="300"/>
              <w:rPr>
                <w:rFonts w:ascii="宋体" w:hAnsi="宋体"/>
                <w:szCs w:val="21"/>
                <w:u w:val="single"/>
              </w:rPr>
            </w:pPr>
            <w:r>
              <w:rPr>
                <w:szCs w:val="21"/>
              </w:rPr>
              <w:t>其他要求：</w:t>
            </w:r>
            <w:r>
              <w:rPr>
                <w:szCs w:val="21"/>
                <w:u w:val="single"/>
              </w:rPr>
              <w:t xml:space="preserve">      </w:t>
            </w:r>
            <w:r>
              <w:rPr>
                <w:rFonts w:ascii="宋体" w:hAnsi="宋体"/>
                <w:szCs w:val="21"/>
                <w:u w:val="single"/>
              </w:rPr>
              <w:t xml:space="preserve">   </w:t>
            </w:r>
          </w:p>
          <w:p w14:paraId="4DE68E1D">
            <w:pPr>
              <w:spacing w:line="400" w:lineRule="exact"/>
              <w:ind w:firstLine="420"/>
              <w:rPr>
                <w:rFonts w:ascii="宋体" w:hAnsi="宋体"/>
                <w:szCs w:val="21"/>
                <w:u w:val="single"/>
              </w:rPr>
            </w:pPr>
            <w:r>
              <w:rPr>
                <w:rFonts w:ascii="宋体" w:hAnsi="宋体"/>
                <w:szCs w:val="21"/>
                <w:u w:val="single"/>
              </w:rPr>
              <w:t>采用现金方式的要求供应商从基本户转账至招采平台监管账户，收款账户为：</w:t>
            </w:r>
          </w:p>
          <w:p w14:paraId="50376E6E">
            <w:pPr>
              <w:spacing w:line="400" w:lineRule="exact"/>
              <w:ind w:firstLine="420"/>
              <w:rPr>
                <w:rFonts w:ascii="宋体" w:hAnsi="宋体"/>
                <w:szCs w:val="21"/>
              </w:rPr>
            </w:pPr>
            <w:r>
              <w:rPr>
                <w:rFonts w:ascii="宋体" w:hAnsi="宋体"/>
                <w:szCs w:val="21"/>
              </w:rPr>
              <w:t>递交截止日期及时间：同响应文件递交截止时间，</w:t>
            </w:r>
            <w:r>
              <w:rPr>
                <w:rFonts w:ascii="宋体" w:hAnsi="宋体"/>
                <w:szCs w:val="20"/>
                <w:lang w:bidi="ar"/>
              </w:rPr>
              <w:t>以到账时间为准。</w:t>
            </w:r>
          </w:p>
          <w:p w14:paraId="3A83674D">
            <w:pPr>
              <w:spacing w:line="400" w:lineRule="exact"/>
              <w:ind w:firstLine="420"/>
              <w:rPr>
                <w:rFonts w:ascii="宋体" w:hAnsi="宋体"/>
                <w:bCs/>
              </w:rPr>
            </w:pPr>
            <w:r>
              <w:rPr>
                <w:rFonts w:ascii="宋体" w:hAnsi="宋体"/>
                <w:szCs w:val="21"/>
              </w:rPr>
              <w:t>联合体参与询比采购活动的，其响应保证金由牵头人递交。</w:t>
            </w:r>
          </w:p>
        </w:tc>
      </w:tr>
      <w:tr w14:paraId="22A05B0A">
        <w:tblPrEx>
          <w:tblCellMar>
            <w:top w:w="0" w:type="dxa"/>
            <w:left w:w="108" w:type="dxa"/>
            <w:bottom w:w="0" w:type="dxa"/>
            <w:right w:w="108" w:type="dxa"/>
          </w:tblCellMar>
        </w:tblPrEx>
        <w:trPr>
          <w:trHeight w:val="906" w:hRule="atLeast"/>
        </w:trPr>
        <w:tc>
          <w:tcPr>
            <w:tcW w:w="1271" w:type="dxa"/>
            <w:tcBorders>
              <w:top w:val="single" w:color="auto" w:sz="4" w:space="0"/>
              <w:left w:val="single" w:color="auto" w:sz="4" w:space="0"/>
              <w:bottom w:val="single" w:color="auto" w:sz="4" w:space="0"/>
              <w:right w:val="single" w:color="auto" w:sz="4" w:space="0"/>
            </w:tcBorders>
            <w:vAlign w:val="center"/>
          </w:tcPr>
          <w:p w14:paraId="42E2B134">
            <w:pPr>
              <w:spacing w:line="440" w:lineRule="exact"/>
              <w:jc w:val="center"/>
              <w:rPr>
                <w:rFonts w:ascii="宋体" w:hAnsi="宋体"/>
                <w:bCs/>
              </w:rPr>
            </w:pPr>
            <w:r>
              <w:rPr>
                <w:bCs/>
              </w:rPr>
              <w:t>3</w:t>
            </w:r>
            <w:r>
              <w:rPr>
                <w:rFonts w:ascii="宋体" w:hAnsi="宋体"/>
                <w:bCs/>
              </w:rPr>
              <w:t>.</w:t>
            </w:r>
            <w:r>
              <w:rPr>
                <w:bCs/>
              </w:rPr>
              <w:t>4</w:t>
            </w:r>
            <w:r>
              <w:rPr>
                <w:rFonts w:ascii="宋体" w:hAnsi="宋体"/>
                <w:bCs/>
              </w:rPr>
              <w:t>.</w:t>
            </w:r>
            <w:r>
              <w:rPr>
                <w:bCs/>
              </w:rPr>
              <w:t>3</w:t>
            </w:r>
            <w:r>
              <w:rPr>
                <w:rFonts w:ascii="宋体" w:hAnsi="宋体"/>
                <w:bCs/>
              </w:rPr>
              <w:t>（</w:t>
            </w:r>
            <w:r>
              <w:rPr>
                <w:bCs/>
              </w:rPr>
              <w:t>3</w:t>
            </w:r>
            <w:r>
              <w:rPr>
                <w:rFonts w:ascii="宋体" w:hAnsi="宋体"/>
                <w:bCs/>
              </w:rPr>
              <w:t>）</w:t>
            </w:r>
          </w:p>
        </w:tc>
        <w:tc>
          <w:tcPr>
            <w:tcW w:w="3164" w:type="dxa"/>
            <w:tcBorders>
              <w:top w:val="single" w:color="auto" w:sz="4" w:space="0"/>
              <w:left w:val="single" w:color="auto" w:sz="4" w:space="0"/>
              <w:bottom w:val="single" w:color="auto" w:sz="4" w:space="0"/>
              <w:right w:val="single" w:color="auto" w:sz="4" w:space="0"/>
            </w:tcBorders>
            <w:vAlign w:val="center"/>
          </w:tcPr>
          <w:p w14:paraId="420A5C8A">
            <w:pPr>
              <w:spacing w:line="440" w:lineRule="exact"/>
              <w:jc w:val="center"/>
              <w:rPr>
                <w:rFonts w:ascii="宋体" w:hAnsi="宋体"/>
                <w:bCs/>
              </w:rPr>
            </w:pPr>
            <w:r>
              <w:rPr>
                <w:rFonts w:ascii="宋体" w:hAnsi="宋体"/>
                <w:bCs/>
                <w:szCs w:val="21"/>
              </w:rPr>
              <w:t>不退还响应保证金的其他情形</w:t>
            </w:r>
          </w:p>
        </w:tc>
        <w:tc>
          <w:tcPr>
            <w:tcW w:w="4887" w:type="dxa"/>
            <w:tcBorders>
              <w:top w:val="single" w:color="auto" w:sz="4" w:space="0"/>
              <w:left w:val="single" w:color="auto" w:sz="4" w:space="0"/>
              <w:bottom w:val="single" w:color="auto" w:sz="4" w:space="0"/>
              <w:right w:val="single" w:color="auto" w:sz="4" w:space="0"/>
            </w:tcBorders>
            <w:vAlign w:val="center"/>
          </w:tcPr>
          <w:p w14:paraId="4BC9D241">
            <w:pPr>
              <w:topLinePunct/>
              <w:snapToGrid w:val="0"/>
              <w:spacing w:line="400" w:lineRule="exact"/>
              <w:rPr>
                <w:bCs/>
              </w:rPr>
            </w:pPr>
            <w:r>
              <w:rPr>
                <w:rFonts w:hint="eastAsia"/>
                <w:bCs/>
                <w:sz w:val="32"/>
                <w:szCs w:val="32"/>
                <w:lang w:eastAsia="zh-CN"/>
              </w:rPr>
              <w:t>□</w:t>
            </w:r>
            <w:r>
              <w:rPr>
                <w:bCs/>
              </w:rPr>
              <w:t>适用，其他情形：</w:t>
            </w:r>
            <w:r>
              <w:rPr>
                <w:bCs/>
                <w:u w:val="single"/>
              </w:rPr>
              <w:t xml:space="preserve">            </w:t>
            </w:r>
          </w:p>
          <w:p w14:paraId="43B19768">
            <w:pPr>
              <w:spacing w:line="440" w:lineRule="exact"/>
              <w:rPr>
                <w:bCs/>
              </w:rPr>
            </w:pPr>
            <w:r>
              <w:rPr>
                <w:rFonts w:ascii="Segoe UI Symbol" w:hAnsi="Segoe UI Symbol" w:cs="Segoe UI Symbol"/>
                <w:bCs/>
                <w:sz w:val="32"/>
                <w:szCs w:val="32"/>
              </w:rPr>
              <w:t>☑</w:t>
            </w:r>
            <w:r>
              <w:rPr>
                <w:bCs/>
              </w:rPr>
              <w:t>不适用</w:t>
            </w:r>
          </w:p>
        </w:tc>
      </w:tr>
      <w:tr w14:paraId="52CBCC40">
        <w:tblPrEx>
          <w:tblCellMar>
            <w:top w:w="0" w:type="dxa"/>
            <w:left w:w="108" w:type="dxa"/>
            <w:bottom w:w="0" w:type="dxa"/>
            <w:right w:w="108" w:type="dxa"/>
          </w:tblCellMar>
        </w:tblPrEx>
        <w:trPr>
          <w:trHeight w:val="906" w:hRule="atLeast"/>
        </w:trPr>
        <w:tc>
          <w:tcPr>
            <w:tcW w:w="1271" w:type="dxa"/>
            <w:tcBorders>
              <w:top w:val="single" w:color="auto" w:sz="4" w:space="0"/>
              <w:left w:val="single" w:color="auto" w:sz="4" w:space="0"/>
              <w:bottom w:val="single" w:color="auto" w:sz="4" w:space="0"/>
              <w:right w:val="single" w:color="auto" w:sz="4" w:space="0"/>
            </w:tcBorders>
            <w:vAlign w:val="center"/>
          </w:tcPr>
          <w:p w14:paraId="3E9EB57F">
            <w:pPr>
              <w:spacing w:line="440" w:lineRule="exact"/>
              <w:jc w:val="center"/>
              <w:rPr>
                <w:rFonts w:ascii="宋体" w:hAnsi="宋体"/>
                <w:bCs/>
              </w:rPr>
            </w:pPr>
            <w:r>
              <w:rPr>
                <w:bCs/>
                <w:szCs w:val="21"/>
              </w:rPr>
              <w:t>3</w:t>
            </w:r>
            <w:r>
              <w:rPr>
                <w:rFonts w:ascii="宋体" w:hAnsi="宋体"/>
                <w:bCs/>
                <w:szCs w:val="21"/>
              </w:rPr>
              <w:t>.</w:t>
            </w:r>
            <w:r>
              <w:rPr>
                <w:bCs/>
                <w:szCs w:val="21"/>
              </w:rPr>
              <w:t>5</w:t>
            </w:r>
            <w:r>
              <w:rPr>
                <w:rFonts w:ascii="宋体" w:hAnsi="宋体"/>
                <w:bCs/>
                <w:szCs w:val="21"/>
              </w:rPr>
              <w:t>.</w:t>
            </w:r>
            <w:r>
              <w:rPr>
                <w:bCs/>
                <w:szCs w:val="21"/>
              </w:rPr>
              <w:t>2</w:t>
            </w:r>
          </w:p>
        </w:tc>
        <w:tc>
          <w:tcPr>
            <w:tcW w:w="3164" w:type="dxa"/>
            <w:tcBorders>
              <w:top w:val="single" w:color="auto" w:sz="4" w:space="0"/>
              <w:left w:val="single" w:color="auto" w:sz="4" w:space="0"/>
              <w:bottom w:val="single" w:color="auto" w:sz="4" w:space="0"/>
              <w:right w:val="single" w:color="auto" w:sz="4" w:space="0"/>
            </w:tcBorders>
            <w:vAlign w:val="center"/>
          </w:tcPr>
          <w:p w14:paraId="45890177">
            <w:pPr>
              <w:spacing w:line="440" w:lineRule="exact"/>
              <w:jc w:val="center"/>
              <w:rPr>
                <w:rFonts w:ascii="宋体" w:hAnsi="宋体"/>
                <w:bCs/>
                <w:szCs w:val="21"/>
              </w:rPr>
            </w:pPr>
            <w:r>
              <w:rPr>
                <w:rFonts w:ascii="宋体" w:hAnsi="宋体"/>
                <w:bCs/>
              </w:rPr>
              <w:t>资质要求证明材料</w:t>
            </w:r>
          </w:p>
        </w:tc>
        <w:tc>
          <w:tcPr>
            <w:tcW w:w="4887" w:type="dxa"/>
            <w:tcBorders>
              <w:top w:val="single" w:color="auto" w:sz="4" w:space="0"/>
              <w:left w:val="single" w:color="auto" w:sz="4" w:space="0"/>
              <w:bottom w:val="single" w:color="auto" w:sz="4" w:space="0"/>
              <w:right w:val="single" w:color="auto" w:sz="4" w:space="0"/>
            </w:tcBorders>
            <w:vAlign w:val="center"/>
          </w:tcPr>
          <w:p w14:paraId="6C4E7FC5">
            <w:pPr>
              <w:topLinePunct/>
              <w:spacing w:line="440" w:lineRule="exact"/>
              <w:jc w:val="left"/>
              <w:rPr>
                <w:bCs/>
                <w:szCs w:val="32"/>
              </w:rPr>
            </w:pPr>
            <w:r>
              <w:rPr>
                <w:bCs/>
                <w:sz w:val="32"/>
                <w:szCs w:val="32"/>
              </w:rPr>
              <w:t>□</w:t>
            </w:r>
            <w:r>
              <w:rPr>
                <w:bCs/>
              </w:rPr>
              <w:t>不适用</w:t>
            </w:r>
          </w:p>
          <w:p w14:paraId="2038940B">
            <w:pPr>
              <w:topLinePunct/>
              <w:spacing w:line="440" w:lineRule="exact"/>
              <w:jc w:val="left"/>
              <w:rPr>
                <w:bCs/>
              </w:rPr>
            </w:pPr>
            <w:r>
              <w:rPr>
                <w:rFonts w:ascii="Segoe UI Symbol" w:hAnsi="Segoe UI Symbol" w:cs="Segoe UI Symbol"/>
                <w:bCs/>
                <w:sz w:val="32"/>
                <w:szCs w:val="32"/>
              </w:rPr>
              <w:t>☑</w:t>
            </w:r>
            <w:r>
              <w:rPr>
                <w:bCs/>
              </w:rPr>
              <w:t>适用。</w:t>
            </w:r>
          </w:p>
          <w:p w14:paraId="253830CE">
            <w:pPr>
              <w:topLinePunct/>
              <w:spacing w:line="440" w:lineRule="exact"/>
              <w:jc w:val="left"/>
              <w:rPr>
                <w:bCs/>
                <w:highlight w:val="none"/>
              </w:rPr>
            </w:pPr>
            <w:r>
              <w:rPr>
                <w:bCs/>
              </w:rPr>
              <w:t>需提供的资质证</w:t>
            </w:r>
            <w:r>
              <w:rPr>
                <w:bCs/>
                <w:highlight w:val="none"/>
              </w:rPr>
              <w:t>书包括：</w:t>
            </w:r>
          </w:p>
          <w:p w14:paraId="0335F923">
            <w:pPr>
              <w:topLinePunct/>
              <w:spacing w:line="440" w:lineRule="exact"/>
              <w:jc w:val="left"/>
              <w:rPr>
                <w:rFonts w:hint="default" w:eastAsia="宋体"/>
                <w:bCs/>
                <w:u w:val="single"/>
                <w:lang w:val="en-US" w:eastAsia="zh-CN"/>
              </w:rPr>
            </w:pPr>
            <w:r>
              <w:rPr>
                <w:rFonts w:hint="eastAsia" w:ascii="宋体" w:hAnsi="宋体" w:eastAsia="宋体" w:cs="Times New Roman"/>
                <w:bCs/>
                <w:sz w:val="21"/>
                <w:szCs w:val="24"/>
                <w:highlight w:val="none"/>
                <w:u w:val="none"/>
              </w:rPr>
              <w:t>供应商应提供企业</w:t>
            </w:r>
            <w:r>
              <w:rPr>
                <w:rFonts w:hint="eastAsia" w:ascii="宋体" w:hAnsi="宋体" w:eastAsia="宋体" w:cs="Times New Roman"/>
                <w:b/>
                <w:bCs w:val="0"/>
                <w:sz w:val="21"/>
                <w:szCs w:val="24"/>
                <w:highlight w:val="none"/>
                <w:u w:val="none"/>
              </w:rPr>
              <w:t>法人营业执照副本</w:t>
            </w:r>
            <w:r>
              <w:rPr>
                <w:rFonts w:hint="eastAsia" w:ascii="宋体" w:hAnsi="宋体" w:eastAsia="宋体" w:cs="Times New Roman"/>
                <w:b/>
                <w:bCs w:val="0"/>
                <w:sz w:val="21"/>
                <w:szCs w:val="24"/>
                <w:highlight w:val="none"/>
                <w:u w:val="none"/>
                <w:lang w:eastAsia="zh-CN"/>
              </w:rPr>
              <w:t>、</w:t>
            </w:r>
            <w:r>
              <w:rPr>
                <w:rFonts w:hint="eastAsia" w:ascii="宋体" w:hAnsi="宋体" w:cs="Times New Roman"/>
                <w:b/>
                <w:bCs w:val="0"/>
                <w:sz w:val="21"/>
                <w:szCs w:val="24"/>
                <w:highlight w:val="none"/>
                <w:u w:val="none"/>
                <w:lang w:val="en-US" w:eastAsia="zh-CN"/>
              </w:rPr>
              <w:t>道路运输经营许可证、</w:t>
            </w:r>
            <w:r>
              <w:rPr>
                <w:rFonts w:hint="eastAsia"/>
                <w:b/>
                <w:bCs w:val="0"/>
                <w:color w:val="auto"/>
                <w:highlight w:val="none"/>
                <w:u w:val="none"/>
                <w:lang w:val="en-US" w:eastAsia="zh-CN"/>
              </w:rPr>
              <w:t>车辆道路运输证</w:t>
            </w:r>
            <w:r>
              <w:rPr>
                <w:rFonts w:hint="eastAsia"/>
                <w:b/>
                <w:bCs w:val="0"/>
                <w:color w:val="auto"/>
                <w:highlight w:val="none"/>
                <w:u w:val="none"/>
              </w:rPr>
              <w:t>复印件</w:t>
            </w:r>
            <w:r>
              <w:rPr>
                <w:rFonts w:hint="eastAsia"/>
                <w:b/>
                <w:bCs w:val="0"/>
                <w:color w:val="auto"/>
                <w:highlight w:val="none"/>
                <w:u w:val="none"/>
                <w:lang w:eastAsia="zh-CN"/>
              </w:rPr>
              <w:t>、</w:t>
            </w:r>
            <w:r>
              <w:rPr>
                <w:rFonts w:hint="eastAsia"/>
                <w:b/>
                <w:bCs w:val="0"/>
                <w:color w:val="auto"/>
                <w:highlight w:val="none"/>
                <w:u w:val="none"/>
                <w:lang w:val="en-US" w:eastAsia="zh-CN"/>
              </w:rPr>
              <w:t>车辆相关保险证明。</w:t>
            </w:r>
            <w:r>
              <w:rPr>
                <w:rFonts w:hint="eastAsia"/>
                <w:bCs/>
                <w:color w:val="auto"/>
                <w:highlight w:val="none"/>
                <w:u w:val="none"/>
                <w:lang w:val="en-US" w:eastAsia="zh-CN"/>
              </w:rPr>
              <w:t>租</w:t>
            </w:r>
            <w:r>
              <w:rPr>
                <w:rFonts w:hint="eastAsia"/>
                <w:bCs/>
                <w:color w:val="auto"/>
                <w:highlight w:val="none"/>
                <w:lang w:val="en-US" w:eastAsia="zh-CN"/>
              </w:rPr>
              <w:t>赁车辆应提供租赁协议复印件。</w:t>
            </w:r>
          </w:p>
        </w:tc>
      </w:tr>
      <w:tr w14:paraId="7ECB6EFB">
        <w:tblPrEx>
          <w:tblCellMar>
            <w:top w:w="0" w:type="dxa"/>
            <w:left w:w="108" w:type="dxa"/>
            <w:bottom w:w="0" w:type="dxa"/>
            <w:right w:w="108" w:type="dxa"/>
          </w:tblCellMar>
        </w:tblPrEx>
        <w:trPr>
          <w:trHeight w:val="906" w:hRule="atLeast"/>
        </w:trPr>
        <w:tc>
          <w:tcPr>
            <w:tcW w:w="1271" w:type="dxa"/>
            <w:tcBorders>
              <w:top w:val="single" w:color="auto" w:sz="4" w:space="0"/>
              <w:left w:val="single" w:color="auto" w:sz="4" w:space="0"/>
              <w:bottom w:val="single" w:color="auto" w:sz="4" w:space="0"/>
              <w:right w:val="single" w:color="auto" w:sz="4" w:space="0"/>
            </w:tcBorders>
            <w:vAlign w:val="center"/>
          </w:tcPr>
          <w:p w14:paraId="272AE3AF">
            <w:pPr>
              <w:spacing w:line="440" w:lineRule="exact"/>
              <w:jc w:val="center"/>
              <w:rPr>
                <w:rFonts w:ascii="宋体" w:hAnsi="宋体"/>
                <w:bCs/>
              </w:rPr>
            </w:pPr>
            <w:r>
              <w:rPr>
                <w:bCs/>
                <w:szCs w:val="21"/>
              </w:rPr>
              <w:t>3</w:t>
            </w:r>
            <w:r>
              <w:rPr>
                <w:rFonts w:ascii="宋体" w:hAnsi="宋体"/>
                <w:bCs/>
                <w:szCs w:val="21"/>
              </w:rPr>
              <w:t>.</w:t>
            </w:r>
            <w:r>
              <w:rPr>
                <w:bCs/>
                <w:szCs w:val="21"/>
              </w:rPr>
              <w:t>5</w:t>
            </w:r>
            <w:r>
              <w:rPr>
                <w:rFonts w:ascii="宋体" w:hAnsi="宋体"/>
                <w:bCs/>
                <w:szCs w:val="21"/>
              </w:rPr>
              <w:t>.</w:t>
            </w:r>
            <w:r>
              <w:rPr>
                <w:bCs/>
                <w:szCs w:val="21"/>
              </w:rPr>
              <w:t>3</w:t>
            </w:r>
          </w:p>
        </w:tc>
        <w:tc>
          <w:tcPr>
            <w:tcW w:w="3164" w:type="dxa"/>
            <w:tcBorders>
              <w:top w:val="single" w:color="auto" w:sz="4" w:space="0"/>
              <w:left w:val="single" w:color="auto" w:sz="4" w:space="0"/>
              <w:bottom w:val="single" w:color="auto" w:sz="4" w:space="0"/>
              <w:right w:val="single" w:color="auto" w:sz="4" w:space="0"/>
            </w:tcBorders>
            <w:vAlign w:val="center"/>
          </w:tcPr>
          <w:p w14:paraId="3C84A6A2">
            <w:pPr>
              <w:spacing w:line="440" w:lineRule="exact"/>
              <w:jc w:val="center"/>
              <w:rPr>
                <w:rFonts w:ascii="宋体" w:hAnsi="宋体"/>
                <w:bCs/>
                <w:szCs w:val="21"/>
              </w:rPr>
            </w:pPr>
            <w:r>
              <w:rPr>
                <w:rFonts w:ascii="宋体" w:hAnsi="宋体"/>
                <w:bCs/>
              </w:rPr>
              <w:t>财务要求证明材料</w:t>
            </w:r>
          </w:p>
        </w:tc>
        <w:tc>
          <w:tcPr>
            <w:tcW w:w="4887" w:type="dxa"/>
            <w:tcBorders>
              <w:top w:val="single" w:color="auto" w:sz="4" w:space="0"/>
              <w:left w:val="single" w:color="auto" w:sz="4" w:space="0"/>
              <w:bottom w:val="single" w:color="auto" w:sz="4" w:space="0"/>
              <w:right w:val="single" w:color="auto" w:sz="4" w:space="0"/>
            </w:tcBorders>
            <w:vAlign w:val="center"/>
          </w:tcPr>
          <w:p w14:paraId="3A2BB64A">
            <w:pPr>
              <w:topLinePunct/>
              <w:spacing w:line="440" w:lineRule="exact"/>
              <w:jc w:val="left"/>
              <w:rPr>
                <w:bCs/>
                <w:szCs w:val="32"/>
              </w:rPr>
            </w:pPr>
            <w:r>
              <w:rPr>
                <w:rFonts w:ascii="Segoe UI Symbol" w:hAnsi="Segoe UI Symbol" w:cs="Segoe UI Symbol"/>
                <w:bCs/>
                <w:sz w:val="32"/>
                <w:szCs w:val="32"/>
              </w:rPr>
              <w:t>☑</w:t>
            </w:r>
            <w:r>
              <w:rPr>
                <w:bCs/>
              </w:rPr>
              <w:t>不适用</w:t>
            </w:r>
          </w:p>
          <w:p w14:paraId="67F6D61E">
            <w:pPr>
              <w:topLinePunct/>
              <w:spacing w:line="440" w:lineRule="exact"/>
              <w:jc w:val="left"/>
              <w:rPr>
                <w:bCs/>
              </w:rPr>
            </w:pPr>
            <w:r>
              <w:rPr>
                <w:bCs/>
                <w:sz w:val="32"/>
                <w:szCs w:val="32"/>
              </w:rPr>
              <w:t>□</w:t>
            </w:r>
            <w:r>
              <w:rPr>
                <w:bCs/>
              </w:rPr>
              <w:t>适用。</w:t>
            </w:r>
          </w:p>
          <w:p w14:paraId="18C09583">
            <w:pPr>
              <w:topLinePunct/>
              <w:spacing w:line="440" w:lineRule="exact"/>
              <w:jc w:val="left"/>
              <w:rPr>
                <w:rFonts w:ascii="宋体" w:hAnsi="宋体"/>
                <w:bCs/>
              </w:rPr>
            </w:pPr>
            <w:r>
              <w:rPr>
                <w:bCs/>
              </w:rPr>
              <w:t>近年财务会计报表年份是</w:t>
            </w:r>
            <w:r>
              <w:rPr>
                <w:rFonts w:ascii="宋体" w:hAnsi="宋体"/>
                <w:bCs/>
              </w:rPr>
              <w:t>指：</w:t>
            </w:r>
            <w:r>
              <w:rPr>
                <w:rFonts w:ascii="宋体" w:hAnsi="宋体"/>
                <w:bCs/>
                <w:u w:val="single"/>
              </w:rPr>
              <w:t xml:space="preserve">  </w:t>
            </w:r>
            <w:r>
              <w:rPr>
                <w:rFonts w:ascii="宋体" w:hAnsi="宋体"/>
                <w:bCs/>
              </w:rPr>
              <w:t>至</w:t>
            </w:r>
            <w:r>
              <w:rPr>
                <w:rFonts w:ascii="宋体" w:hAnsi="宋体"/>
                <w:bCs/>
                <w:u w:val="single"/>
              </w:rPr>
              <w:t xml:space="preserve">  </w:t>
            </w:r>
            <w:r>
              <w:rPr>
                <w:rFonts w:ascii="宋体" w:hAnsi="宋体"/>
                <w:bCs/>
              </w:rPr>
              <w:t>年。</w:t>
            </w:r>
          </w:p>
        </w:tc>
      </w:tr>
      <w:tr w14:paraId="32035494">
        <w:tblPrEx>
          <w:tblCellMar>
            <w:top w:w="0" w:type="dxa"/>
            <w:left w:w="108" w:type="dxa"/>
            <w:bottom w:w="0" w:type="dxa"/>
            <w:right w:w="108" w:type="dxa"/>
          </w:tblCellMar>
        </w:tblPrEx>
        <w:trPr>
          <w:trHeight w:val="906" w:hRule="atLeast"/>
        </w:trPr>
        <w:tc>
          <w:tcPr>
            <w:tcW w:w="1271" w:type="dxa"/>
            <w:tcBorders>
              <w:top w:val="single" w:color="auto" w:sz="4" w:space="0"/>
              <w:left w:val="single" w:color="auto" w:sz="4" w:space="0"/>
              <w:bottom w:val="single" w:color="auto" w:sz="4" w:space="0"/>
              <w:right w:val="single" w:color="auto" w:sz="4" w:space="0"/>
            </w:tcBorders>
            <w:vAlign w:val="center"/>
          </w:tcPr>
          <w:p w14:paraId="310CE31A">
            <w:pPr>
              <w:spacing w:line="440" w:lineRule="exact"/>
              <w:jc w:val="center"/>
              <w:rPr>
                <w:rFonts w:ascii="宋体" w:hAnsi="宋体"/>
                <w:bCs/>
              </w:rPr>
            </w:pPr>
            <w:r>
              <w:rPr>
                <w:bCs/>
                <w:szCs w:val="21"/>
              </w:rPr>
              <w:t>3</w:t>
            </w:r>
            <w:r>
              <w:rPr>
                <w:rFonts w:ascii="宋体" w:hAnsi="宋体"/>
                <w:bCs/>
                <w:szCs w:val="21"/>
              </w:rPr>
              <w:t>.</w:t>
            </w:r>
            <w:r>
              <w:rPr>
                <w:bCs/>
                <w:szCs w:val="21"/>
              </w:rPr>
              <w:t>5</w:t>
            </w:r>
            <w:r>
              <w:rPr>
                <w:rFonts w:ascii="宋体" w:hAnsi="宋体"/>
                <w:bCs/>
                <w:szCs w:val="21"/>
              </w:rPr>
              <w:t>.</w:t>
            </w:r>
            <w:r>
              <w:rPr>
                <w:bCs/>
                <w:szCs w:val="21"/>
              </w:rPr>
              <w:t>4</w:t>
            </w:r>
          </w:p>
        </w:tc>
        <w:tc>
          <w:tcPr>
            <w:tcW w:w="3164" w:type="dxa"/>
            <w:tcBorders>
              <w:top w:val="single" w:color="auto" w:sz="4" w:space="0"/>
              <w:left w:val="single" w:color="auto" w:sz="4" w:space="0"/>
              <w:bottom w:val="single" w:color="auto" w:sz="4" w:space="0"/>
              <w:right w:val="single" w:color="auto" w:sz="4" w:space="0"/>
            </w:tcBorders>
            <w:vAlign w:val="center"/>
          </w:tcPr>
          <w:p w14:paraId="12BAEC81">
            <w:pPr>
              <w:spacing w:line="440" w:lineRule="exact"/>
              <w:jc w:val="center"/>
              <w:rPr>
                <w:rFonts w:ascii="宋体" w:hAnsi="宋体"/>
                <w:bCs/>
                <w:szCs w:val="21"/>
              </w:rPr>
            </w:pPr>
            <w:r>
              <w:rPr>
                <w:rFonts w:ascii="宋体" w:hAnsi="宋体"/>
                <w:bCs/>
              </w:rPr>
              <w:t>业绩要求证明材料</w:t>
            </w:r>
          </w:p>
        </w:tc>
        <w:tc>
          <w:tcPr>
            <w:tcW w:w="4887" w:type="dxa"/>
            <w:tcBorders>
              <w:top w:val="single" w:color="auto" w:sz="4" w:space="0"/>
              <w:left w:val="single" w:color="auto" w:sz="4" w:space="0"/>
              <w:bottom w:val="single" w:color="auto" w:sz="4" w:space="0"/>
              <w:right w:val="single" w:color="auto" w:sz="4" w:space="0"/>
            </w:tcBorders>
            <w:vAlign w:val="center"/>
          </w:tcPr>
          <w:p w14:paraId="04A3551C">
            <w:pPr>
              <w:topLinePunct/>
              <w:spacing w:line="440" w:lineRule="exact"/>
              <w:jc w:val="left"/>
              <w:rPr>
                <w:rFonts w:ascii="宋体" w:hAnsi="宋体"/>
                <w:bCs/>
                <w:highlight w:val="none"/>
              </w:rPr>
            </w:pPr>
            <w:r>
              <w:rPr>
                <w:bCs/>
                <w:sz w:val="32"/>
                <w:szCs w:val="32"/>
                <w:highlight w:val="none"/>
              </w:rPr>
              <w:t>□</w:t>
            </w:r>
            <w:r>
              <w:rPr>
                <w:rFonts w:ascii="宋体" w:hAnsi="宋体"/>
                <w:bCs/>
                <w:highlight w:val="none"/>
              </w:rPr>
              <w:t>不适用</w:t>
            </w:r>
          </w:p>
          <w:p w14:paraId="62D577DD">
            <w:pPr>
              <w:topLinePunct/>
              <w:spacing w:line="440" w:lineRule="exact"/>
              <w:rPr>
                <w:rFonts w:ascii="宋体" w:hAnsi="宋体"/>
                <w:bCs/>
                <w:highlight w:val="none"/>
              </w:rPr>
            </w:pPr>
            <w:r>
              <w:rPr>
                <w:rFonts w:ascii="Segoe UI Symbol" w:hAnsi="Segoe UI Symbol" w:cs="Segoe UI Symbol"/>
                <w:bCs/>
                <w:sz w:val="32"/>
                <w:szCs w:val="32"/>
              </w:rPr>
              <w:sym w:font="Wingdings 2" w:char="0052"/>
            </w:r>
            <w:r>
              <w:rPr>
                <w:rFonts w:ascii="宋体" w:hAnsi="宋体"/>
                <w:bCs/>
                <w:highlight w:val="none"/>
              </w:rPr>
              <w:t>适用。</w:t>
            </w:r>
            <w:r>
              <w:rPr>
                <w:rFonts w:ascii="宋体" w:hAnsi="宋体"/>
                <w:bCs/>
                <w:szCs w:val="21"/>
                <w:highlight w:val="none"/>
              </w:rPr>
              <w:t>供应商应提供近年的类似项目情况表（格式见第六章“响应文件格式”</w:t>
            </w:r>
            <w:r>
              <w:rPr>
                <w:rFonts w:hint="eastAsia" w:ascii="宋体" w:hAnsi="宋体"/>
                <w:bCs/>
                <w:szCs w:val="21"/>
                <w:highlight w:val="none"/>
                <w:lang w:val="en-US" w:eastAsia="zh-CN"/>
              </w:rPr>
              <w:t>六</w:t>
            </w:r>
            <w:r>
              <w:rPr>
                <w:rFonts w:ascii="宋体" w:hAnsi="宋体"/>
                <w:bCs/>
                <w:szCs w:val="21"/>
                <w:highlight w:val="none"/>
              </w:rPr>
              <w:t>、资格审查资料（</w:t>
            </w:r>
            <w:r>
              <w:rPr>
                <w:rFonts w:hint="eastAsia" w:ascii="宋体" w:hAnsi="宋体"/>
                <w:bCs/>
                <w:szCs w:val="21"/>
                <w:highlight w:val="none"/>
                <w:lang w:val="en-US" w:eastAsia="zh-CN"/>
              </w:rPr>
              <w:t>二</w:t>
            </w:r>
            <w:r>
              <w:rPr>
                <w:rFonts w:ascii="宋体" w:hAnsi="宋体"/>
                <w:bCs/>
                <w:szCs w:val="21"/>
                <w:highlight w:val="none"/>
              </w:rPr>
              <w:t>）近年的类似项目情况表），以证明供应商具有承担本项目要求的业绩。</w:t>
            </w:r>
          </w:p>
          <w:p w14:paraId="207CA5E3">
            <w:pPr>
              <w:topLinePunct/>
              <w:spacing w:line="440" w:lineRule="exact"/>
              <w:jc w:val="left"/>
              <w:rPr>
                <w:rFonts w:ascii="宋体" w:hAnsi="宋体"/>
                <w:bCs/>
                <w:highlight w:val="none"/>
              </w:rPr>
            </w:pPr>
            <w:r>
              <w:rPr>
                <w:rFonts w:ascii="宋体" w:hAnsi="宋体"/>
                <w:bCs/>
                <w:highlight w:val="none"/>
              </w:rPr>
              <w:t>业绩证明材料要求：</w:t>
            </w:r>
          </w:p>
          <w:p w14:paraId="6D304A3A">
            <w:pPr>
              <w:topLinePunct/>
              <w:spacing w:line="440" w:lineRule="exact"/>
              <w:ind w:firstLine="420"/>
              <w:jc w:val="left"/>
              <w:rPr>
                <w:rFonts w:hint="eastAsia" w:ascii="宋体" w:hAnsi="宋体" w:eastAsia="宋体"/>
                <w:bCs/>
                <w:szCs w:val="21"/>
                <w:highlight w:val="none"/>
                <w:lang w:eastAsia="zh-CN"/>
              </w:rPr>
            </w:pPr>
            <w:r>
              <w:rPr>
                <w:rFonts w:ascii="宋体" w:hAnsi="宋体"/>
                <w:bCs/>
                <w:highlight w:val="none"/>
              </w:rPr>
              <w:sym w:font="Wingdings 2" w:char="0052"/>
            </w:r>
            <w:r>
              <w:rPr>
                <w:rFonts w:ascii="宋体" w:hAnsi="宋体"/>
                <w:bCs/>
                <w:szCs w:val="21"/>
                <w:highlight w:val="none"/>
              </w:rPr>
              <w:t>合同/订单</w:t>
            </w:r>
            <w:r>
              <w:rPr>
                <w:rFonts w:hint="eastAsia" w:ascii="宋体" w:hAnsi="宋体"/>
                <w:bCs/>
                <w:szCs w:val="21"/>
                <w:highlight w:val="none"/>
                <w:lang w:eastAsia="zh-CN"/>
              </w:rPr>
              <w:t>（</w:t>
            </w:r>
            <w:r>
              <w:rPr>
                <w:rFonts w:hint="eastAsia"/>
                <w:b/>
                <w:bCs/>
                <w:spacing w:val="4"/>
                <w:highlight w:val="none"/>
              </w:rPr>
              <w:t>需提供相关合同复印件且签字盖章齐全；</w:t>
            </w:r>
            <w:r>
              <w:rPr>
                <w:rFonts w:hint="eastAsia" w:ascii="宋体" w:hAnsi="宋体"/>
                <w:bCs/>
                <w:szCs w:val="21"/>
                <w:highlight w:val="none"/>
                <w:lang w:eastAsia="zh-CN"/>
              </w:rPr>
              <w:t>）</w:t>
            </w:r>
          </w:p>
          <w:p w14:paraId="0BF081AF">
            <w:pPr>
              <w:topLinePunct/>
              <w:spacing w:line="440" w:lineRule="exact"/>
              <w:ind w:firstLine="420"/>
              <w:jc w:val="left"/>
              <w:rPr>
                <w:rFonts w:ascii="宋体" w:hAnsi="宋体"/>
                <w:bCs/>
                <w:szCs w:val="21"/>
              </w:rPr>
            </w:pPr>
            <w:r>
              <w:rPr>
                <w:rFonts w:ascii="宋体" w:hAnsi="宋体"/>
                <w:bCs/>
                <w:szCs w:val="21"/>
                <w:highlight w:val="none"/>
              </w:rPr>
              <w:sym w:font="Wingdings 2" w:char="00A3"/>
            </w:r>
            <w:r>
              <w:rPr>
                <w:rFonts w:ascii="宋体" w:hAnsi="宋体"/>
                <w:bCs/>
                <w:szCs w:val="21"/>
                <w:highlight w:val="none"/>
              </w:rPr>
              <w:t>中标通知书/成交通知</w:t>
            </w:r>
            <w:r>
              <w:rPr>
                <w:rFonts w:ascii="宋体" w:hAnsi="宋体"/>
                <w:bCs/>
                <w:szCs w:val="21"/>
              </w:rPr>
              <w:t>书</w:t>
            </w:r>
          </w:p>
          <w:p w14:paraId="3D2BB287">
            <w:pPr>
              <w:topLinePunct/>
              <w:spacing w:line="440" w:lineRule="exact"/>
              <w:ind w:firstLine="420"/>
              <w:jc w:val="left"/>
              <w:rPr>
                <w:rFonts w:ascii="宋体" w:hAnsi="宋体"/>
                <w:bCs/>
                <w:szCs w:val="21"/>
              </w:rPr>
            </w:pPr>
            <w:r>
              <w:rPr>
                <w:rFonts w:ascii="宋体" w:hAnsi="宋体"/>
                <w:bCs/>
                <w:szCs w:val="21"/>
              </w:rPr>
              <w:t>□交（竣）工验收报告/验收证明</w:t>
            </w:r>
          </w:p>
          <w:p w14:paraId="500D6176">
            <w:pPr>
              <w:topLinePunct/>
              <w:spacing w:line="440" w:lineRule="exact"/>
              <w:ind w:firstLine="420"/>
              <w:jc w:val="left"/>
              <w:rPr>
                <w:rFonts w:ascii="宋体" w:hAnsi="宋体"/>
                <w:bCs/>
              </w:rPr>
            </w:pPr>
            <w:r>
              <w:rPr>
                <w:rFonts w:ascii="宋体" w:hAnsi="宋体"/>
                <w:bCs/>
                <w:szCs w:val="21"/>
              </w:rPr>
              <w:t>□其他材料：</w:t>
            </w:r>
            <w:r>
              <w:rPr>
                <w:rFonts w:ascii="宋体" w:hAnsi="宋体"/>
                <w:bCs/>
                <w:szCs w:val="21"/>
                <w:u w:val="single"/>
              </w:rPr>
              <w:t xml:space="preserve">          </w:t>
            </w:r>
          </w:p>
          <w:p w14:paraId="7F8D2314">
            <w:pPr>
              <w:topLinePunct/>
              <w:spacing w:line="440" w:lineRule="exact"/>
              <w:rPr>
                <w:rFonts w:ascii="宋体" w:hAnsi="宋体"/>
                <w:bCs/>
                <w:u w:val="single"/>
              </w:rPr>
            </w:pPr>
            <w:r>
              <w:rPr>
                <w:rFonts w:ascii="宋体" w:hAnsi="宋体"/>
                <w:bCs/>
              </w:rPr>
              <w:t>注：</w:t>
            </w:r>
            <w:r>
              <w:rPr>
                <w:rFonts w:ascii="宋体" w:hAnsi="宋体"/>
                <w:bCs/>
                <w:u w:val="single"/>
              </w:rPr>
              <w:t>若提供相关证明材料不能完全体现业绩要求的。</w:t>
            </w:r>
          </w:p>
          <w:p w14:paraId="7E57F67E">
            <w:pPr>
              <w:topLinePunct/>
              <w:spacing w:line="440" w:lineRule="exact"/>
              <w:rPr>
                <w:rFonts w:ascii="宋体" w:hAnsi="宋体"/>
                <w:bCs/>
                <w:u w:val="single"/>
              </w:rPr>
            </w:pPr>
            <w:r>
              <w:rPr>
                <w:rFonts w:ascii="宋体" w:hAnsi="宋体"/>
                <w:bCs/>
              </w:rPr>
              <w:sym w:font="Wingdings 2" w:char="00A3"/>
            </w:r>
            <w:r>
              <w:rPr>
                <w:rFonts w:ascii="宋体" w:hAnsi="宋体"/>
                <w:bCs/>
              </w:rPr>
              <w:t>在承诺函补充说明中承诺。</w:t>
            </w:r>
          </w:p>
          <w:p w14:paraId="76D40236">
            <w:pPr>
              <w:topLinePunct/>
              <w:spacing w:line="440" w:lineRule="exact"/>
              <w:rPr>
                <w:rFonts w:ascii="宋体" w:hAnsi="宋体"/>
                <w:bCs/>
              </w:rPr>
            </w:pPr>
            <w:r>
              <w:rPr>
                <w:rFonts w:ascii="Segoe UI Symbol" w:hAnsi="Segoe UI Symbol" w:cs="Segoe UI Symbol"/>
                <w:bCs/>
                <w:sz w:val="32"/>
                <w:szCs w:val="32"/>
              </w:rPr>
              <w:sym w:font="Wingdings 2" w:char="0052"/>
            </w:r>
            <w:r>
              <w:rPr>
                <w:rFonts w:ascii="宋体" w:hAnsi="宋体"/>
                <w:bCs/>
              </w:rPr>
              <w:t>提供业主证明</w:t>
            </w:r>
          </w:p>
          <w:p w14:paraId="2EC1FCC6">
            <w:pPr>
              <w:topLinePunct/>
              <w:spacing w:line="440" w:lineRule="exact"/>
              <w:jc w:val="left"/>
              <w:rPr>
                <w:rFonts w:ascii="宋体" w:hAnsi="宋体"/>
                <w:bCs/>
                <w:u w:val="single"/>
              </w:rPr>
            </w:pPr>
            <w:r>
              <w:rPr>
                <w:rFonts w:ascii="宋体" w:hAnsi="宋体"/>
                <w:bCs/>
              </w:rPr>
              <w:t>近年是指：</w:t>
            </w:r>
            <w:r>
              <w:rPr>
                <w:rFonts w:hint="eastAsia" w:ascii="宋体" w:hAnsi="宋体"/>
                <w:bCs/>
                <w:u w:val="single"/>
                <w:lang w:val="en-US" w:eastAsia="zh-CN"/>
              </w:rPr>
              <w:t>2022年12月1日</w:t>
            </w:r>
            <w:r>
              <w:rPr>
                <w:rFonts w:ascii="宋体" w:hAnsi="宋体"/>
                <w:bCs/>
              </w:rPr>
              <w:t>至</w:t>
            </w:r>
            <w:r>
              <w:rPr>
                <w:rFonts w:hint="eastAsia" w:ascii="宋体" w:hAnsi="宋体"/>
                <w:bCs/>
                <w:lang w:val="en-US" w:eastAsia="zh-CN"/>
              </w:rPr>
              <w:t>今</w:t>
            </w:r>
            <w:r>
              <w:rPr>
                <w:rFonts w:ascii="宋体" w:hAnsi="宋体"/>
                <w:bCs/>
              </w:rPr>
              <w:t>。</w:t>
            </w:r>
          </w:p>
        </w:tc>
      </w:tr>
      <w:tr w14:paraId="5CBA361C">
        <w:tblPrEx>
          <w:tblCellMar>
            <w:top w:w="0" w:type="dxa"/>
            <w:left w:w="108" w:type="dxa"/>
            <w:bottom w:w="0" w:type="dxa"/>
            <w:right w:w="108" w:type="dxa"/>
          </w:tblCellMar>
        </w:tblPrEx>
        <w:trPr>
          <w:trHeight w:val="906" w:hRule="atLeast"/>
        </w:trPr>
        <w:tc>
          <w:tcPr>
            <w:tcW w:w="1271" w:type="dxa"/>
            <w:tcBorders>
              <w:top w:val="single" w:color="auto" w:sz="4" w:space="0"/>
              <w:left w:val="single" w:color="auto" w:sz="4" w:space="0"/>
              <w:bottom w:val="single" w:color="auto" w:sz="4" w:space="0"/>
              <w:right w:val="single" w:color="auto" w:sz="4" w:space="0"/>
            </w:tcBorders>
            <w:vAlign w:val="center"/>
          </w:tcPr>
          <w:p w14:paraId="3B8AB2AB">
            <w:pPr>
              <w:spacing w:line="440" w:lineRule="exact"/>
              <w:jc w:val="center"/>
              <w:rPr>
                <w:rFonts w:ascii="宋体" w:hAnsi="宋体"/>
                <w:bCs/>
              </w:rPr>
            </w:pPr>
            <w:r>
              <w:rPr>
                <w:bCs/>
                <w:szCs w:val="21"/>
              </w:rPr>
              <w:t>3</w:t>
            </w:r>
            <w:r>
              <w:rPr>
                <w:rFonts w:ascii="宋体" w:hAnsi="宋体"/>
                <w:bCs/>
                <w:szCs w:val="21"/>
              </w:rPr>
              <w:t>.</w:t>
            </w:r>
            <w:r>
              <w:rPr>
                <w:bCs/>
                <w:szCs w:val="21"/>
              </w:rPr>
              <w:t>5</w:t>
            </w:r>
            <w:r>
              <w:rPr>
                <w:rFonts w:ascii="宋体" w:hAnsi="宋体"/>
                <w:bCs/>
                <w:szCs w:val="21"/>
              </w:rPr>
              <w:t>.</w:t>
            </w:r>
            <w:r>
              <w:rPr>
                <w:bCs/>
                <w:szCs w:val="21"/>
              </w:rPr>
              <w:t>5</w:t>
            </w:r>
          </w:p>
        </w:tc>
        <w:tc>
          <w:tcPr>
            <w:tcW w:w="3164" w:type="dxa"/>
            <w:tcBorders>
              <w:top w:val="single" w:color="auto" w:sz="4" w:space="0"/>
              <w:left w:val="single" w:color="auto" w:sz="4" w:space="0"/>
              <w:bottom w:val="single" w:color="auto" w:sz="4" w:space="0"/>
              <w:right w:val="single" w:color="auto" w:sz="4" w:space="0"/>
            </w:tcBorders>
            <w:vAlign w:val="center"/>
          </w:tcPr>
          <w:p w14:paraId="645B23AA">
            <w:pPr>
              <w:spacing w:line="440" w:lineRule="exact"/>
              <w:jc w:val="center"/>
              <w:rPr>
                <w:rFonts w:ascii="宋体" w:hAnsi="宋体"/>
                <w:bCs/>
              </w:rPr>
            </w:pPr>
            <w:r>
              <w:rPr>
                <w:rFonts w:ascii="宋体" w:hAnsi="宋体"/>
                <w:bCs/>
              </w:rPr>
              <w:t>信誉要求证明材料</w:t>
            </w:r>
          </w:p>
        </w:tc>
        <w:tc>
          <w:tcPr>
            <w:tcW w:w="4887" w:type="dxa"/>
            <w:tcBorders>
              <w:top w:val="single" w:color="auto" w:sz="4" w:space="0"/>
              <w:left w:val="single" w:color="auto" w:sz="4" w:space="0"/>
              <w:bottom w:val="single" w:color="auto" w:sz="4" w:space="0"/>
              <w:right w:val="single" w:color="auto" w:sz="4" w:space="0"/>
            </w:tcBorders>
            <w:vAlign w:val="center"/>
          </w:tcPr>
          <w:p w14:paraId="7C9C2912">
            <w:pPr>
              <w:topLinePunct/>
              <w:spacing w:line="440" w:lineRule="exact"/>
              <w:jc w:val="left"/>
              <w:rPr>
                <w:bCs/>
                <w:szCs w:val="32"/>
              </w:rPr>
            </w:pPr>
            <w:r>
              <w:rPr>
                <w:bCs/>
                <w:sz w:val="32"/>
                <w:szCs w:val="32"/>
              </w:rPr>
              <w:t>□</w:t>
            </w:r>
            <w:r>
              <w:rPr>
                <w:bCs/>
              </w:rPr>
              <w:t>不适用</w:t>
            </w:r>
          </w:p>
          <w:p w14:paraId="7EDCB722">
            <w:pPr>
              <w:topLinePunct/>
              <w:spacing w:line="440" w:lineRule="exact"/>
              <w:jc w:val="left"/>
              <w:rPr>
                <w:rFonts w:ascii="宋体" w:hAnsi="宋体"/>
                <w:bCs/>
              </w:rPr>
            </w:pPr>
            <w:r>
              <w:rPr>
                <w:rFonts w:ascii="Segoe UI Symbol" w:hAnsi="Segoe UI Symbol" w:cs="Segoe UI Symbol"/>
                <w:bCs/>
                <w:sz w:val="32"/>
                <w:szCs w:val="32"/>
              </w:rPr>
              <w:t>☑</w:t>
            </w:r>
            <w:r>
              <w:rPr>
                <w:bCs/>
              </w:rPr>
              <w:t>适用。供应商应提</w:t>
            </w:r>
            <w:r>
              <w:rPr>
                <w:rFonts w:ascii="宋体" w:hAnsi="宋体"/>
                <w:bCs/>
              </w:rPr>
              <w:t>供相关信誉情况的证明材料，包括：</w:t>
            </w:r>
            <w:r>
              <w:rPr>
                <w:rFonts w:hint="eastAsia"/>
                <w:bCs/>
                <w:u w:val="single"/>
              </w:rPr>
              <w:t>在“全国企业信用信息公示系统http://www.gsxt.gov.cn”中未被列入严重违法失信企业名单（不含分公司）的网页截图复印件，在“信用中国http://www.creditchina.gov.cn/”网站中未被列入失信被执行人名单、经营异常名录、重大税收违法失信主体、政府采购严重违法失信行为记录名单的（不含分公司）网页截图复印件</w:t>
            </w:r>
            <w:r>
              <w:rPr>
                <w:rFonts w:ascii="宋体" w:hAnsi="宋体"/>
                <w:bCs/>
              </w:rPr>
              <w:t>。</w:t>
            </w:r>
          </w:p>
        </w:tc>
      </w:tr>
      <w:tr w14:paraId="758A0FA0">
        <w:tblPrEx>
          <w:tblCellMar>
            <w:top w:w="0" w:type="dxa"/>
            <w:left w:w="108" w:type="dxa"/>
            <w:bottom w:w="0" w:type="dxa"/>
            <w:right w:w="108" w:type="dxa"/>
          </w:tblCellMar>
        </w:tblPrEx>
        <w:trPr>
          <w:trHeight w:val="906" w:hRule="atLeast"/>
        </w:trPr>
        <w:tc>
          <w:tcPr>
            <w:tcW w:w="1271" w:type="dxa"/>
            <w:tcBorders>
              <w:top w:val="single" w:color="auto" w:sz="4" w:space="0"/>
              <w:left w:val="single" w:color="auto" w:sz="4" w:space="0"/>
              <w:bottom w:val="single" w:color="auto" w:sz="4" w:space="0"/>
              <w:right w:val="single" w:color="auto" w:sz="4" w:space="0"/>
            </w:tcBorders>
            <w:vAlign w:val="center"/>
          </w:tcPr>
          <w:p w14:paraId="4BC01251">
            <w:pPr>
              <w:spacing w:line="440" w:lineRule="exact"/>
              <w:jc w:val="center"/>
              <w:rPr>
                <w:rFonts w:ascii="宋体" w:hAnsi="宋体"/>
                <w:bCs/>
              </w:rPr>
            </w:pPr>
            <w:r>
              <w:rPr>
                <w:bCs/>
                <w:szCs w:val="21"/>
              </w:rPr>
              <w:t>3</w:t>
            </w:r>
            <w:r>
              <w:rPr>
                <w:rFonts w:ascii="宋体" w:hAnsi="宋体"/>
                <w:bCs/>
                <w:szCs w:val="21"/>
              </w:rPr>
              <w:t>.</w:t>
            </w:r>
            <w:r>
              <w:rPr>
                <w:bCs/>
                <w:szCs w:val="21"/>
              </w:rPr>
              <w:t>5</w:t>
            </w:r>
            <w:r>
              <w:rPr>
                <w:rFonts w:ascii="宋体" w:hAnsi="宋体"/>
                <w:bCs/>
                <w:szCs w:val="21"/>
              </w:rPr>
              <w:t>.</w:t>
            </w:r>
            <w:r>
              <w:rPr>
                <w:bCs/>
                <w:szCs w:val="21"/>
              </w:rPr>
              <w:t>6</w:t>
            </w:r>
          </w:p>
        </w:tc>
        <w:tc>
          <w:tcPr>
            <w:tcW w:w="3164" w:type="dxa"/>
            <w:tcBorders>
              <w:top w:val="single" w:color="auto" w:sz="4" w:space="0"/>
              <w:left w:val="single" w:color="auto" w:sz="4" w:space="0"/>
              <w:bottom w:val="single" w:color="auto" w:sz="4" w:space="0"/>
              <w:right w:val="single" w:color="auto" w:sz="4" w:space="0"/>
            </w:tcBorders>
            <w:vAlign w:val="center"/>
          </w:tcPr>
          <w:p w14:paraId="7BE08B03">
            <w:pPr>
              <w:spacing w:line="440" w:lineRule="exact"/>
              <w:jc w:val="center"/>
              <w:rPr>
                <w:rFonts w:ascii="宋体" w:hAnsi="宋体"/>
                <w:bCs/>
              </w:rPr>
            </w:pPr>
            <w:r>
              <w:rPr>
                <w:rFonts w:ascii="宋体" w:hAnsi="宋体"/>
                <w:bCs/>
              </w:rPr>
              <w:t>承担本项目的主要人员要求证明材料</w:t>
            </w:r>
          </w:p>
        </w:tc>
        <w:tc>
          <w:tcPr>
            <w:tcW w:w="4887" w:type="dxa"/>
            <w:tcBorders>
              <w:top w:val="single" w:color="auto" w:sz="4" w:space="0"/>
              <w:left w:val="single" w:color="auto" w:sz="4" w:space="0"/>
              <w:bottom w:val="single" w:color="auto" w:sz="4" w:space="0"/>
              <w:right w:val="single" w:color="auto" w:sz="4" w:space="0"/>
            </w:tcBorders>
            <w:vAlign w:val="center"/>
          </w:tcPr>
          <w:p w14:paraId="30B49336">
            <w:pPr>
              <w:topLinePunct/>
              <w:spacing w:line="440" w:lineRule="exact"/>
              <w:jc w:val="left"/>
            </w:pPr>
            <w:r>
              <w:rPr>
                <w:rFonts w:hint="eastAsia" w:ascii="Segoe UI Symbol" w:hAnsi="Segoe UI Symbol" w:cs="Segoe UI Symbol"/>
                <w:bCs/>
                <w:sz w:val="32"/>
                <w:szCs w:val="32"/>
                <w:lang w:eastAsia="zh-CN"/>
              </w:rPr>
              <w:t>□</w:t>
            </w:r>
            <w:r>
              <w:t>不适用</w:t>
            </w:r>
          </w:p>
          <w:p w14:paraId="38E2FFA3">
            <w:pPr>
              <w:topLinePunct/>
              <w:spacing w:line="440" w:lineRule="exact"/>
              <w:jc w:val="left"/>
            </w:pPr>
            <w:r>
              <w:rPr>
                <w:rFonts w:hint="eastAsia"/>
                <w:bCs/>
                <w:sz w:val="32"/>
                <w:szCs w:val="32"/>
                <w:lang w:eastAsia="zh-CN"/>
              </w:rPr>
              <w:t>☑</w:t>
            </w:r>
            <w:r>
              <w:t>适用。</w:t>
            </w:r>
          </w:p>
          <w:p w14:paraId="18D8E82E">
            <w:pPr>
              <w:topLinePunct/>
              <w:spacing w:line="440" w:lineRule="exact"/>
              <w:jc w:val="left"/>
              <w:rPr>
                <w:rFonts w:ascii="宋体" w:hAnsi="宋体"/>
              </w:rPr>
            </w:pPr>
            <w:r>
              <w:rPr>
                <w:rFonts w:ascii="宋体" w:hAnsi="宋体"/>
              </w:rPr>
              <w:t>证明文件要求：</w:t>
            </w:r>
            <w:r>
              <w:rPr>
                <w:rFonts w:hint="eastAsia" w:ascii="宋体" w:hAnsi="宋体"/>
                <w:b/>
                <w:bCs/>
                <w:lang w:val="en-US" w:eastAsia="zh-CN"/>
              </w:rPr>
              <w:t>提供拟委派人员的</w:t>
            </w:r>
            <w:r>
              <w:rPr>
                <w:rFonts w:hint="eastAsia" w:ascii="宋体" w:hAnsi="宋体"/>
                <w:b/>
                <w:bCs/>
                <w:u w:val="none"/>
                <w:lang w:val="en-US" w:eastAsia="zh-CN"/>
              </w:rPr>
              <w:t>身份证。</w:t>
            </w:r>
          </w:p>
          <w:p w14:paraId="1974E20B">
            <w:pPr>
              <w:topLinePunct/>
              <w:spacing w:line="440" w:lineRule="exact"/>
              <w:jc w:val="left"/>
              <w:rPr>
                <w:rFonts w:ascii="宋体" w:hAnsi="宋体"/>
                <w:sz w:val="24"/>
              </w:rPr>
            </w:pPr>
            <w:r>
              <w:rPr>
                <w:rFonts w:ascii="宋体" w:hAnsi="宋体"/>
              </w:rPr>
              <w:t>除满足资格要求的证明材料外，其它要求的证明材料仅用作评审打分，不作为否决响应的依据。</w:t>
            </w:r>
          </w:p>
        </w:tc>
      </w:tr>
      <w:tr w14:paraId="2FFC14F8">
        <w:tblPrEx>
          <w:tblCellMar>
            <w:top w:w="0" w:type="dxa"/>
            <w:left w:w="108" w:type="dxa"/>
            <w:bottom w:w="0" w:type="dxa"/>
            <w:right w:w="108" w:type="dxa"/>
          </w:tblCellMar>
        </w:tblPrEx>
        <w:trPr>
          <w:trHeight w:val="906" w:hRule="atLeast"/>
        </w:trPr>
        <w:tc>
          <w:tcPr>
            <w:tcW w:w="1271" w:type="dxa"/>
            <w:tcBorders>
              <w:left w:val="single" w:color="auto" w:sz="4" w:space="0"/>
              <w:bottom w:val="single" w:color="auto" w:sz="4" w:space="0"/>
              <w:right w:val="single" w:color="auto" w:sz="4" w:space="0"/>
            </w:tcBorders>
            <w:vAlign w:val="center"/>
          </w:tcPr>
          <w:p w14:paraId="740E91C5">
            <w:pPr>
              <w:spacing w:line="440" w:lineRule="exact"/>
              <w:jc w:val="center"/>
              <w:rPr>
                <w:rFonts w:ascii="宋体" w:hAnsi="宋体"/>
                <w:bCs/>
              </w:rPr>
            </w:pPr>
            <w:r>
              <w:rPr>
                <w:bCs/>
                <w:szCs w:val="21"/>
              </w:rPr>
              <w:t>3</w:t>
            </w:r>
            <w:r>
              <w:rPr>
                <w:rFonts w:ascii="宋体" w:hAnsi="宋体"/>
                <w:bCs/>
                <w:szCs w:val="21"/>
              </w:rPr>
              <w:t>.</w:t>
            </w:r>
            <w:r>
              <w:rPr>
                <w:bCs/>
                <w:szCs w:val="21"/>
              </w:rPr>
              <w:t>5</w:t>
            </w:r>
            <w:r>
              <w:rPr>
                <w:rFonts w:ascii="宋体" w:hAnsi="宋体"/>
                <w:bCs/>
                <w:szCs w:val="21"/>
              </w:rPr>
              <w:t>.</w:t>
            </w:r>
            <w:r>
              <w:rPr>
                <w:bCs/>
                <w:szCs w:val="21"/>
              </w:rPr>
              <w:t>7</w:t>
            </w:r>
          </w:p>
        </w:tc>
        <w:tc>
          <w:tcPr>
            <w:tcW w:w="3164" w:type="dxa"/>
            <w:tcBorders>
              <w:top w:val="single" w:color="auto" w:sz="4" w:space="0"/>
              <w:left w:val="single" w:color="auto" w:sz="4" w:space="0"/>
              <w:bottom w:val="single" w:color="auto" w:sz="4" w:space="0"/>
              <w:right w:val="single" w:color="auto" w:sz="4" w:space="0"/>
            </w:tcBorders>
            <w:vAlign w:val="center"/>
          </w:tcPr>
          <w:p w14:paraId="71FA4B6F">
            <w:pPr>
              <w:spacing w:line="440" w:lineRule="exact"/>
              <w:jc w:val="center"/>
              <w:rPr>
                <w:rFonts w:ascii="宋体" w:hAnsi="宋体"/>
                <w:bCs/>
                <w:highlight w:val="none"/>
              </w:rPr>
            </w:pPr>
            <w:r>
              <w:rPr>
                <w:rFonts w:ascii="宋体" w:hAnsi="宋体"/>
                <w:bCs/>
                <w:szCs w:val="21"/>
                <w:highlight w:val="none"/>
              </w:rPr>
              <w:t>其他要求的证明材料</w:t>
            </w:r>
          </w:p>
        </w:tc>
        <w:tc>
          <w:tcPr>
            <w:tcW w:w="4887" w:type="dxa"/>
            <w:tcBorders>
              <w:top w:val="single" w:color="auto" w:sz="4" w:space="0"/>
              <w:left w:val="single" w:color="auto" w:sz="4" w:space="0"/>
              <w:bottom w:val="single" w:color="auto" w:sz="4" w:space="0"/>
              <w:right w:val="single" w:color="auto" w:sz="4" w:space="0"/>
            </w:tcBorders>
            <w:vAlign w:val="center"/>
          </w:tcPr>
          <w:p w14:paraId="455FDAFA">
            <w:pPr>
              <w:topLinePunct/>
              <w:spacing w:line="440" w:lineRule="exact"/>
              <w:jc w:val="left"/>
              <w:rPr>
                <w:rFonts w:hint="default" w:ascii="宋体" w:hAnsi="宋体" w:eastAsia="宋体"/>
                <w:bCs/>
                <w:highlight w:val="none"/>
                <w:lang w:val="en-US" w:eastAsia="zh-CN"/>
              </w:rPr>
            </w:pPr>
            <w:r>
              <w:rPr>
                <w:b/>
                <w:bCs/>
                <w:spacing w:val="6"/>
                <w:sz w:val="21"/>
                <w:szCs w:val="21"/>
                <w:highlight w:val="none"/>
              </w:rPr>
              <w:t>需提供自有车辆明细或运输服务合同租赁车</w:t>
            </w:r>
            <w:r>
              <w:rPr>
                <w:b/>
                <w:bCs/>
                <w:spacing w:val="3"/>
                <w:sz w:val="21"/>
                <w:szCs w:val="21"/>
                <w:highlight w:val="none"/>
              </w:rPr>
              <w:t>辆明细，且提供每辆车的行驶证复印件</w:t>
            </w:r>
            <w:r>
              <w:rPr>
                <w:rFonts w:hint="eastAsia"/>
                <w:b/>
                <w:bCs/>
                <w:spacing w:val="3"/>
                <w:sz w:val="21"/>
                <w:szCs w:val="21"/>
                <w:highlight w:val="none"/>
                <w:lang w:eastAsia="zh-CN"/>
              </w:rPr>
              <w:t>、</w:t>
            </w:r>
            <w:r>
              <w:rPr>
                <w:rFonts w:hint="eastAsia"/>
                <w:b/>
                <w:bCs/>
                <w:spacing w:val="3"/>
                <w:sz w:val="21"/>
                <w:szCs w:val="21"/>
                <w:highlight w:val="none"/>
                <w:lang w:val="en-US" w:eastAsia="zh-CN"/>
              </w:rPr>
              <w:t>保险证明</w:t>
            </w:r>
            <w:r>
              <w:rPr>
                <w:b/>
                <w:bCs/>
                <w:spacing w:val="3"/>
                <w:sz w:val="21"/>
                <w:szCs w:val="21"/>
                <w:highlight w:val="none"/>
              </w:rPr>
              <w:t>。</w:t>
            </w:r>
          </w:p>
        </w:tc>
      </w:tr>
      <w:tr w14:paraId="3DE9990F">
        <w:tblPrEx>
          <w:tblCellMar>
            <w:top w:w="0" w:type="dxa"/>
            <w:left w:w="108" w:type="dxa"/>
            <w:bottom w:w="0" w:type="dxa"/>
            <w:right w:w="108" w:type="dxa"/>
          </w:tblCellMar>
        </w:tblPrEx>
        <w:trPr>
          <w:trHeight w:val="816" w:hRule="atLeast"/>
        </w:trPr>
        <w:tc>
          <w:tcPr>
            <w:tcW w:w="1271" w:type="dxa"/>
            <w:tcBorders>
              <w:left w:val="single" w:color="auto" w:sz="4" w:space="0"/>
              <w:bottom w:val="single" w:color="auto" w:sz="4" w:space="0"/>
              <w:right w:val="single" w:color="auto" w:sz="4" w:space="0"/>
            </w:tcBorders>
            <w:vAlign w:val="center"/>
          </w:tcPr>
          <w:p w14:paraId="1D72487D">
            <w:pPr>
              <w:spacing w:line="440" w:lineRule="exact"/>
              <w:jc w:val="center"/>
              <w:rPr>
                <w:rFonts w:ascii="宋体" w:hAnsi="宋体"/>
                <w:bCs/>
              </w:rPr>
            </w:pPr>
            <w:r>
              <w:rPr>
                <w:bCs/>
                <w:szCs w:val="21"/>
              </w:rPr>
              <w:t>3</w:t>
            </w:r>
            <w:r>
              <w:rPr>
                <w:rFonts w:ascii="宋体" w:hAnsi="宋体"/>
                <w:bCs/>
                <w:szCs w:val="21"/>
              </w:rPr>
              <w:t>.</w:t>
            </w:r>
            <w:r>
              <w:rPr>
                <w:bCs/>
                <w:szCs w:val="21"/>
              </w:rPr>
              <w:t>5</w:t>
            </w:r>
            <w:r>
              <w:rPr>
                <w:rFonts w:ascii="宋体" w:hAnsi="宋体"/>
                <w:bCs/>
                <w:szCs w:val="21"/>
              </w:rPr>
              <w:t>.</w:t>
            </w:r>
            <w:r>
              <w:rPr>
                <w:bCs/>
                <w:szCs w:val="21"/>
              </w:rPr>
              <w:t>9</w:t>
            </w:r>
          </w:p>
        </w:tc>
        <w:tc>
          <w:tcPr>
            <w:tcW w:w="3164" w:type="dxa"/>
            <w:tcBorders>
              <w:top w:val="single" w:color="auto" w:sz="4" w:space="0"/>
              <w:left w:val="single" w:color="auto" w:sz="4" w:space="0"/>
              <w:bottom w:val="single" w:color="auto" w:sz="4" w:space="0"/>
              <w:right w:val="single" w:color="auto" w:sz="4" w:space="0"/>
            </w:tcBorders>
            <w:vAlign w:val="center"/>
          </w:tcPr>
          <w:p w14:paraId="1415B03D">
            <w:pPr>
              <w:spacing w:line="440" w:lineRule="exact"/>
              <w:jc w:val="center"/>
              <w:rPr>
                <w:rFonts w:ascii="宋体" w:hAnsi="宋体"/>
                <w:bCs/>
              </w:rPr>
            </w:pPr>
            <w:r>
              <w:rPr>
                <w:rFonts w:ascii="宋体" w:hAnsi="宋体"/>
                <w:bCs/>
                <w:szCs w:val="21"/>
              </w:rPr>
              <w:t>联合体要求的证明材料</w:t>
            </w:r>
          </w:p>
        </w:tc>
        <w:tc>
          <w:tcPr>
            <w:tcW w:w="4887" w:type="dxa"/>
            <w:tcBorders>
              <w:top w:val="single" w:color="auto" w:sz="4" w:space="0"/>
              <w:left w:val="single" w:color="auto" w:sz="4" w:space="0"/>
              <w:bottom w:val="single" w:color="auto" w:sz="4" w:space="0"/>
              <w:right w:val="single" w:color="auto" w:sz="4" w:space="0"/>
            </w:tcBorders>
            <w:vAlign w:val="center"/>
          </w:tcPr>
          <w:p w14:paraId="358F68B9">
            <w:pPr>
              <w:topLinePunct/>
              <w:spacing w:line="440" w:lineRule="exact"/>
              <w:jc w:val="left"/>
              <w:rPr>
                <w:rFonts w:ascii="宋体" w:hAnsi="宋体"/>
                <w:bCs/>
              </w:rPr>
            </w:pPr>
            <w:r>
              <w:rPr>
                <w:rFonts w:hint="eastAsia" w:ascii="宋体" w:hAnsi="宋体"/>
                <w:bCs/>
              </w:rPr>
              <w:t>不适用</w:t>
            </w:r>
          </w:p>
        </w:tc>
      </w:tr>
      <w:tr w14:paraId="1036DEB0">
        <w:tblPrEx>
          <w:tblCellMar>
            <w:top w:w="0" w:type="dxa"/>
            <w:left w:w="108" w:type="dxa"/>
            <w:bottom w:w="0" w:type="dxa"/>
            <w:right w:w="108" w:type="dxa"/>
          </w:tblCellMar>
        </w:tblPrEx>
        <w:trPr>
          <w:trHeight w:val="906" w:hRule="atLeast"/>
        </w:trPr>
        <w:tc>
          <w:tcPr>
            <w:tcW w:w="1271" w:type="dxa"/>
            <w:tcBorders>
              <w:left w:val="single" w:color="auto" w:sz="4" w:space="0"/>
              <w:bottom w:val="single" w:color="auto" w:sz="4" w:space="0"/>
              <w:right w:val="single" w:color="auto" w:sz="4" w:space="0"/>
            </w:tcBorders>
            <w:vAlign w:val="center"/>
          </w:tcPr>
          <w:p w14:paraId="26B67CA3">
            <w:pPr>
              <w:spacing w:line="440" w:lineRule="exact"/>
              <w:jc w:val="center"/>
              <w:rPr>
                <w:rFonts w:ascii="宋体" w:hAnsi="宋体"/>
                <w:bCs/>
                <w:szCs w:val="21"/>
              </w:rPr>
            </w:pPr>
            <w:r>
              <w:rPr>
                <w:bCs/>
                <w:szCs w:val="21"/>
              </w:rPr>
              <w:t>3</w:t>
            </w:r>
            <w:r>
              <w:rPr>
                <w:rFonts w:ascii="宋体" w:hAnsi="宋体"/>
                <w:bCs/>
                <w:szCs w:val="21"/>
              </w:rPr>
              <w:t>.</w:t>
            </w:r>
            <w:r>
              <w:rPr>
                <w:bCs/>
                <w:szCs w:val="21"/>
              </w:rPr>
              <w:t>6</w:t>
            </w:r>
            <w:r>
              <w:rPr>
                <w:rFonts w:ascii="宋体" w:hAnsi="宋体"/>
                <w:bCs/>
                <w:szCs w:val="21"/>
              </w:rPr>
              <w:t>.</w:t>
            </w:r>
            <w:r>
              <w:rPr>
                <w:bCs/>
                <w:szCs w:val="21"/>
              </w:rPr>
              <w:t>1</w:t>
            </w:r>
          </w:p>
        </w:tc>
        <w:tc>
          <w:tcPr>
            <w:tcW w:w="3164" w:type="dxa"/>
            <w:tcBorders>
              <w:top w:val="single" w:color="auto" w:sz="4" w:space="0"/>
              <w:left w:val="single" w:color="auto" w:sz="4" w:space="0"/>
              <w:bottom w:val="single" w:color="auto" w:sz="4" w:space="0"/>
              <w:right w:val="single" w:color="auto" w:sz="4" w:space="0"/>
            </w:tcBorders>
            <w:vAlign w:val="center"/>
          </w:tcPr>
          <w:p w14:paraId="3F76D84A">
            <w:pPr>
              <w:spacing w:line="440" w:lineRule="exact"/>
              <w:jc w:val="center"/>
              <w:rPr>
                <w:rFonts w:ascii="宋体" w:hAnsi="宋体"/>
                <w:bCs/>
                <w:szCs w:val="21"/>
              </w:rPr>
            </w:pPr>
            <w:r>
              <w:rPr>
                <w:rFonts w:ascii="宋体" w:hAnsi="宋体"/>
                <w:bCs/>
              </w:rPr>
              <w:t>对关键条款进行响应的证据或证明材料要求</w:t>
            </w:r>
          </w:p>
        </w:tc>
        <w:tc>
          <w:tcPr>
            <w:tcW w:w="4887" w:type="dxa"/>
            <w:tcBorders>
              <w:top w:val="single" w:color="auto" w:sz="4" w:space="0"/>
              <w:left w:val="single" w:color="auto" w:sz="4" w:space="0"/>
              <w:bottom w:val="single" w:color="auto" w:sz="4" w:space="0"/>
              <w:right w:val="single" w:color="auto" w:sz="4" w:space="0"/>
            </w:tcBorders>
            <w:vAlign w:val="center"/>
          </w:tcPr>
          <w:p w14:paraId="7EDF385A">
            <w:pPr>
              <w:topLinePunct/>
              <w:spacing w:line="440" w:lineRule="exact"/>
              <w:jc w:val="left"/>
              <w:rPr>
                <w:rFonts w:ascii="宋体" w:hAnsi="宋体"/>
                <w:bCs/>
              </w:rPr>
            </w:pPr>
            <w:r>
              <w:rPr>
                <w:rFonts w:hint="eastAsia" w:ascii="宋体" w:hAnsi="宋体"/>
                <w:bCs/>
              </w:rPr>
              <w:t>无</w:t>
            </w:r>
          </w:p>
        </w:tc>
      </w:tr>
      <w:tr w14:paraId="7C67E4C4">
        <w:tblPrEx>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vAlign w:val="center"/>
          </w:tcPr>
          <w:p w14:paraId="0C57815B">
            <w:pPr>
              <w:spacing w:line="440" w:lineRule="exact"/>
              <w:jc w:val="center"/>
              <w:rPr>
                <w:rFonts w:ascii="宋体" w:hAnsi="宋体"/>
                <w:bCs/>
              </w:rPr>
            </w:pPr>
            <w:r>
              <w:rPr>
                <w:bCs/>
              </w:rPr>
              <w:t>3</w:t>
            </w:r>
            <w:r>
              <w:rPr>
                <w:rFonts w:ascii="宋体" w:hAnsi="宋体"/>
                <w:bCs/>
              </w:rPr>
              <w:t>.</w:t>
            </w:r>
            <w:r>
              <w:rPr>
                <w:bCs/>
              </w:rPr>
              <w:t>7</w:t>
            </w:r>
            <w:r>
              <w:rPr>
                <w:rFonts w:ascii="宋体" w:hAnsi="宋体"/>
                <w:bCs/>
              </w:rPr>
              <w:t>.</w:t>
            </w:r>
            <w:r>
              <w:rPr>
                <w:bCs/>
              </w:rPr>
              <w:t>3</w:t>
            </w:r>
          </w:p>
        </w:tc>
        <w:tc>
          <w:tcPr>
            <w:tcW w:w="3164" w:type="dxa"/>
            <w:tcBorders>
              <w:top w:val="single" w:color="auto" w:sz="4" w:space="0"/>
              <w:left w:val="single" w:color="auto" w:sz="4" w:space="0"/>
              <w:bottom w:val="single" w:color="auto" w:sz="4" w:space="0"/>
              <w:right w:val="single" w:color="auto" w:sz="4" w:space="0"/>
            </w:tcBorders>
            <w:vAlign w:val="center"/>
          </w:tcPr>
          <w:p w14:paraId="49F27695">
            <w:pPr>
              <w:spacing w:line="400" w:lineRule="exact"/>
              <w:jc w:val="center"/>
              <w:rPr>
                <w:rFonts w:ascii="宋体" w:hAnsi="宋体"/>
                <w:bCs/>
              </w:rPr>
            </w:pPr>
            <w:r>
              <w:rPr>
                <w:rFonts w:ascii="宋体" w:hAnsi="宋体"/>
                <w:bCs/>
              </w:rPr>
              <w:t>供应商所附证书证件及证明材料</w:t>
            </w:r>
            <w:r>
              <w:rPr>
                <w:rFonts w:ascii="宋体" w:hAnsi="宋体"/>
                <w:bCs/>
                <w:color w:val="000000"/>
              </w:rPr>
              <w:t>要求</w:t>
            </w:r>
          </w:p>
        </w:tc>
        <w:tc>
          <w:tcPr>
            <w:tcW w:w="4887" w:type="dxa"/>
            <w:tcBorders>
              <w:top w:val="single" w:color="auto" w:sz="4" w:space="0"/>
              <w:left w:val="single" w:color="auto" w:sz="4" w:space="0"/>
              <w:bottom w:val="single" w:color="auto" w:sz="4" w:space="0"/>
              <w:right w:val="single" w:color="auto" w:sz="4" w:space="0"/>
            </w:tcBorders>
            <w:vAlign w:val="center"/>
          </w:tcPr>
          <w:p w14:paraId="04C2951C">
            <w:pPr>
              <w:adjustRightInd w:val="0"/>
              <w:snapToGrid w:val="0"/>
              <w:spacing w:line="440" w:lineRule="exact"/>
              <w:rPr>
                <w:rFonts w:ascii="宋体" w:hAnsi="宋体"/>
                <w:bCs/>
              </w:rPr>
            </w:pPr>
            <w:r>
              <w:rPr>
                <w:rFonts w:hint="eastAsia"/>
                <w:bCs/>
              </w:rPr>
              <w:t>见须知正文。</w:t>
            </w:r>
          </w:p>
        </w:tc>
      </w:tr>
      <w:tr w14:paraId="4665793D">
        <w:tblPrEx>
          <w:tblCellMar>
            <w:top w:w="0" w:type="dxa"/>
            <w:left w:w="108" w:type="dxa"/>
            <w:bottom w:w="0" w:type="dxa"/>
            <w:right w:w="108" w:type="dxa"/>
          </w:tblCellMar>
        </w:tblPrEx>
        <w:trPr>
          <w:trHeight w:val="544" w:hRule="atLeast"/>
        </w:trPr>
        <w:tc>
          <w:tcPr>
            <w:tcW w:w="1271" w:type="dxa"/>
            <w:tcBorders>
              <w:top w:val="single" w:color="auto" w:sz="4" w:space="0"/>
              <w:left w:val="single" w:color="auto" w:sz="4" w:space="0"/>
              <w:bottom w:val="single" w:color="auto" w:sz="4" w:space="0"/>
              <w:right w:val="single" w:color="auto" w:sz="4" w:space="0"/>
            </w:tcBorders>
            <w:vAlign w:val="center"/>
          </w:tcPr>
          <w:p w14:paraId="02582E64">
            <w:pPr>
              <w:snapToGrid w:val="0"/>
              <w:spacing w:line="400" w:lineRule="exact"/>
              <w:jc w:val="center"/>
              <w:rPr>
                <w:rFonts w:ascii="宋体" w:hAnsi="宋体"/>
                <w:bCs/>
              </w:rPr>
            </w:pPr>
            <w:r>
              <w:rPr>
                <w:sz w:val="22"/>
              </w:rPr>
              <w:t>3</w:t>
            </w:r>
            <w:r>
              <w:rPr>
                <w:rFonts w:ascii="宋体" w:hAnsi="宋体"/>
                <w:sz w:val="22"/>
              </w:rPr>
              <w:t>.</w:t>
            </w:r>
            <w:r>
              <w:rPr>
                <w:sz w:val="22"/>
              </w:rPr>
              <w:t>7</w:t>
            </w:r>
            <w:r>
              <w:rPr>
                <w:rFonts w:ascii="宋体" w:hAnsi="宋体"/>
                <w:sz w:val="22"/>
              </w:rPr>
              <w:t>.</w:t>
            </w:r>
            <w:r>
              <w:rPr>
                <w:sz w:val="22"/>
              </w:rPr>
              <w:t>4</w:t>
            </w:r>
          </w:p>
        </w:tc>
        <w:tc>
          <w:tcPr>
            <w:tcW w:w="3164" w:type="dxa"/>
            <w:tcBorders>
              <w:top w:val="single" w:color="auto" w:sz="4" w:space="0"/>
              <w:left w:val="single" w:color="auto" w:sz="4" w:space="0"/>
              <w:bottom w:val="single" w:color="auto" w:sz="4" w:space="0"/>
              <w:right w:val="single" w:color="auto" w:sz="4" w:space="0"/>
            </w:tcBorders>
            <w:vAlign w:val="center"/>
          </w:tcPr>
          <w:p w14:paraId="76533F1D">
            <w:pPr>
              <w:snapToGrid w:val="0"/>
              <w:spacing w:line="400" w:lineRule="exact"/>
              <w:jc w:val="center"/>
              <w:rPr>
                <w:rFonts w:ascii="宋体" w:hAnsi="宋体"/>
                <w:bCs/>
              </w:rPr>
            </w:pPr>
            <w:r>
              <w:rPr>
                <w:rFonts w:ascii="宋体" w:hAnsi="宋体"/>
                <w:bCs/>
              </w:rPr>
              <w:t>响应</w:t>
            </w:r>
            <w:r>
              <w:rPr>
                <w:rFonts w:ascii="宋体" w:hAnsi="宋体"/>
                <w:bCs/>
                <w:color w:val="000000"/>
              </w:rPr>
              <w:t>文件签字盖章的其他要求</w:t>
            </w:r>
          </w:p>
        </w:tc>
        <w:tc>
          <w:tcPr>
            <w:tcW w:w="4887" w:type="dxa"/>
            <w:tcBorders>
              <w:top w:val="single" w:color="auto" w:sz="4" w:space="0"/>
              <w:left w:val="single" w:color="auto" w:sz="4" w:space="0"/>
              <w:bottom w:val="single" w:color="auto" w:sz="4" w:space="0"/>
              <w:right w:val="single" w:color="auto" w:sz="4" w:space="0"/>
            </w:tcBorders>
            <w:vAlign w:val="center"/>
          </w:tcPr>
          <w:p w14:paraId="0AB1A81D">
            <w:pPr>
              <w:snapToGrid w:val="0"/>
              <w:spacing w:line="400" w:lineRule="exact"/>
              <w:rPr>
                <w:rFonts w:ascii="宋体" w:hAnsi="宋体"/>
                <w:bCs/>
              </w:rPr>
            </w:pPr>
            <w:r>
              <w:rPr>
                <w:rFonts w:hint="eastAsia"/>
                <w:bCs/>
              </w:rPr>
              <w:t>见须知正文。</w:t>
            </w:r>
          </w:p>
        </w:tc>
      </w:tr>
      <w:tr w14:paraId="3DAF73CD">
        <w:tblPrEx>
          <w:tblCellMar>
            <w:top w:w="0" w:type="dxa"/>
            <w:left w:w="108" w:type="dxa"/>
            <w:bottom w:w="0" w:type="dxa"/>
            <w:right w:w="108" w:type="dxa"/>
          </w:tblCellMar>
        </w:tblPrEx>
        <w:trPr>
          <w:trHeight w:val="565" w:hRule="atLeast"/>
        </w:trPr>
        <w:tc>
          <w:tcPr>
            <w:tcW w:w="1271" w:type="dxa"/>
            <w:tcBorders>
              <w:top w:val="single" w:color="auto" w:sz="4" w:space="0"/>
              <w:left w:val="single" w:color="auto" w:sz="4" w:space="0"/>
              <w:bottom w:val="single" w:color="auto" w:sz="4" w:space="0"/>
              <w:right w:val="single" w:color="auto" w:sz="4" w:space="0"/>
            </w:tcBorders>
            <w:vAlign w:val="center"/>
          </w:tcPr>
          <w:p w14:paraId="523C7D35">
            <w:pPr>
              <w:snapToGrid w:val="0"/>
              <w:spacing w:line="400" w:lineRule="exact"/>
              <w:jc w:val="center"/>
              <w:rPr>
                <w:rFonts w:ascii="宋体" w:hAnsi="宋体"/>
                <w:sz w:val="22"/>
              </w:rPr>
            </w:pPr>
            <w:r>
              <w:rPr>
                <w:sz w:val="22"/>
              </w:rPr>
              <w:t>4</w:t>
            </w:r>
            <w:r>
              <w:rPr>
                <w:rFonts w:ascii="宋体" w:hAnsi="宋体"/>
                <w:sz w:val="22"/>
              </w:rPr>
              <w:t>.</w:t>
            </w:r>
            <w:r>
              <w:rPr>
                <w:sz w:val="22"/>
              </w:rPr>
              <w:t>1</w:t>
            </w:r>
            <w:r>
              <w:rPr>
                <w:rFonts w:ascii="宋体" w:hAnsi="宋体"/>
                <w:sz w:val="22"/>
              </w:rPr>
              <w:t>.</w:t>
            </w:r>
            <w:r>
              <w:rPr>
                <w:sz w:val="22"/>
              </w:rPr>
              <w:t>1</w:t>
            </w:r>
          </w:p>
        </w:tc>
        <w:tc>
          <w:tcPr>
            <w:tcW w:w="3164" w:type="dxa"/>
            <w:tcBorders>
              <w:top w:val="single" w:color="auto" w:sz="4" w:space="0"/>
              <w:left w:val="single" w:color="auto" w:sz="4" w:space="0"/>
              <w:bottom w:val="single" w:color="auto" w:sz="4" w:space="0"/>
              <w:right w:val="single" w:color="auto" w:sz="4" w:space="0"/>
            </w:tcBorders>
            <w:vAlign w:val="center"/>
          </w:tcPr>
          <w:p w14:paraId="358AE2A8">
            <w:pPr>
              <w:snapToGrid w:val="0"/>
              <w:spacing w:line="400" w:lineRule="exact"/>
              <w:jc w:val="center"/>
              <w:rPr>
                <w:rFonts w:ascii="宋体" w:hAnsi="宋体"/>
                <w:bCs/>
              </w:rPr>
            </w:pPr>
            <w:r>
              <w:rPr>
                <w:rFonts w:ascii="宋体" w:hAnsi="宋体"/>
              </w:rPr>
              <w:t>响应文件加密的要求</w:t>
            </w:r>
          </w:p>
        </w:tc>
        <w:tc>
          <w:tcPr>
            <w:tcW w:w="4887" w:type="dxa"/>
            <w:tcBorders>
              <w:top w:val="single" w:color="auto" w:sz="4" w:space="0"/>
              <w:left w:val="single" w:color="auto" w:sz="4" w:space="0"/>
              <w:bottom w:val="single" w:color="auto" w:sz="4" w:space="0"/>
              <w:right w:val="single" w:color="auto" w:sz="4" w:space="0"/>
            </w:tcBorders>
            <w:vAlign w:val="center"/>
          </w:tcPr>
          <w:p w14:paraId="1555F229">
            <w:pPr>
              <w:snapToGrid w:val="0"/>
              <w:spacing w:line="400" w:lineRule="exact"/>
              <w:rPr>
                <w:rFonts w:ascii="宋体" w:hAnsi="宋体"/>
                <w:sz w:val="22"/>
              </w:rPr>
            </w:pPr>
            <w:r>
              <w:rPr>
                <w:rFonts w:hint="eastAsia"/>
                <w:bCs/>
              </w:rPr>
              <w:t>见须知正文。</w:t>
            </w:r>
          </w:p>
        </w:tc>
      </w:tr>
      <w:tr w14:paraId="6A2B92EB">
        <w:tblPrEx>
          <w:tblCellMar>
            <w:top w:w="0" w:type="dxa"/>
            <w:left w:w="108" w:type="dxa"/>
            <w:bottom w:w="0" w:type="dxa"/>
            <w:right w:w="108" w:type="dxa"/>
          </w:tblCellMar>
        </w:tblPrEx>
        <w:trPr>
          <w:trHeight w:val="880" w:hRule="atLeast"/>
        </w:trPr>
        <w:tc>
          <w:tcPr>
            <w:tcW w:w="1271" w:type="dxa"/>
            <w:tcBorders>
              <w:top w:val="single" w:color="auto" w:sz="4" w:space="0"/>
              <w:left w:val="single" w:color="auto" w:sz="4" w:space="0"/>
              <w:bottom w:val="single" w:color="auto" w:sz="4" w:space="0"/>
              <w:right w:val="single" w:color="auto" w:sz="4" w:space="0"/>
            </w:tcBorders>
            <w:vAlign w:val="center"/>
          </w:tcPr>
          <w:p w14:paraId="151993AD">
            <w:pPr>
              <w:spacing w:line="440" w:lineRule="exact"/>
              <w:jc w:val="center"/>
              <w:rPr>
                <w:rFonts w:ascii="宋体" w:hAnsi="宋体"/>
                <w:bCs/>
              </w:rPr>
            </w:pPr>
            <w:r>
              <w:rPr>
                <w:bCs/>
              </w:rPr>
              <w:t>4</w:t>
            </w:r>
            <w:r>
              <w:rPr>
                <w:rFonts w:ascii="宋体" w:hAnsi="宋体"/>
                <w:bCs/>
              </w:rPr>
              <w:t>.</w:t>
            </w:r>
            <w:r>
              <w:rPr>
                <w:bCs/>
              </w:rPr>
              <w:t>2</w:t>
            </w:r>
            <w:r>
              <w:rPr>
                <w:rFonts w:ascii="宋体" w:hAnsi="宋体"/>
                <w:bCs/>
              </w:rPr>
              <w:t>.</w:t>
            </w:r>
            <w:r>
              <w:rPr>
                <w:bCs/>
              </w:rPr>
              <w:t>1</w:t>
            </w:r>
          </w:p>
        </w:tc>
        <w:tc>
          <w:tcPr>
            <w:tcW w:w="3164" w:type="dxa"/>
            <w:tcBorders>
              <w:top w:val="single" w:color="auto" w:sz="4" w:space="0"/>
              <w:left w:val="single" w:color="auto" w:sz="4" w:space="0"/>
              <w:bottom w:val="single" w:color="auto" w:sz="4" w:space="0"/>
              <w:right w:val="single" w:color="auto" w:sz="4" w:space="0"/>
            </w:tcBorders>
            <w:vAlign w:val="center"/>
          </w:tcPr>
          <w:p w14:paraId="1F950894">
            <w:pPr>
              <w:spacing w:line="440" w:lineRule="exact"/>
              <w:jc w:val="center"/>
              <w:rPr>
                <w:rFonts w:ascii="宋体" w:hAnsi="宋体"/>
                <w:bCs/>
              </w:rPr>
            </w:pPr>
            <w:r>
              <w:rPr>
                <w:rFonts w:ascii="宋体" w:hAnsi="宋体"/>
                <w:bCs/>
              </w:rPr>
              <w:t>递交响应文件截止时间和地点</w:t>
            </w:r>
          </w:p>
        </w:tc>
        <w:tc>
          <w:tcPr>
            <w:tcW w:w="4887" w:type="dxa"/>
            <w:tcBorders>
              <w:top w:val="single" w:color="auto" w:sz="4" w:space="0"/>
              <w:left w:val="single" w:color="auto" w:sz="4" w:space="0"/>
              <w:bottom w:val="single" w:color="auto" w:sz="4" w:space="0"/>
              <w:right w:val="single" w:color="auto" w:sz="4" w:space="0"/>
            </w:tcBorders>
            <w:vAlign w:val="center"/>
          </w:tcPr>
          <w:p w14:paraId="06AC6EAF">
            <w:pPr>
              <w:spacing w:line="440" w:lineRule="exact"/>
              <w:rPr>
                <w:rFonts w:ascii="宋体" w:hAnsi="宋体"/>
                <w:bCs/>
              </w:rPr>
            </w:pPr>
            <w:r>
              <w:rPr>
                <w:rFonts w:ascii="宋体" w:hAnsi="宋体"/>
                <w:bCs/>
              </w:rPr>
              <w:t>见框架协议采购公告</w:t>
            </w:r>
          </w:p>
        </w:tc>
      </w:tr>
      <w:tr w14:paraId="3B646505">
        <w:tblPrEx>
          <w:tblCellMar>
            <w:top w:w="0" w:type="dxa"/>
            <w:left w:w="108" w:type="dxa"/>
            <w:bottom w:w="0" w:type="dxa"/>
            <w:right w:w="108" w:type="dxa"/>
          </w:tblCellMar>
        </w:tblPrEx>
        <w:trPr>
          <w:trHeight w:val="381" w:hRule="atLeast"/>
        </w:trPr>
        <w:tc>
          <w:tcPr>
            <w:tcW w:w="1271" w:type="dxa"/>
            <w:tcBorders>
              <w:top w:val="single" w:color="auto" w:sz="4" w:space="0"/>
              <w:left w:val="single" w:color="auto" w:sz="4" w:space="0"/>
              <w:bottom w:val="single" w:color="auto" w:sz="4" w:space="0"/>
              <w:right w:val="single" w:color="auto" w:sz="4" w:space="0"/>
            </w:tcBorders>
            <w:vAlign w:val="center"/>
          </w:tcPr>
          <w:p w14:paraId="15273151">
            <w:pPr>
              <w:spacing w:line="440" w:lineRule="exact"/>
              <w:jc w:val="center"/>
              <w:rPr>
                <w:rFonts w:ascii="宋体" w:hAnsi="宋体"/>
                <w:bCs/>
              </w:rPr>
            </w:pPr>
            <w:r>
              <w:rPr>
                <w:bCs/>
              </w:rPr>
              <w:t>5</w:t>
            </w:r>
            <w:r>
              <w:rPr>
                <w:rFonts w:ascii="宋体" w:hAnsi="宋体"/>
                <w:bCs/>
              </w:rPr>
              <w:t>.</w:t>
            </w:r>
            <w:r>
              <w:rPr>
                <w:bCs/>
              </w:rPr>
              <w:t>2</w:t>
            </w:r>
            <w:r>
              <w:rPr>
                <w:rFonts w:ascii="宋体" w:hAnsi="宋体"/>
                <w:bCs/>
              </w:rPr>
              <w:t>（</w:t>
            </w:r>
            <w:r>
              <w:rPr>
                <w:bCs/>
              </w:rPr>
              <w:t>2</w:t>
            </w:r>
            <w:r>
              <w:rPr>
                <w:rFonts w:ascii="宋体" w:hAnsi="宋体"/>
                <w:bCs/>
              </w:rPr>
              <w:t>）</w:t>
            </w:r>
          </w:p>
        </w:tc>
        <w:tc>
          <w:tcPr>
            <w:tcW w:w="3164" w:type="dxa"/>
            <w:tcBorders>
              <w:top w:val="single" w:color="auto" w:sz="4" w:space="0"/>
              <w:left w:val="single" w:color="auto" w:sz="4" w:space="0"/>
              <w:bottom w:val="single" w:color="auto" w:sz="4" w:space="0"/>
              <w:right w:val="single" w:color="auto" w:sz="4" w:space="0"/>
            </w:tcBorders>
            <w:vAlign w:val="center"/>
          </w:tcPr>
          <w:p w14:paraId="02B496F6">
            <w:pPr>
              <w:spacing w:line="440" w:lineRule="exact"/>
              <w:jc w:val="center"/>
              <w:rPr>
                <w:rFonts w:ascii="宋体" w:hAnsi="宋体"/>
                <w:bCs/>
              </w:rPr>
            </w:pPr>
            <w:r>
              <w:rPr>
                <w:rFonts w:ascii="宋体" w:hAnsi="宋体"/>
                <w:bCs/>
              </w:rPr>
              <w:t>开启程序</w:t>
            </w:r>
          </w:p>
        </w:tc>
        <w:tc>
          <w:tcPr>
            <w:tcW w:w="4887" w:type="dxa"/>
            <w:tcBorders>
              <w:top w:val="single" w:color="auto" w:sz="4" w:space="0"/>
              <w:left w:val="single" w:color="auto" w:sz="4" w:space="0"/>
              <w:bottom w:val="single" w:color="auto" w:sz="4" w:space="0"/>
              <w:right w:val="single" w:color="auto" w:sz="4" w:space="0"/>
            </w:tcBorders>
            <w:vAlign w:val="center"/>
          </w:tcPr>
          <w:p w14:paraId="7606D33D">
            <w:pPr>
              <w:spacing w:line="440" w:lineRule="exact"/>
              <w:rPr>
                <w:rFonts w:ascii="宋体" w:hAnsi="宋体"/>
              </w:rPr>
            </w:pPr>
            <w:r>
              <w:rPr>
                <w:rFonts w:ascii="宋体" w:hAnsi="宋体"/>
              </w:rPr>
              <w:t>其他应公布的信息：</w:t>
            </w:r>
            <w:r>
              <w:rPr>
                <w:rFonts w:hint="eastAsia" w:ascii="宋体" w:hAnsi="宋体"/>
              </w:rPr>
              <w:t>无</w:t>
            </w:r>
          </w:p>
        </w:tc>
      </w:tr>
      <w:tr w14:paraId="0BD97B5F">
        <w:tblPrEx>
          <w:tblCellMar>
            <w:top w:w="0" w:type="dxa"/>
            <w:left w:w="108" w:type="dxa"/>
            <w:bottom w:w="0" w:type="dxa"/>
            <w:right w:w="108" w:type="dxa"/>
          </w:tblCellMar>
        </w:tblPrEx>
        <w:trPr>
          <w:trHeight w:val="381" w:hRule="atLeast"/>
        </w:trPr>
        <w:tc>
          <w:tcPr>
            <w:tcW w:w="1271" w:type="dxa"/>
            <w:tcBorders>
              <w:top w:val="single" w:color="auto" w:sz="4" w:space="0"/>
              <w:left w:val="single" w:color="auto" w:sz="4" w:space="0"/>
              <w:bottom w:val="single" w:color="auto" w:sz="4" w:space="0"/>
              <w:right w:val="single" w:color="auto" w:sz="4" w:space="0"/>
            </w:tcBorders>
            <w:vAlign w:val="center"/>
          </w:tcPr>
          <w:p w14:paraId="0CDD77E8">
            <w:pPr>
              <w:spacing w:line="440" w:lineRule="exact"/>
              <w:jc w:val="center"/>
              <w:rPr>
                <w:rFonts w:ascii="宋体" w:hAnsi="宋体"/>
                <w:bCs/>
              </w:rPr>
            </w:pPr>
            <w:r>
              <w:rPr>
                <w:bCs/>
              </w:rPr>
              <w:t>5</w:t>
            </w:r>
            <w:r>
              <w:rPr>
                <w:rFonts w:ascii="宋体" w:hAnsi="宋体"/>
                <w:bCs/>
              </w:rPr>
              <w:t>.</w:t>
            </w:r>
            <w:r>
              <w:rPr>
                <w:bCs/>
              </w:rPr>
              <w:t>4</w:t>
            </w:r>
          </w:p>
        </w:tc>
        <w:tc>
          <w:tcPr>
            <w:tcW w:w="3164" w:type="dxa"/>
            <w:tcBorders>
              <w:top w:val="single" w:color="auto" w:sz="4" w:space="0"/>
              <w:left w:val="single" w:color="auto" w:sz="4" w:space="0"/>
              <w:bottom w:val="single" w:color="auto" w:sz="4" w:space="0"/>
              <w:right w:val="single" w:color="auto" w:sz="4" w:space="0"/>
            </w:tcBorders>
            <w:vAlign w:val="center"/>
          </w:tcPr>
          <w:p w14:paraId="03E18EE5">
            <w:pPr>
              <w:spacing w:line="440" w:lineRule="exact"/>
              <w:jc w:val="center"/>
              <w:rPr>
                <w:rFonts w:ascii="宋体" w:hAnsi="宋体"/>
                <w:bCs/>
              </w:rPr>
            </w:pPr>
            <w:r>
              <w:rPr>
                <w:rFonts w:ascii="宋体" w:hAnsi="宋体"/>
                <w:bCs/>
              </w:rPr>
              <w:t>递交响应文件的供应商不足的情形</w:t>
            </w:r>
          </w:p>
        </w:tc>
        <w:tc>
          <w:tcPr>
            <w:tcW w:w="4887" w:type="dxa"/>
            <w:tcBorders>
              <w:top w:val="single" w:color="auto" w:sz="4" w:space="0"/>
              <w:left w:val="single" w:color="auto" w:sz="4" w:space="0"/>
              <w:bottom w:val="single" w:color="auto" w:sz="4" w:space="0"/>
              <w:right w:val="single" w:color="auto" w:sz="4" w:space="0"/>
            </w:tcBorders>
            <w:vAlign w:val="center"/>
          </w:tcPr>
          <w:p w14:paraId="2ED0A613">
            <w:pPr>
              <w:spacing w:line="440" w:lineRule="exact"/>
              <w:rPr>
                <w:rFonts w:ascii="宋体" w:hAnsi="宋体"/>
                <w:bCs/>
                <w:szCs w:val="21"/>
                <w:u w:val="single"/>
              </w:rPr>
            </w:pPr>
            <w:r>
              <w:rPr>
                <w:rFonts w:ascii="宋体" w:hAnsi="宋体"/>
                <w:bCs/>
              </w:rPr>
              <w:t>入围供应商为多家时，供应商不足的数量要求：</w:t>
            </w:r>
            <w:r>
              <w:rPr>
                <w:rFonts w:hint="eastAsia" w:ascii="宋体" w:hAnsi="宋体"/>
                <w:bCs/>
                <w:lang w:val="en-US" w:eastAsia="zh-CN"/>
              </w:rPr>
              <w:t>少于</w:t>
            </w:r>
            <w:r>
              <w:rPr>
                <w:rFonts w:hint="eastAsia" w:ascii="宋体" w:hAnsi="宋体"/>
                <w:bCs/>
                <w:u w:val="single"/>
              </w:rPr>
              <w:t>3</w:t>
            </w:r>
            <w:r>
              <w:rPr>
                <w:rFonts w:ascii="宋体" w:hAnsi="宋体"/>
                <w:bCs/>
              </w:rPr>
              <w:t>家</w:t>
            </w:r>
          </w:p>
        </w:tc>
      </w:tr>
      <w:tr w14:paraId="48C70069">
        <w:tblPrEx>
          <w:tblCellMar>
            <w:top w:w="0" w:type="dxa"/>
            <w:left w:w="108" w:type="dxa"/>
            <w:bottom w:w="0" w:type="dxa"/>
            <w:right w:w="108" w:type="dxa"/>
          </w:tblCellMar>
        </w:tblPrEx>
        <w:trPr>
          <w:trHeight w:val="381" w:hRule="atLeast"/>
        </w:trPr>
        <w:tc>
          <w:tcPr>
            <w:tcW w:w="1271" w:type="dxa"/>
            <w:tcBorders>
              <w:top w:val="single" w:color="auto" w:sz="4" w:space="0"/>
              <w:left w:val="single" w:color="auto" w:sz="4" w:space="0"/>
              <w:bottom w:val="single" w:color="auto" w:sz="4" w:space="0"/>
              <w:right w:val="single" w:color="auto" w:sz="4" w:space="0"/>
            </w:tcBorders>
            <w:vAlign w:val="center"/>
          </w:tcPr>
          <w:p w14:paraId="7280B1F7">
            <w:pPr>
              <w:snapToGrid w:val="0"/>
              <w:spacing w:line="400" w:lineRule="exact"/>
              <w:jc w:val="center"/>
              <w:rPr>
                <w:rFonts w:ascii="宋体" w:hAnsi="宋体"/>
                <w:bCs/>
              </w:rPr>
            </w:pPr>
            <w:r>
              <w:rPr>
                <w:sz w:val="22"/>
              </w:rPr>
              <w:t>6</w:t>
            </w:r>
            <w:r>
              <w:rPr>
                <w:rFonts w:ascii="宋体" w:hAnsi="宋体"/>
                <w:sz w:val="22"/>
              </w:rPr>
              <w:t>.</w:t>
            </w:r>
            <w:r>
              <w:rPr>
                <w:sz w:val="22"/>
              </w:rPr>
              <w:t>1</w:t>
            </w:r>
            <w:r>
              <w:rPr>
                <w:rFonts w:ascii="宋体" w:hAnsi="宋体"/>
                <w:sz w:val="22"/>
              </w:rPr>
              <w:t>.</w:t>
            </w:r>
            <w:r>
              <w:rPr>
                <w:sz w:val="22"/>
              </w:rPr>
              <w:t>1</w:t>
            </w:r>
          </w:p>
        </w:tc>
        <w:tc>
          <w:tcPr>
            <w:tcW w:w="3164" w:type="dxa"/>
            <w:tcBorders>
              <w:top w:val="single" w:color="auto" w:sz="4" w:space="0"/>
              <w:left w:val="single" w:color="auto" w:sz="4" w:space="0"/>
              <w:bottom w:val="single" w:color="auto" w:sz="4" w:space="0"/>
              <w:right w:val="single" w:color="auto" w:sz="4" w:space="0"/>
            </w:tcBorders>
            <w:vAlign w:val="center"/>
          </w:tcPr>
          <w:p w14:paraId="0A9234E0">
            <w:pPr>
              <w:snapToGrid w:val="0"/>
              <w:spacing w:line="400" w:lineRule="exact"/>
              <w:jc w:val="center"/>
              <w:rPr>
                <w:rFonts w:ascii="宋体" w:hAnsi="宋体"/>
                <w:bCs/>
                <w:szCs w:val="21"/>
              </w:rPr>
            </w:pPr>
            <w:r>
              <w:rPr>
                <w:rFonts w:ascii="宋体" w:hAnsi="宋体"/>
                <w:szCs w:val="21"/>
              </w:rPr>
              <w:t>评审小组</w:t>
            </w:r>
          </w:p>
        </w:tc>
        <w:tc>
          <w:tcPr>
            <w:tcW w:w="4887" w:type="dxa"/>
            <w:tcBorders>
              <w:top w:val="single" w:color="auto" w:sz="4" w:space="0"/>
              <w:left w:val="single" w:color="auto" w:sz="4" w:space="0"/>
              <w:bottom w:val="single" w:color="auto" w:sz="4" w:space="0"/>
              <w:right w:val="single" w:color="auto" w:sz="4" w:space="0"/>
            </w:tcBorders>
            <w:vAlign w:val="center"/>
          </w:tcPr>
          <w:p w14:paraId="0AF46215">
            <w:pPr>
              <w:snapToGrid w:val="0"/>
              <w:spacing w:line="400" w:lineRule="exact"/>
              <w:jc w:val="left"/>
              <w:rPr>
                <w:rFonts w:ascii="宋体" w:hAnsi="宋体"/>
              </w:rPr>
            </w:pPr>
            <w:r>
              <w:rPr>
                <w:rFonts w:ascii="宋体" w:hAnsi="宋体"/>
              </w:rPr>
              <w:t>评审小组人数：</w:t>
            </w:r>
            <w:r>
              <w:rPr>
                <w:rFonts w:ascii="宋体" w:hAnsi="宋体"/>
                <w:u w:val="single"/>
              </w:rPr>
              <w:t xml:space="preserve"> </w:t>
            </w:r>
            <w:r>
              <w:rPr>
                <w:rFonts w:hint="eastAsia" w:ascii="宋体" w:hAnsi="宋体"/>
                <w:u w:val="single"/>
              </w:rPr>
              <w:t>5</w:t>
            </w:r>
            <w:r>
              <w:rPr>
                <w:rFonts w:ascii="宋体" w:hAnsi="宋体"/>
                <w:u w:val="single"/>
              </w:rPr>
              <w:t xml:space="preserve"> </w:t>
            </w:r>
            <w:r>
              <w:rPr>
                <w:rFonts w:ascii="宋体" w:hAnsi="宋体"/>
              </w:rPr>
              <w:t>人，其中采购人代表</w:t>
            </w:r>
            <w:r>
              <w:rPr>
                <w:rFonts w:ascii="宋体" w:hAnsi="宋体"/>
                <w:u w:val="single"/>
              </w:rPr>
              <w:t xml:space="preserve"> </w:t>
            </w:r>
            <w:r>
              <w:rPr>
                <w:rFonts w:hint="eastAsia" w:ascii="宋体" w:hAnsi="宋体"/>
                <w:u w:val="single"/>
              </w:rPr>
              <w:t>1</w:t>
            </w:r>
            <w:r>
              <w:rPr>
                <w:rFonts w:ascii="宋体" w:hAnsi="宋体"/>
                <w:u w:val="single"/>
              </w:rPr>
              <w:t xml:space="preserve"> </w:t>
            </w:r>
            <w:r>
              <w:rPr>
                <w:rFonts w:ascii="宋体" w:hAnsi="宋体"/>
              </w:rPr>
              <w:t>人，评审专家</w:t>
            </w:r>
            <w:r>
              <w:rPr>
                <w:rFonts w:ascii="宋体" w:hAnsi="宋体"/>
                <w:u w:val="single"/>
              </w:rPr>
              <w:t xml:space="preserve"> </w:t>
            </w:r>
            <w:r>
              <w:rPr>
                <w:rFonts w:hint="eastAsia" w:ascii="宋体" w:hAnsi="宋体"/>
                <w:u w:val="single"/>
              </w:rPr>
              <w:t>4</w:t>
            </w:r>
            <w:r>
              <w:rPr>
                <w:rFonts w:ascii="宋体" w:hAnsi="宋体"/>
                <w:u w:val="single"/>
              </w:rPr>
              <w:t xml:space="preserve"> </w:t>
            </w:r>
            <w:r>
              <w:rPr>
                <w:rFonts w:ascii="宋体" w:hAnsi="宋体"/>
              </w:rPr>
              <w:t>人。</w:t>
            </w:r>
          </w:p>
          <w:p w14:paraId="40E21F60">
            <w:pPr>
              <w:spacing w:line="440" w:lineRule="exact"/>
              <w:jc w:val="left"/>
              <w:rPr>
                <w:rFonts w:ascii="宋体" w:hAnsi="宋体"/>
              </w:rPr>
            </w:pPr>
            <w:r>
              <w:rPr>
                <w:rFonts w:ascii="宋体" w:hAnsi="宋体"/>
              </w:rPr>
              <w:t>抽取形式：</w:t>
            </w:r>
            <w:r>
              <w:rPr>
                <w:rFonts w:ascii="宋体" w:hAnsi="宋体"/>
                <w:bCs/>
                <w:szCs w:val="32"/>
              </w:rPr>
              <w:t>□</w:t>
            </w:r>
            <w:r>
              <w:rPr>
                <w:rFonts w:ascii="宋体" w:hAnsi="宋体"/>
              </w:rPr>
              <w:t>随机抽取</w:t>
            </w:r>
            <w:r>
              <w:rPr>
                <w:rFonts w:hint="eastAsia" w:ascii="宋体" w:hAnsi="宋体"/>
                <w:bCs/>
                <w:szCs w:val="32"/>
              </w:rPr>
              <w:t>☑</w:t>
            </w:r>
            <w:r>
              <w:rPr>
                <w:rFonts w:ascii="宋体" w:hAnsi="宋体"/>
              </w:rPr>
              <w:t>邀请</w:t>
            </w:r>
          </w:p>
          <w:p w14:paraId="27204EE9">
            <w:pPr>
              <w:snapToGrid w:val="0"/>
              <w:spacing w:line="400" w:lineRule="exact"/>
              <w:jc w:val="left"/>
              <w:rPr>
                <w:rFonts w:ascii="宋体" w:hAnsi="宋体"/>
              </w:rPr>
            </w:pPr>
            <w:r>
              <w:rPr>
                <w:rFonts w:ascii="宋体" w:hAnsi="宋体"/>
              </w:rPr>
              <w:t>评审专家来源：河北交投招标采购评审专家库。</w:t>
            </w:r>
          </w:p>
          <w:p w14:paraId="38AE69CF">
            <w:pPr>
              <w:snapToGrid w:val="0"/>
              <w:spacing w:line="400" w:lineRule="exact"/>
              <w:jc w:val="left"/>
              <w:rPr>
                <w:rFonts w:ascii="宋体" w:hAnsi="宋体"/>
                <w:bCs/>
                <w:szCs w:val="21"/>
              </w:rPr>
            </w:pPr>
            <w:r>
              <w:rPr>
                <w:rFonts w:ascii="宋体" w:hAnsi="宋体"/>
                <w:bCs/>
              </w:rPr>
              <w:sym w:font="Wingdings 2" w:char="00A3"/>
            </w:r>
            <w:r>
              <w:rPr>
                <w:rFonts w:ascii="宋体" w:hAnsi="宋体"/>
                <w:bCs/>
                <w:szCs w:val="21"/>
              </w:rPr>
              <w:t>其他方式：</w:t>
            </w:r>
            <w:r>
              <w:rPr>
                <w:rFonts w:ascii="宋体" w:hAnsi="宋体"/>
                <w:bCs/>
                <w:szCs w:val="21"/>
                <w:u w:val="single"/>
              </w:rPr>
              <w:t xml:space="preserve">      </w:t>
            </w:r>
          </w:p>
        </w:tc>
      </w:tr>
      <w:tr w14:paraId="52DAABE3">
        <w:tblPrEx>
          <w:tblCellMar>
            <w:top w:w="0" w:type="dxa"/>
            <w:left w:w="108" w:type="dxa"/>
            <w:bottom w:w="0" w:type="dxa"/>
            <w:right w:w="108" w:type="dxa"/>
          </w:tblCellMar>
        </w:tblPrEx>
        <w:trPr>
          <w:trHeight w:val="880" w:hRule="atLeast"/>
        </w:trPr>
        <w:tc>
          <w:tcPr>
            <w:tcW w:w="1271" w:type="dxa"/>
            <w:tcBorders>
              <w:top w:val="single" w:color="auto" w:sz="4" w:space="0"/>
              <w:left w:val="single" w:color="auto" w:sz="4" w:space="0"/>
              <w:bottom w:val="single" w:color="auto" w:sz="4" w:space="0"/>
              <w:right w:val="single" w:color="auto" w:sz="4" w:space="0"/>
            </w:tcBorders>
            <w:vAlign w:val="center"/>
          </w:tcPr>
          <w:p w14:paraId="314D730F">
            <w:pPr>
              <w:spacing w:line="440" w:lineRule="exact"/>
              <w:jc w:val="center"/>
              <w:rPr>
                <w:rFonts w:ascii="宋体" w:hAnsi="宋体"/>
                <w:bCs/>
              </w:rPr>
            </w:pPr>
            <w:r>
              <w:rPr>
                <w:bCs/>
              </w:rPr>
              <w:t>6</w:t>
            </w:r>
            <w:r>
              <w:rPr>
                <w:rFonts w:ascii="宋体" w:hAnsi="宋体"/>
                <w:bCs/>
              </w:rPr>
              <w:t>.</w:t>
            </w:r>
            <w:r>
              <w:rPr>
                <w:bCs/>
              </w:rPr>
              <w:t>2</w:t>
            </w:r>
            <w:r>
              <w:rPr>
                <w:rFonts w:ascii="宋体" w:hAnsi="宋体"/>
                <w:bCs/>
              </w:rPr>
              <w:t>.</w:t>
            </w:r>
            <w:r>
              <w:rPr>
                <w:bCs/>
              </w:rPr>
              <w:t>2</w:t>
            </w:r>
          </w:p>
        </w:tc>
        <w:tc>
          <w:tcPr>
            <w:tcW w:w="3164" w:type="dxa"/>
            <w:tcBorders>
              <w:top w:val="single" w:color="auto" w:sz="4" w:space="0"/>
              <w:left w:val="single" w:color="auto" w:sz="4" w:space="0"/>
              <w:bottom w:val="single" w:color="auto" w:sz="4" w:space="0"/>
              <w:right w:val="single" w:color="auto" w:sz="4" w:space="0"/>
            </w:tcBorders>
            <w:vAlign w:val="center"/>
          </w:tcPr>
          <w:p w14:paraId="7B86770D">
            <w:pPr>
              <w:spacing w:line="440" w:lineRule="exact"/>
              <w:jc w:val="center"/>
              <w:rPr>
                <w:rFonts w:ascii="宋体" w:hAnsi="宋体"/>
                <w:bCs/>
                <w:highlight w:val="none"/>
              </w:rPr>
            </w:pPr>
            <w:r>
              <w:rPr>
                <w:rFonts w:ascii="宋体" w:hAnsi="宋体"/>
                <w:bCs/>
                <w:highlight w:val="none"/>
              </w:rPr>
              <w:t>推荐候选入围供应商的数量</w:t>
            </w:r>
          </w:p>
        </w:tc>
        <w:tc>
          <w:tcPr>
            <w:tcW w:w="4887" w:type="dxa"/>
            <w:tcBorders>
              <w:top w:val="single" w:color="auto" w:sz="4" w:space="0"/>
              <w:left w:val="single" w:color="auto" w:sz="4" w:space="0"/>
              <w:bottom w:val="single" w:color="auto" w:sz="4" w:space="0"/>
              <w:right w:val="single" w:color="auto" w:sz="4" w:space="0"/>
            </w:tcBorders>
            <w:vAlign w:val="center"/>
          </w:tcPr>
          <w:p w14:paraId="03A9D3B7">
            <w:pPr>
              <w:spacing w:line="440" w:lineRule="exact"/>
              <w:rPr>
                <w:rFonts w:hint="eastAsia" w:ascii="宋体" w:hAnsi="宋体"/>
                <w:highlight w:val="none"/>
              </w:rPr>
            </w:pPr>
            <w:r>
              <w:rPr>
                <w:rFonts w:hint="eastAsia" w:ascii="宋体" w:hAnsi="宋体"/>
                <w:highlight w:val="none"/>
                <w:u w:val="none"/>
                <w:lang w:val="en-US" w:eastAsia="zh-CN"/>
              </w:rPr>
              <w:t>数量：1</w:t>
            </w:r>
            <w:r>
              <w:rPr>
                <w:rFonts w:hint="eastAsia" w:ascii="宋体" w:hAnsi="宋体"/>
                <w:highlight w:val="none"/>
                <w:u w:val="single"/>
                <w:lang w:val="en-US" w:eastAsia="zh-CN"/>
              </w:rPr>
              <w:t>-5</w:t>
            </w:r>
            <w:r>
              <w:rPr>
                <w:rFonts w:hint="eastAsia" w:ascii="宋体" w:hAnsi="宋体"/>
                <w:highlight w:val="none"/>
              </w:rPr>
              <w:t>家</w:t>
            </w:r>
          </w:p>
          <w:p w14:paraId="1A40784B">
            <w:pPr>
              <w:spacing w:line="440" w:lineRule="exact"/>
              <w:rPr>
                <w:rFonts w:hint="eastAsia" w:ascii="宋体" w:hAnsi="宋体"/>
                <w:highlight w:val="none"/>
              </w:rPr>
            </w:pPr>
            <w:r>
              <w:rPr>
                <w:rFonts w:hint="eastAsia" w:ascii="宋体" w:hAnsi="宋体"/>
                <w:b/>
                <w:bCs/>
                <w:highlight w:val="none"/>
                <w:u w:val="single"/>
              </w:rPr>
              <w:t>满足资格审查要求，且综合评分不得低于80分的供应商均推荐候选入围</w:t>
            </w:r>
            <w:r>
              <w:rPr>
                <w:rFonts w:hint="eastAsia" w:ascii="宋体" w:hAnsi="宋体"/>
                <w:b/>
                <w:bCs/>
                <w:highlight w:val="none"/>
                <w:u w:val="single"/>
                <w:lang w:eastAsia="zh-CN"/>
              </w:rPr>
              <w:t>。</w:t>
            </w:r>
          </w:p>
        </w:tc>
      </w:tr>
      <w:tr w14:paraId="749650EA">
        <w:tblPrEx>
          <w:tblCellMar>
            <w:top w:w="0" w:type="dxa"/>
            <w:left w:w="108" w:type="dxa"/>
            <w:bottom w:w="0" w:type="dxa"/>
            <w:right w:w="108" w:type="dxa"/>
          </w:tblCellMar>
        </w:tblPrEx>
        <w:trPr>
          <w:trHeight w:val="678" w:hRule="atLeast"/>
        </w:trPr>
        <w:tc>
          <w:tcPr>
            <w:tcW w:w="1271" w:type="dxa"/>
            <w:tcBorders>
              <w:top w:val="single" w:color="auto" w:sz="4" w:space="0"/>
              <w:left w:val="single" w:color="auto" w:sz="4" w:space="0"/>
              <w:bottom w:val="single" w:color="auto" w:sz="4" w:space="0"/>
              <w:right w:val="single" w:color="auto" w:sz="4" w:space="0"/>
            </w:tcBorders>
            <w:vAlign w:val="center"/>
          </w:tcPr>
          <w:p w14:paraId="0A6CAFD6">
            <w:pPr>
              <w:spacing w:line="440" w:lineRule="exact"/>
              <w:jc w:val="center"/>
              <w:rPr>
                <w:rFonts w:ascii="宋体" w:hAnsi="宋体"/>
                <w:bCs/>
              </w:rPr>
            </w:pPr>
            <w:r>
              <w:rPr>
                <w:bCs/>
              </w:rPr>
              <w:t>7</w:t>
            </w:r>
            <w:r>
              <w:rPr>
                <w:rFonts w:ascii="宋体" w:hAnsi="宋体"/>
                <w:bCs/>
              </w:rPr>
              <w:t>.</w:t>
            </w:r>
            <w:r>
              <w:rPr>
                <w:bCs/>
              </w:rPr>
              <w:t>2</w:t>
            </w:r>
          </w:p>
        </w:tc>
        <w:tc>
          <w:tcPr>
            <w:tcW w:w="3164" w:type="dxa"/>
            <w:tcBorders>
              <w:top w:val="single" w:color="auto" w:sz="4" w:space="0"/>
              <w:left w:val="single" w:color="auto" w:sz="4" w:space="0"/>
              <w:bottom w:val="single" w:color="auto" w:sz="4" w:space="0"/>
              <w:right w:val="single" w:color="auto" w:sz="4" w:space="0"/>
            </w:tcBorders>
            <w:vAlign w:val="center"/>
          </w:tcPr>
          <w:p w14:paraId="1734B38E">
            <w:pPr>
              <w:spacing w:line="440" w:lineRule="exact"/>
              <w:jc w:val="center"/>
              <w:rPr>
                <w:rFonts w:ascii="宋体" w:hAnsi="宋体"/>
                <w:bCs/>
              </w:rPr>
            </w:pPr>
            <w:r>
              <w:rPr>
                <w:rFonts w:ascii="宋体" w:hAnsi="宋体"/>
                <w:bCs/>
              </w:rPr>
              <w:t>候选入围供应商公示</w:t>
            </w:r>
          </w:p>
        </w:tc>
        <w:tc>
          <w:tcPr>
            <w:tcW w:w="4887" w:type="dxa"/>
            <w:tcBorders>
              <w:top w:val="single" w:color="auto" w:sz="4" w:space="0"/>
              <w:left w:val="single" w:color="auto" w:sz="4" w:space="0"/>
              <w:bottom w:val="single" w:color="auto" w:sz="4" w:space="0"/>
              <w:right w:val="single" w:color="auto" w:sz="4" w:space="0"/>
            </w:tcBorders>
            <w:vAlign w:val="center"/>
          </w:tcPr>
          <w:p w14:paraId="1064653D">
            <w:pPr>
              <w:spacing w:line="440" w:lineRule="exact"/>
              <w:rPr>
                <w:rFonts w:ascii="宋体" w:hAnsi="宋体"/>
              </w:rPr>
            </w:pPr>
            <w:r>
              <w:rPr>
                <w:rFonts w:ascii="宋体" w:hAnsi="宋体"/>
              </w:rPr>
              <w:t>公示期限：</w:t>
            </w:r>
            <w:r>
              <w:rPr>
                <w:rFonts w:ascii="宋体" w:hAnsi="宋体"/>
                <w:u w:val="single"/>
              </w:rPr>
              <w:t xml:space="preserve"> </w:t>
            </w:r>
            <w:r>
              <w:rPr>
                <w:rFonts w:hint="eastAsia" w:ascii="宋体" w:hAnsi="宋体"/>
                <w:u w:val="single"/>
              </w:rPr>
              <w:t>3</w:t>
            </w:r>
            <w:r>
              <w:rPr>
                <w:rFonts w:ascii="宋体" w:hAnsi="宋体"/>
                <w:u w:val="single"/>
              </w:rPr>
              <w:t xml:space="preserve"> </w:t>
            </w:r>
            <w:r>
              <w:rPr>
                <w:rFonts w:ascii="宋体" w:hAnsi="宋体"/>
              </w:rPr>
              <w:t>日</w:t>
            </w:r>
          </w:p>
          <w:p w14:paraId="7085651B">
            <w:pPr>
              <w:spacing w:line="440" w:lineRule="exact"/>
              <w:rPr>
                <w:rFonts w:ascii="宋体" w:hAnsi="宋体"/>
              </w:rPr>
            </w:pPr>
            <w:r>
              <w:rPr>
                <w:rFonts w:ascii="宋体" w:hAnsi="宋体"/>
              </w:rPr>
              <w:t>公示内容：候选入围供应商名称</w:t>
            </w:r>
          </w:p>
          <w:p w14:paraId="64555361">
            <w:pPr>
              <w:spacing w:line="440" w:lineRule="exact"/>
              <w:rPr>
                <w:rFonts w:ascii="宋体" w:hAnsi="宋体"/>
              </w:rPr>
            </w:pPr>
            <w:r>
              <w:rPr>
                <w:rFonts w:ascii="宋体" w:hAnsi="宋体"/>
                <w:bCs/>
              </w:rPr>
              <w:sym w:font="Wingdings 2" w:char="00A3"/>
            </w:r>
            <w:r>
              <w:rPr>
                <w:rFonts w:ascii="宋体" w:hAnsi="宋体"/>
              </w:rPr>
              <w:t>响应价格</w:t>
            </w:r>
          </w:p>
          <w:p w14:paraId="56FDC366">
            <w:pPr>
              <w:spacing w:line="440" w:lineRule="exact"/>
              <w:rPr>
                <w:rFonts w:ascii="宋体" w:hAnsi="宋体"/>
              </w:rPr>
            </w:pPr>
            <w:r>
              <w:rPr>
                <w:rFonts w:ascii="宋体" w:hAnsi="宋体"/>
                <w:bCs/>
              </w:rPr>
              <w:sym w:font="Wingdings 2" w:char="00A3"/>
            </w:r>
            <w:r>
              <w:t>A</w:t>
            </w:r>
            <w:r>
              <w:rPr>
                <w:rFonts w:ascii="宋体" w:hAnsi="宋体"/>
              </w:rPr>
              <w:t>工期/</w:t>
            </w:r>
            <w:r>
              <w:rPr>
                <w:rFonts w:ascii="宋体" w:hAnsi="宋体"/>
                <w:bCs/>
              </w:rPr>
              <w:sym w:font="Wingdings 2" w:char="00A3"/>
            </w:r>
            <w:r>
              <w:t>B</w:t>
            </w:r>
            <w:r>
              <w:rPr>
                <w:rFonts w:ascii="宋体" w:hAnsi="宋体"/>
              </w:rPr>
              <w:t>交货期/</w:t>
            </w:r>
            <w:r>
              <w:rPr>
                <w:rFonts w:ascii="宋体" w:hAnsi="宋体"/>
                <w:bCs/>
              </w:rPr>
              <w:sym w:font="Wingdings 2" w:char="0052"/>
            </w:r>
            <w:r>
              <w:t>C</w:t>
            </w:r>
            <w:r>
              <w:rPr>
                <w:rFonts w:ascii="宋体" w:hAnsi="宋体"/>
              </w:rPr>
              <w:t>服务期限</w:t>
            </w:r>
          </w:p>
          <w:p w14:paraId="7355F5E1">
            <w:pPr>
              <w:spacing w:line="440" w:lineRule="exact"/>
              <w:rPr>
                <w:rFonts w:ascii="宋体" w:hAnsi="宋体"/>
              </w:rPr>
            </w:pPr>
            <w:r>
              <w:rPr>
                <w:rFonts w:ascii="宋体" w:hAnsi="宋体"/>
                <w:bCs/>
              </w:rPr>
              <w:sym w:font="Wingdings 2" w:char="0052"/>
            </w:r>
            <w:r>
              <w:rPr>
                <w:rFonts w:ascii="宋体" w:hAnsi="宋体"/>
              </w:rPr>
              <w:t>供应商排名</w:t>
            </w:r>
          </w:p>
          <w:p w14:paraId="223EF033">
            <w:pPr>
              <w:spacing w:line="440" w:lineRule="exact"/>
              <w:rPr>
                <w:rFonts w:ascii="宋体" w:hAnsi="宋体"/>
              </w:rPr>
            </w:pPr>
            <w:r>
              <w:rPr>
                <w:rFonts w:ascii="宋体" w:hAnsi="宋体"/>
                <w:bCs/>
              </w:rPr>
              <w:sym w:font="Wingdings 2" w:char="00A3"/>
            </w:r>
            <w:r>
              <w:rPr>
                <w:rFonts w:ascii="宋体" w:hAnsi="宋体"/>
              </w:rPr>
              <w:t>供应商综合得分</w:t>
            </w:r>
          </w:p>
          <w:p w14:paraId="63AFD106">
            <w:pPr>
              <w:spacing w:line="440" w:lineRule="exact"/>
              <w:rPr>
                <w:rFonts w:ascii="宋体" w:hAnsi="宋体"/>
              </w:rPr>
            </w:pPr>
            <w:r>
              <w:rPr>
                <w:rFonts w:ascii="宋体" w:hAnsi="宋体"/>
                <w:bCs/>
              </w:rPr>
              <w:sym w:font="Wingdings 2" w:char="0052"/>
            </w:r>
            <w:r>
              <w:rPr>
                <w:rFonts w:ascii="宋体" w:hAnsi="宋体"/>
              </w:rPr>
              <w:t>提出异议渠道和方式</w:t>
            </w:r>
          </w:p>
          <w:p w14:paraId="3BF89B9A">
            <w:pPr>
              <w:spacing w:line="440" w:lineRule="exact"/>
              <w:rPr>
                <w:rFonts w:ascii="宋体" w:hAnsi="宋体"/>
              </w:rPr>
            </w:pPr>
            <w:r>
              <w:rPr>
                <w:rFonts w:ascii="宋体" w:hAnsi="宋体"/>
                <w:bCs/>
              </w:rPr>
              <w:sym w:font="Wingdings 2" w:char="00A3"/>
            </w:r>
            <w:r>
              <w:rPr>
                <w:rFonts w:ascii="宋体" w:hAnsi="宋体"/>
              </w:rPr>
              <w:t>其他内容：</w:t>
            </w:r>
            <w:r>
              <w:rPr>
                <w:rFonts w:ascii="宋体" w:hAnsi="宋体"/>
                <w:u w:val="single"/>
              </w:rPr>
              <w:t xml:space="preserve">            </w:t>
            </w:r>
          </w:p>
        </w:tc>
      </w:tr>
      <w:tr w14:paraId="0BF54A48">
        <w:tblPrEx>
          <w:tblCellMar>
            <w:top w:w="0" w:type="dxa"/>
            <w:left w:w="108" w:type="dxa"/>
            <w:bottom w:w="0" w:type="dxa"/>
            <w:right w:w="108" w:type="dxa"/>
          </w:tblCellMar>
        </w:tblPrEx>
        <w:trPr>
          <w:trHeight w:val="678" w:hRule="atLeast"/>
        </w:trPr>
        <w:tc>
          <w:tcPr>
            <w:tcW w:w="1271" w:type="dxa"/>
            <w:tcBorders>
              <w:top w:val="single" w:color="auto" w:sz="4" w:space="0"/>
              <w:left w:val="single" w:color="auto" w:sz="4" w:space="0"/>
              <w:bottom w:val="single" w:color="auto" w:sz="4" w:space="0"/>
              <w:right w:val="single" w:color="auto" w:sz="4" w:space="0"/>
            </w:tcBorders>
            <w:vAlign w:val="center"/>
          </w:tcPr>
          <w:p w14:paraId="5367A828">
            <w:pPr>
              <w:spacing w:line="440" w:lineRule="exact"/>
              <w:jc w:val="center"/>
              <w:rPr>
                <w:rFonts w:ascii="宋体" w:hAnsi="宋体"/>
                <w:bCs/>
              </w:rPr>
            </w:pPr>
            <w:r>
              <w:rPr>
                <w:bCs/>
              </w:rPr>
              <w:t>7</w:t>
            </w:r>
            <w:r>
              <w:rPr>
                <w:rFonts w:ascii="宋体" w:hAnsi="宋体"/>
                <w:bCs/>
              </w:rPr>
              <w:t>.</w:t>
            </w:r>
            <w:r>
              <w:rPr>
                <w:bCs/>
              </w:rPr>
              <w:t>3</w:t>
            </w:r>
          </w:p>
        </w:tc>
        <w:tc>
          <w:tcPr>
            <w:tcW w:w="3164" w:type="dxa"/>
            <w:tcBorders>
              <w:top w:val="single" w:color="auto" w:sz="4" w:space="0"/>
              <w:left w:val="single" w:color="auto" w:sz="4" w:space="0"/>
              <w:bottom w:val="single" w:color="auto" w:sz="4" w:space="0"/>
              <w:right w:val="single" w:color="auto" w:sz="4" w:space="0"/>
            </w:tcBorders>
            <w:vAlign w:val="center"/>
          </w:tcPr>
          <w:p w14:paraId="189CC37A">
            <w:pPr>
              <w:spacing w:line="440" w:lineRule="exact"/>
              <w:jc w:val="center"/>
              <w:rPr>
                <w:rFonts w:ascii="宋体" w:hAnsi="宋体"/>
                <w:bCs/>
              </w:rPr>
            </w:pPr>
            <w:r>
              <w:rPr>
                <w:rFonts w:ascii="宋体" w:hAnsi="宋体"/>
                <w:bCs/>
              </w:rPr>
              <w:t>定标</w:t>
            </w:r>
          </w:p>
        </w:tc>
        <w:tc>
          <w:tcPr>
            <w:tcW w:w="4887" w:type="dxa"/>
            <w:tcBorders>
              <w:top w:val="single" w:color="auto" w:sz="4" w:space="0"/>
              <w:left w:val="single" w:color="auto" w:sz="4" w:space="0"/>
              <w:bottom w:val="single" w:color="auto" w:sz="4" w:space="0"/>
              <w:right w:val="single" w:color="auto" w:sz="4" w:space="0"/>
            </w:tcBorders>
            <w:vAlign w:val="center"/>
          </w:tcPr>
          <w:p w14:paraId="21E680F5">
            <w:pPr>
              <w:spacing w:line="440" w:lineRule="exact"/>
              <w:rPr>
                <w:rFonts w:ascii="宋体" w:hAnsi="宋体"/>
                <w:bCs/>
              </w:rPr>
            </w:pPr>
            <w:r>
              <w:rPr>
                <w:rFonts w:ascii="宋体" w:hAnsi="宋体"/>
                <w:bCs/>
              </w:rPr>
              <w:t>是否授权评审小组确定入围供应商</w:t>
            </w:r>
          </w:p>
          <w:p w14:paraId="302BA334">
            <w:pPr>
              <w:spacing w:line="440" w:lineRule="exact"/>
              <w:rPr>
                <w:rFonts w:ascii="宋体" w:hAnsi="宋体"/>
                <w:bCs/>
              </w:rPr>
            </w:pPr>
            <w:r>
              <w:rPr>
                <w:rFonts w:ascii="宋体" w:hAnsi="宋体"/>
                <w:bCs/>
              </w:rPr>
              <w:sym w:font="Wingdings 2" w:char="00A3"/>
            </w:r>
            <w:r>
              <w:rPr>
                <w:rFonts w:ascii="宋体" w:hAnsi="宋体"/>
                <w:bCs/>
              </w:rPr>
              <w:t>是</w:t>
            </w:r>
          </w:p>
          <w:p w14:paraId="2FDF981D">
            <w:pPr>
              <w:spacing w:line="440" w:lineRule="exact"/>
              <w:rPr>
                <w:rFonts w:ascii="宋体" w:hAnsi="宋体"/>
                <w:bCs/>
              </w:rPr>
            </w:pPr>
            <w:r>
              <w:rPr>
                <w:rFonts w:ascii="宋体" w:hAnsi="宋体"/>
                <w:bCs/>
              </w:rPr>
              <w:sym w:font="Wingdings 2" w:char="0052"/>
            </w:r>
            <w:r>
              <w:rPr>
                <w:rFonts w:ascii="宋体" w:hAnsi="宋体"/>
                <w:bCs/>
              </w:rPr>
              <w:t>否</w:t>
            </w:r>
          </w:p>
          <w:p w14:paraId="2D7777EB">
            <w:pPr>
              <w:spacing w:line="440" w:lineRule="exact"/>
              <w:rPr>
                <w:rFonts w:ascii="宋体" w:hAnsi="宋体"/>
                <w:bCs/>
              </w:rPr>
            </w:pPr>
            <w:r>
              <w:rPr>
                <w:rFonts w:ascii="宋体" w:hAnsi="宋体"/>
                <w:bCs/>
              </w:rPr>
              <w:t>定标原则：采购人根据评审小组推荐的有排序的候选入围供应商情况，确定候选入围供应商为成交供应商。候选入围供应商发生如下情形导致不符合成交条件的，采购人可以按照评审小组提出的供应商名单排序依次确定其他供应商为成交供应商或重新采购：</w:t>
            </w:r>
          </w:p>
          <w:p w14:paraId="6183ADE1">
            <w:pPr>
              <w:spacing w:line="440" w:lineRule="exact"/>
              <w:rPr>
                <w:rFonts w:ascii="宋体" w:hAnsi="宋体"/>
                <w:bCs/>
              </w:rPr>
            </w:pPr>
            <w:r>
              <w:rPr>
                <w:rFonts w:ascii="宋体" w:hAnsi="宋体"/>
                <w:bCs/>
              </w:rPr>
              <w:t>（</w:t>
            </w:r>
            <w:r>
              <w:rPr>
                <w:bCs/>
              </w:rPr>
              <w:t>1</w:t>
            </w:r>
            <w:r>
              <w:rPr>
                <w:rFonts w:ascii="宋体" w:hAnsi="宋体"/>
                <w:bCs/>
              </w:rPr>
              <w:t>）放弃成交的；</w:t>
            </w:r>
          </w:p>
          <w:p w14:paraId="670117AE">
            <w:pPr>
              <w:spacing w:line="440" w:lineRule="exact"/>
              <w:rPr>
                <w:rFonts w:ascii="宋体" w:hAnsi="宋体"/>
                <w:bCs/>
              </w:rPr>
            </w:pPr>
            <w:r>
              <w:rPr>
                <w:rFonts w:ascii="宋体" w:hAnsi="宋体"/>
                <w:bCs/>
              </w:rPr>
              <w:t>（</w:t>
            </w:r>
            <w:r>
              <w:rPr>
                <w:bCs/>
              </w:rPr>
              <w:t>2</w:t>
            </w:r>
            <w:r>
              <w:rPr>
                <w:rFonts w:ascii="宋体" w:hAnsi="宋体"/>
                <w:bCs/>
              </w:rPr>
              <w:t xml:space="preserve">）采购文件规定应当提交履约担保而在规定的期限内未能提交的； </w:t>
            </w:r>
          </w:p>
          <w:p w14:paraId="355EFB60">
            <w:pPr>
              <w:spacing w:line="440" w:lineRule="exact"/>
              <w:rPr>
                <w:rFonts w:ascii="宋体" w:hAnsi="宋体"/>
                <w:bCs/>
              </w:rPr>
            </w:pPr>
            <w:r>
              <w:rPr>
                <w:rFonts w:ascii="宋体" w:hAnsi="宋体"/>
                <w:bCs/>
              </w:rPr>
              <w:t>（</w:t>
            </w:r>
            <w:r>
              <w:rPr>
                <w:bCs/>
              </w:rPr>
              <w:t>3</w:t>
            </w:r>
            <w:r>
              <w:rPr>
                <w:rFonts w:ascii="宋体" w:hAnsi="宋体"/>
                <w:bCs/>
              </w:rPr>
              <w:t xml:space="preserve">）因不可抗力提出不能履行合同的； </w:t>
            </w:r>
          </w:p>
          <w:p w14:paraId="10F7B756">
            <w:pPr>
              <w:spacing w:line="440" w:lineRule="exact"/>
              <w:rPr>
                <w:rFonts w:ascii="宋体" w:hAnsi="宋体"/>
                <w:bCs/>
              </w:rPr>
            </w:pPr>
            <w:r>
              <w:rPr>
                <w:rFonts w:ascii="宋体" w:hAnsi="宋体"/>
                <w:bCs/>
              </w:rPr>
              <w:t>（</w:t>
            </w:r>
            <w:r>
              <w:rPr>
                <w:bCs/>
              </w:rPr>
              <w:t>4</w:t>
            </w:r>
            <w:r>
              <w:rPr>
                <w:rFonts w:ascii="宋体" w:hAnsi="宋体"/>
                <w:bCs/>
              </w:rPr>
              <w:t xml:space="preserve">）被查实存在影响成交结果的违法行为等情形的； </w:t>
            </w:r>
          </w:p>
          <w:p w14:paraId="092BE71A">
            <w:pPr>
              <w:spacing w:line="440" w:lineRule="exact"/>
              <w:rPr>
                <w:rFonts w:ascii="宋体" w:hAnsi="宋体"/>
                <w:bCs/>
              </w:rPr>
            </w:pPr>
            <w:r>
              <w:rPr>
                <w:rFonts w:ascii="宋体" w:hAnsi="宋体"/>
                <w:bCs/>
              </w:rPr>
              <w:t>（</w:t>
            </w:r>
            <w:r>
              <w:rPr>
                <w:bCs/>
              </w:rPr>
              <w:t>5</w:t>
            </w:r>
            <w:r>
              <w:rPr>
                <w:rFonts w:ascii="宋体" w:hAnsi="宋体"/>
                <w:bCs/>
              </w:rPr>
              <w:t xml:space="preserve">）不符合成交条件的； </w:t>
            </w:r>
          </w:p>
          <w:p w14:paraId="78A81BCC">
            <w:pPr>
              <w:spacing w:line="440" w:lineRule="exact"/>
              <w:rPr>
                <w:rFonts w:ascii="宋体" w:hAnsi="宋体"/>
              </w:rPr>
            </w:pPr>
            <w:r>
              <w:rPr>
                <w:rFonts w:ascii="宋体" w:hAnsi="宋体"/>
                <w:bCs/>
              </w:rPr>
              <w:t>（</w:t>
            </w:r>
            <w:r>
              <w:rPr>
                <w:bCs/>
              </w:rPr>
              <w:t>6</w:t>
            </w:r>
            <w:r>
              <w:rPr>
                <w:rFonts w:ascii="宋体" w:hAnsi="宋体"/>
                <w:bCs/>
              </w:rPr>
              <w:t>）拟派项目负责人不能履约的。</w:t>
            </w:r>
          </w:p>
        </w:tc>
      </w:tr>
      <w:tr w14:paraId="58179185">
        <w:tblPrEx>
          <w:tblCellMar>
            <w:top w:w="0" w:type="dxa"/>
            <w:left w:w="108" w:type="dxa"/>
            <w:bottom w:w="0" w:type="dxa"/>
            <w:right w:w="108" w:type="dxa"/>
          </w:tblCellMar>
        </w:tblPrEx>
        <w:trPr>
          <w:trHeight w:val="880" w:hRule="atLeast"/>
        </w:trPr>
        <w:tc>
          <w:tcPr>
            <w:tcW w:w="1271" w:type="dxa"/>
            <w:tcBorders>
              <w:top w:val="single" w:color="auto" w:sz="4" w:space="0"/>
              <w:left w:val="single" w:color="auto" w:sz="4" w:space="0"/>
              <w:bottom w:val="single" w:color="auto" w:sz="4" w:space="0"/>
              <w:right w:val="single" w:color="auto" w:sz="4" w:space="0"/>
            </w:tcBorders>
            <w:vAlign w:val="center"/>
          </w:tcPr>
          <w:p w14:paraId="501C7D2E">
            <w:pPr>
              <w:spacing w:line="440" w:lineRule="exact"/>
              <w:jc w:val="center"/>
              <w:rPr>
                <w:rFonts w:ascii="宋体" w:hAnsi="宋体"/>
                <w:bCs/>
              </w:rPr>
            </w:pPr>
            <w:r>
              <w:rPr>
                <w:bCs/>
              </w:rPr>
              <w:t>7</w:t>
            </w:r>
            <w:r>
              <w:rPr>
                <w:rFonts w:ascii="宋体" w:hAnsi="宋体"/>
                <w:bCs/>
              </w:rPr>
              <w:t>.</w:t>
            </w:r>
            <w:r>
              <w:rPr>
                <w:bCs/>
              </w:rPr>
              <w:t>5</w:t>
            </w:r>
          </w:p>
        </w:tc>
        <w:tc>
          <w:tcPr>
            <w:tcW w:w="3164" w:type="dxa"/>
            <w:tcBorders>
              <w:top w:val="single" w:color="auto" w:sz="4" w:space="0"/>
              <w:left w:val="single" w:color="auto" w:sz="4" w:space="0"/>
              <w:bottom w:val="single" w:color="auto" w:sz="4" w:space="0"/>
              <w:right w:val="single" w:color="auto" w:sz="4" w:space="0"/>
            </w:tcBorders>
            <w:vAlign w:val="center"/>
          </w:tcPr>
          <w:p w14:paraId="60CD69BC">
            <w:pPr>
              <w:spacing w:line="440" w:lineRule="exact"/>
              <w:jc w:val="center"/>
              <w:rPr>
                <w:rFonts w:ascii="宋体" w:hAnsi="宋体"/>
                <w:bCs/>
              </w:rPr>
            </w:pPr>
            <w:r>
              <w:rPr>
                <w:rFonts w:ascii="宋体" w:hAnsi="宋体"/>
                <w:bCs/>
              </w:rPr>
              <w:t>入围供应商公告</w:t>
            </w:r>
          </w:p>
        </w:tc>
        <w:tc>
          <w:tcPr>
            <w:tcW w:w="4887" w:type="dxa"/>
            <w:tcBorders>
              <w:top w:val="single" w:color="auto" w:sz="4" w:space="0"/>
              <w:left w:val="single" w:color="auto" w:sz="4" w:space="0"/>
              <w:bottom w:val="single" w:color="auto" w:sz="4" w:space="0"/>
              <w:right w:val="single" w:color="auto" w:sz="4" w:space="0"/>
            </w:tcBorders>
            <w:vAlign w:val="center"/>
          </w:tcPr>
          <w:p w14:paraId="528D8373">
            <w:pPr>
              <w:spacing w:line="440" w:lineRule="exact"/>
              <w:rPr>
                <w:rFonts w:ascii="宋体" w:hAnsi="宋体"/>
              </w:rPr>
            </w:pPr>
            <w:r>
              <w:rPr>
                <w:rFonts w:ascii="宋体" w:hAnsi="宋体"/>
              </w:rPr>
              <w:t>公告内容：入围供应商名称</w:t>
            </w:r>
          </w:p>
        </w:tc>
      </w:tr>
      <w:tr w14:paraId="5374DE6E">
        <w:tblPrEx>
          <w:tblCellMar>
            <w:top w:w="0" w:type="dxa"/>
            <w:left w:w="108" w:type="dxa"/>
            <w:bottom w:w="0" w:type="dxa"/>
            <w:right w:w="108" w:type="dxa"/>
          </w:tblCellMar>
        </w:tblPrEx>
        <w:trPr>
          <w:trHeight w:val="880" w:hRule="atLeast"/>
        </w:trPr>
        <w:tc>
          <w:tcPr>
            <w:tcW w:w="1271" w:type="dxa"/>
            <w:tcBorders>
              <w:top w:val="single" w:color="auto" w:sz="4" w:space="0"/>
              <w:left w:val="single" w:color="auto" w:sz="4" w:space="0"/>
              <w:bottom w:val="single" w:color="auto" w:sz="4" w:space="0"/>
              <w:right w:val="single" w:color="auto" w:sz="4" w:space="0"/>
            </w:tcBorders>
            <w:vAlign w:val="center"/>
          </w:tcPr>
          <w:p w14:paraId="5429D323">
            <w:pPr>
              <w:spacing w:line="440" w:lineRule="exact"/>
              <w:jc w:val="center"/>
              <w:rPr>
                <w:rFonts w:ascii="宋体" w:hAnsi="宋体"/>
                <w:bCs/>
              </w:rPr>
            </w:pPr>
            <w:r>
              <w:rPr>
                <w:bCs/>
              </w:rPr>
              <w:t>7</w:t>
            </w:r>
            <w:r>
              <w:rPr>
                <w:rFonts w:ascii="宋体" w:hAnsi="宋体"/>
                <w:bCs/>
              </w:rPr>
              <w:t>.</w:t>
            </w:r>
            <w:r>
              <w:rPr>
                <w:bCs/>
              </w:rPr>
              <w:t>7</w:t>
            </w:r>
          </w:p>
        </w:tc>
        <w:tc>
          <w:tcPr>
            <w:tcW w:w="3164" w:type="dxa"/>
            <w:tcBorders>
              <w:top w:val="single" w:color="auto" w:sz="4" w:space="0"/>
              <w:left w:val="single" w:color="auto" w:sz="4" w:space="0"/>
              <w:bottom w:val="single" w:color="auto" w:sz="4" w:space="0"/>
              <w:right w:val="single" w:color="auto" w:sz="4" w:space="0"/>
            </w:tcBorders>
            <w:vAlign w:val="center"/>
          </w:tcPr>
          <w:p w14:paraId="0C25A4DD">
            <w:pPr>
              <w:spacing w:line="440" w:lineRule="exact"/>
              <w:jc w:val="center"/>
              <w:rPr>
                <w:rFonts w:ascii="宋体" w:hAnsi="宋体"/>
                <w:bCs/>
              </w:rPr>
            </w:pPr>
            <w:r>
              <w:rPr>
                <w:rFonts w:ascii="宋体" w:hAnsi="宋体"/>
                <w:bCs/>
                <w:szCs w:val="21"/>
              </w:rPr>
              <w:t>履约保证金</w:t>
            </w:r>
          </w:p>
        </w:tc>
        <w:tc>
          <w:tcPr>
            <w:tcW w:w="4887" w:type="dxa"/>
            <w:tcBorders>
              <w:top w:val="single" w:color="auto" w:sz="4" w:space="0"/>
              <w:left w:val="single" w:color="auto" w:sz="4" w:space="0"/>
              <w:bottom w:val="single" w:color="auto" w:sz="4" w:space="0"/>
              <w:right w:val="single" w:color="auto" w:sz="4" w:space="0"/>
            </w:tcBorders>
            <w:vAlign w:val="center"/>
          </w:tcPr>
          <w:p w14:paraId="73963A92">
            <w:pPr>
              <w:spacing w:line="440" w:lineRule="exact"/>
              <w:rPr>
                <w:rFonts w:ascii="宋体" w:hAnsi="宋体"/>
                <w:bCs/>
              </w:rPr>
            </w:pPr>
            <w:r>
              <w:rPr>
                <w:rFonts w:ascii="宋体" w:hAnsi="宋体"/>
                <w:bCs/>
              </w:rPr>
              <w:sym w:font="Wingdings 2" w:char="0052"/>
            </w:r>
            <w:r>
              <w:rPr>
                <w:rFonts w:ascii="宋体" w:hAnsi="宋体"/>
                <w:bCs/>
              </w:rPr>
              <w:t>不要求递交</w:t>
            </w:r>
          </w:p>
          <w:p w14:paraId="177D16CB">
            <w:pPr>
              <w:spacing w:line="440" w:lineRule="exact"/>
              <w:rPr>
                <w:rFonts w:ascii="宋体" w:hAnsi="宋体"/>
                <w:bCs/>
              </w:rPr>
            </w:pPr>
            <w:r>
              <w:rPr>
                <w:rFonts w:ascii="宋体" w:hAnsi="宋体"/>
                <w:bCs/>
              </w:rPr>
              <w:sym w:font="Wingdings 2" w:char="00A3"/>
            </w:r>
            <w:r>
              <w:rPr>
                <w:rFonts w:ascii="宋体" w:hAnsi="宋体"/>
                <w:bCs/>
              </w:rPr>
              <w:t>要求递交</w:t>
            </w:r>
          </w:p>
          <w:p w14:paraId="022163D4">
            <w:pPr>
              <w:spacing w:line="440" w:lineRule="exact"/>
              <w:ind w:firstLine="214" w:firstLineChars="102"/>
              <w:rPr>
                <w:rFonts w:ascii="宋体" w:hAnsi="宋体"/>
                <w:bCs/>
              </w:rPr>
            </w:pPr>
            <w:r>
              <w:rPr>
                <w:rFonts w:ascii="宋体" w:hAnsi="宋体"/>
                <w:bCs/>
              </w:rPr>
              <w:t>履约保证金金额：</w:t>
            </w:r>
          </w:p>
          <w:p w14:paraId="08F24B72">
            <w:pPr>
              <w:spacing w:line="440" w:lineRule="exact"/>
              <w:ind w:firstLine="214" w:firstLineChars="102"/>
              <w:rPr>
                <w:rFonts w:ascii="宋体" w:hAnsi="宋体"/>
                <w:b/>
              </w:rPr>
            </w:pPr>
            <w:r>
              <w:rPr>
                <w:rFonts w:ascii="宋体" w:hAnsi="宋体"/>
                <w:bCs/>
                <w:szCs w:val="21"/>
              </w:rPr>
              <w:t>履约保证金</w:t>
            </w:r>
            <w:r>
              <w:rPr>
                <w:rFonts w:ascii="宋体" w:hAnsi="宋体"/>
                <w:bCs/>
              </w:rPr>
              <w:t>形式：</w:t>
            </w:r>
          </w:p>
          <w:p w14:paraId="61B5BF18">
            <w:pPr>
              <w:spacing w:line="440" w:lineRule="exact"/>
              <w:ind w:firstLine="214" w:firstLineChars="102"/>
              <w:rPr>
                <w:rFonts w:ascii="宋体" w:hAnsi="宋体"/>
                <w:bCs/>
              </w:rPr>
            </w:pPr>
            <w:r>
              <w:rPr>
                <w:rFonts w:ascii="宋体" w:hAnsi="宋体"/>
                <w:bCs/>
                <w:szCs w:val="21"/>
              </w:rPr>
              <w:t>履约保证金</w:t>
            </w:r>
            <w:r>
              <w:rPr>
                <w:rFonts w:ascii="宋体" w:hAnsi="宋体"/>
                <w:bCs/>
              </w:rPr>
              <w:t>有效期限：</w:t>
            </w:r>
          </w:p>
          <w:p w14:paraId="7536A556">
            <w:pPr>
              <w:spacing w:line="440" w:lineRule="exact"/>
              <w:ind w:firstLine="214" w:firstLineChars="102"/>
              <w:rPr>
                <w:rFonts w:ascii="宋体" w:hAnsi="宋体"/>
                <w:bCs/>
              </w:rPr>
            </w:pPr>
            <w:r>
              <w:rPr>
                <w:rFonts w:ascii="宋体" w:hAnsi="宋体"/>
                <w:bCs/>
              </w:rPr>
              <w:t>递交时间：</w:t>
            </w:r>
          </w:p>
          <w:p w14:paraId="1B1FF9C5">
            <w:pPr>
              <w:spacing w:line="440" w:lineRule="exact"/>
              <w:ind w:firstLine="214" w:firstLineChars="102"/>
              <w:rPr>
                <w:rFonts w:ascii="宋体" w:hAnsi="宋体"/>
                <w:bCs/>
              </w:rPr>
            </w:pPr>
            <w:r>
              <w:rPr>
                <w:rFonts w:ascii="宋体" w:hAnsi="宋体"/>
                <w:bCs/>
              </w:rPr>
              <w:t>其他要求：</w:t>
            </w:r>
          </w:p>
        </w:tc>
      </w:tr>
      <w:tr w14:paraId="0815F5A3">
        <w:tblPrEx>
          <w:tblCellMar>
            <w:top w:w="0" w:type="dxa"/>
            <w:left w:w="108" w:type="dxa"/>
            <w:bottom w:w="0" w:type="dxa"/>
            <w:right w:w="108" w:type="dxa"/>
          </w:tblCellMar>
        </w:tblPrEx>
        <w:trPr>
          <w:trHeight w:val="658" w:hRule="atLeast"/>
        </w:trPr>
        <w:tc>
          <w:tcPr>
            <w:tcW w:w="1271" w:type="dxa"/>
            <w:tcBorders>
              <w:top w:val="single" w:color="auto" w:sz="4" w:space="0"/>
              <w:left w:val="single" w:color="auto" w:sz="4" w:space="0"/>
              <w:bottom w:val="single" w:color="auto" w:sz="4" w:space="0"/>
              <w:right w:val="single" w:color="auto" w:sz="4" w:space="0"/>
            </w:tcBorders>
            <w:vAlign w:val="center"/>
          </w:tcPr>
          <w:p w14:paraId="3D74E1B5">
            <w:pPr>
              <w:spacing w:line="440" w:lineRule="exact"/>
              <w:jc w:val="center"/>
              <w:rPr>
                <w:rFonts w:ascii="宋体" w:hAnsi="宋体"/>
                <w:bCs/>
                <w:szCs w:val="21"/>
              </w:rPr>
            </w:pPr>
            <w:r>
              <w:rPr>
                <w:bCs/>
                <w:szCs w:val="21"/>
              </w:rPr>
              <w:t>8</w:t>
            </w:r>
            <w:r>
              <w:rPr>
                <w:rFonts w:ascii="宋体" w:hAnsi="宋体"/>
                <w:bCs/>
                <w:szCs w:val="21"/>
              </w:rPr>
              <w:t>.</w:t>
            </w:r>
            <w:r>
              <w:rPr>
                <w:bCs/>
                <w:szCs w:val="21"/>
              </w:rPr>
              <w:t>1</w:t>
            </w:r>
            <w:r>
              <w:rPr>
                <w:rFonts w:ascii="宋体" w:hAnsi="宋体"/>
                <w:bCs/>
                <w:szCs w:val="21"/>
              </w:rPr>
              <w:t>（</w:t>
            </w:r>
            <w:r>
              <w:rPr>
                <w:bCs/>
                <w:szCs w:val="21"/>
              </w:rPr>
              <w:t>1</w:t>
            </w:r>
            <w:r>
              <w:rPr>
                <w:rFonts w:ascii="宋体" w:hAnsi="宋体"/>
                <w:bCs/>
                <w:szCs w:val="21"/>
              </w:rPr>
              <w:t>）</w:t>
            </w:r>
          </w:p>
        </w:tc>
        <w:tc>
          <w:tcPr>
            <w:tcW w:w="3164" w:type="dxa"/>
            <w:tcBorders>
              <w:top w:val="single" w:color="auto" w:sz="4" w:space="0"/>
              <w:left w:val="single" w:color="auto" w:sz="4" w:space="0"/>
              <w:bottom w:val="single" w:color="auto" w:sz="4" w:space="0"/>
              <w:right w:val="single" w:color="auto" w:sz="4" w:space="0"/>
            </w:tcBorders>
            <w:vAlign w:val="center"/>
          </w:tcPr>
          <w:p w14:paraId="332F95F9">
            <w:pPr>
              <w:spacing w:line="440" w:lineRule="exact"/>
              <w:jc w:val="center"/>
              <w:rPr>
                <w:rFonts w:ascii="宋体" w:hAnsi="宋体"/>
                <w:bCs/>
                <w:szCs w:val="21"/>
              </w:rPr>
            </w:pPr>
            <w:r>
              <w:rPr>
                <w:rFonts w:ascii="宋体" w:hAnsi="宋体"/>
                <w:bCs/>
                <w:szCs w:val="21"/>
              </w:rPr>
              <w:t>对采购文件提出异议的时间</w:t>
            </w:r>
          </w:p>
        </w:tc>
        <w:tc>
          <w:tcPr>
            <w:tcW w:w="4887" w:type="dxa"/>
            <w:tcBorders>
              <w:top w:val="single" w:color="auto" w:sz="4" w:space="0"/>
              <w:left w:val="single" w:color="auto" w:sz="4" w:space="0"/>
              <w:bottom w:val="single" w:color="auto" w:sz="4" w:space="0"/>
              <w:right w:val="single" w:color="auto" w:sz="4" w:space="0"/>
            </w:tcBorders>
            <w:vAlign w:val="center"/>
          </w:tcPr>
          <w:p w14:paraId="2DFB6571">
            <w:pPr>
              <w:spacing w:line="440" w:lineRule="exact"/>
              <w:jc w:val="left"/>
              <w:outlineLvl w:val="8"/>
              <w:rPr>
                <w:rFonts w:ascii="宋体" w:hAnsi="宋体"/>
              </w:rPr>
            </w:pPr>
            <w:r>
              <w:rPr>
                <w:rFonts w:ascii="宋体" w:hAnsi="宋体"/>
                <w:bCs/>
              </w:rPr>
              <w:sym w:font="Wingdings 2" w:char="0052"/>
            </w:r>
            <w:r>
              <w:rPr>
                <w:rFonts w:ascii="宋体" w:hAnsi="宋体"/>
              </w:rPr>
              <w:t>递交响应文件截止时间</w:t>
            </w:r>
            <w:r>
              <w:rPr>
                <w:rFonts w:ascii="宋体" w:hAnsi="宋体"/>
                <w:u w:val="single"/>
              </w:rPr>
              <w:t xml:space="preserve"> </w:t>
            </w:r>
            <w:r>
              <w:rPr>
                <w:rFonts w:hint="eastAsia" w:ascii="宋体" w:hAnsi="宋体"/>
                <w:u w:val="single"/>
              </w:rPr>
              <w:t>3</w:t>
            </w:r>
            <w:r>
              <w:rPr>
                <w:rFonts w:ascii="宋体" w:hAnsi="宋体"/>
                <w:u w:val="single"/>
              </w:rPr>
              <w:t xml:space="preserve"> </w:t>
            </w:r>
            <w:r>
              <w:rPr>
                <w:rFonts w:ascii="宋体" w:hAnsi="宋体"/>
              </w:rPr>
              <w:t>日前提出。</w:t>
            </w:r>
          </w:p>
          <w:p w14:paraId="13E8F94C">
            <w:pPr>
              <w:spacing w:line="440" w:lineRule="exact"/>
              <w:jc w:val="left"/>
              <w:outlineLvl w:val="8"/>
              <w:rPr>
                <w:rFonts w:ascii="宋体" w:hAnsi="宋体"/>
              </w:rPr>
            </w:pPr>
            <w:r>
              <w:rPr>
                <w:rFonts w:ascii="宋体" w:hAnsi="宋体"/>
                <w:bCs/>
              </w:rPr>
              <w:sym w:font="Wingdings 2" w:char="00A3"/>
            </w:r>
            <w:r>
              <w:rPr>
                <w:rFonts w:ascii="宋体" w:hAnsi="宋体"/>
                <w:bCs/>
                <w:szCs w:val="32"/>
              </w:rPr>
              <w:t>在公告有效期内</w:t>
            </w:r>
          </w:p>
        </w:tc>
      </w:tr>
      <w:tr w14:paraId="59A1FE37">
        <w:tblPrEx>
          <w:tblCellMar>
            <w:top w:w="0" w:type="dxa"/>
            <w:left w:w="108" w:type="dxa"/>
            <w:bottom w:w="0" w:type="dxa"/>
            <w:right w:w="108" w:type="dxa"/>
          </w:tblCellMar>
        </w:tblPrEx>
        <w:trPr>
          <w:trHeight w:val="880" w:hRule="atLeast"/>
        </w:trPr>
        <w:tc>
          <w:tcPr>
            <w:tcW w:w="1271" w:type="dxa"/>
            <w:tcBorders>
              <w:top w:val="single" w:color="auto" w:sz="4" w:space="0"/>
              <w:left w:val="single" w:color="auto" w:sz="4" w:space="0"/>
              <w:bottom w:val="single" w:color="auto" w:sz="4" w:space="0"/>
              <w:right w:val="single" w:color="auto" w:sz="4" w:space="0"/>
            </w:tcBorders>
            <w:vAlign w:val="center"/>
          </w:tcPr>
          <w:p w14:paraId="40D2F9C8">
            <w:pPr>
              <w:spacing w:line="440" w:lineRule="exact"/>
              <w:jc w:val="center"/>
              <w:rPr>
                <w:rFonts w:ascii="宋体" w:hAnsi="宋体"/>
                <w:bCs/>
                <w:szCs w:val="21"/>
              </w:rPr>
            </w:pPr>
            <w:bookmarkStart w:id="97" w:name="_Hlk117762897"/>
            <w:r>
              <w:rPr>
                <w:bCs/>
                <w:szCs w:val="21"/>
              </w:rPr>
              <w:t>8</w:t>
            </w:r>
            <w:r>
              <w:rPr>
                <w:rFonts w:ascii="宋体" w:hAnsi="宋体"/>
                <w:bCs/>
                <w:szCs w:val="21"/>
              </w:rPr>
              <w:t>.</w:t>
            </w:r>
            <w:r>
              <w:rPr>
                <w:bCs/>
                <w:szCs w:val="21"/>
              </w:rPr>
              <w:t>2</w:t>
            </w:r>
          </w:p>
        </w:tc>
        <w:tc>
          <w:tcPr>
            <w:tcW w:w="3164" w:type="dxa"/>
            <w:tcBorders>
              <w:top w:val="single" w:color="auto" w:sz="4" w:space="0"/>
              <w:left w:val="single" w:color="auto" w:sz="4" w:space="0"/>
              <w:bottom w:val="single" w:color="auto" w:sz="4" w:space="0"/>
              <w:right w:val="single" w:color="auto" w:sz="4" w:space="0"/>
            </w:tcBorders>
            <w:vAlign w:val="center"/>
          </w:tcPr>
          <w:p w14:paraId="162E5E88">
            <w:pPr>
              <w:spacing w:line="440" w:lineRule="exact"/>
              <w:jc w:val="center"/>
              <w:rPr>
                <w:rFonts w:ascii="宋体" w:hAnsi="宋体"/>
                <w:bCs/>
                <w:szCs w:val="21"/>
              </w:rPr>
            </w:pPr>
            <w:r>
              <w:rPr>
                <w:rFonts w:ascii="宋体" w:hAnsi="宋体"/>
                <w:bCs/>
                <w:szCs w:val="21"/>
              </w:rPr>
              <w:t>异议受理人和联系电话</w:t>
            </w:r>
          </w:p>
        </w:tc>
        <w:tc>
          <w:tcPr>
            <w:tcW w:w="4887" w:type="dxa"/>
            <w:tcBorders>
              <w:top w:val="single" w:color="auto" w:sz="4" w:space="0"/>
              <w:left w:val="single" w:color="auto" w:sz="4" w:space="0"/>
              <w:bottom w:val="single" w:color="auto" w:sz="4" w:space="0"/>
              <w:right w:val="single" w:color="auto" w:sz="4" w:space="0"/>
            </w:tcBorders>
            <w:vAlign w:val="center"/>
          </w:tcPr>
          <w:p w14:paraId="635B39AD">
            <w:pPr>
              <w:pStyle w:val="108"/>
              <w:spacing w:line="400" w:lineRule="exact"/>
              <w:ind w:firstLine="0"/>
              <w:rPr>
                <w:rFonts w:ascii="宋体" w:hAnsi="宋体" w:eastAsia="宋体"/>
                <w:kern w:val="2"/>
                <w:szCs w:val="24"/>
                <w:highlight w:val="none"/>
              </w:rPr>
            </w:pPr>
            <w:r>
              <w:rPr>
                <w:rFonts w:ascii="宋体" w:hAnsi="宋体" w:eastAsia="宋体"/>
                <w:kern w:val="2"/>
                <w:szCs w:val="24"/>
              </w:rPr>
              <w:t>受</w:t>
            </w:r>
            <w:r>
              <w:rPr>
                <w:rFonts w:ascii="宋体" w:hAnsi="宋体" w:eastAsia="宋体"/>
                <w:kern w:val="2"/>
                <w:szCs w:val="24"/>
                <w:highlight w:val="none"/>
              </w:rPr>
              <w:t>理人：</w:t>
            </w:r>
            <w:r>
              <w:rPr>
                <w:rFonts w:hint="eastAsia" w:ascii="宋体" w:hAnsi="宋体" w:eastAsia="宋体"/>
                <w:kern w:val="2"/>
                <w:szCs w:val="24"/>
                <w:highlight w:val="none"/>
              </w:rPr>
              <w:t>庄荣丽</w:t>
            </w:r>
          </w:p>
          <w:p w14:paraId="75946D7D">
            <w:pPr>
              <w:pStyle w:val="108"/>
              <w:spacing w:line="400" w:lineRule="exact"/>
              <w:ind w:firstLine="0"/>
              <w:rPr>
                <w:rFonts w:ascii="宋体" w:hAnsi="宋体" w:eastAsia="宋体"/>
                <w:b/>
                <w:kern w:val="44"/>
              </w:rPr>
            </w:pPr>
            <w:bookmarkStart w:id="98" w:name="_Toc118805474"/>
            <w:bookmarkStart w:id="99" w:name="_Toc118805851"/>
            <w:bookmarkStart w:id="100" w:name="_Toc118805097"/>
            <w:bookmarkStart w:id="101" w:name="_Toc118806222"/>
            <w:r>
              <w:rPr>
                <w:rFonts w:ascii="宋体" w:hAnsi="宋体" w:eastAsia="宋体"/>
                <w:kern w:val="2"/>
                <w:szCs w:val="24"/>
                <w:highlight w:val="none"/>
              </w:rPr>
              <w:t>联系电话：</w:t>
            </w:r>
            <w:bookmarkEnd w:id="98"/>
            <w:bookmarkEnd w:id="99"/>
            <w:bookmarkEnd w:id="100"/>
            <w:bookmarkEnd w:id="101"/>
            <w:r>
              <w:rPr>
                <w:rFonts w:hint="eastAsia" w:ascii="Times New Roman" w:hAnsi="Times New Roman"/>
                <w:highlight w:val="none"/>
              </w:rPr>
              <w:t>15133994592</w:t>
            </w:r>
          </w:p>
        </w:tc>
      </w:tr>
      <w:bookmarkEnd w:id="97"/>
      <w:tr w14:paraId="2C663AF2">
        <w:tblPrEx>
          <w:tblCellMar>
            <w:top w:w="0" w:type="dxa"/>
            <w:left w:w="108" w:type="dxa"/>
            <w:bottom w:w="0" w:type="dxa"/>
            <w:right w:w="108" w:type="dxa"/>
          </w:tblCellMar>
        </w:tblPrEx>
        <w:trPr>
          <w:trHeight w:val="880" w:hRule="atLeast"/>
        </w:trPr>
        <w:tc>
          <w:tcPr>
            <w:tcW w:w="1271" w:type="dxa"/>
            <w:tcBorders>
              <w:top w:val="single" w:color="auto" w:sz="4" w:space="0"/>
              <w:left w:val="single" w:color="auto" w:sz="4" w:space="0"/>
              <w:bottom w:val="single" w:color="auto" w:sz="4" w:space="0"/>
              <w:right w:val="single" w:color="auto" w:sz="4" w:space="0"/>
            </w:tcBorders>
            <w:vAlign w:val="center"/>
          </w:tcPr>
          <w:p w14:paraId="6406E50F">
            <w:pPr>
              <w:spacing w:line="440" w:lineRule="exact"/>
              <w:jc w:val="center"/>
              <w:rPr>
                <w:rFonts w:ascii="宋体" w:hAnsi="宋体"/>
                <w:bCs/>
                <w:szCs w:val="21"/>
              </w:rPr>
            </w:pPr>
            <w:r>
              <w:rPr>
                <w:bCs/>
                <w:szCs w:val="21"/>
              </w:rPr>
              <w:t>10</w:t>
            </w:r>
            <w:r>
              <w:rPr>
                <w:rFonts w:ascii="宋体" w:hAnsi="宋体"/>
                <w:bCs/>
                <w:szCs w:val="21"/>
              </w:rPr>
              <w:t>.</w:t>
            </w:r>
            <w:r>
              <w:rPr>
                <w:bCs/>
                <w:szCs w:val="21"/>
              </w:rPr>
              <w:t>3</w:t>
            </w:r>
          </w:p>
        </w:tc>
        <w:tc>
          <w:tcPr>
            <w:tcW w:w="3164" w:type="dxa"/>
            <w:tcBorders>
              <w:top w:val="single" w:color="auto" w:sz="4" w:space="0"/>
              <w:left w:val="single" w:color="auto" w:sz="4" w:space="0"/>
              <w:bottom w:val="single" w:color="auto" w:sz="4" w:space="0"/>
              <w:right w:val="single" w:color="auto" w:sz="4" w:space="0"/>
            </w:tcBorders>
            <w:vAlign w:val="center"/>
          </w:tcPr>
          <w:p w14:paraId="15A01D2F">
            <w:pPr>
              <w:spacing w:line="440" w:lineRule="exact"/>
              <w:jc w:val="center"/>
              <w:rPr>
                <w:rFonts w:ascii="宋体" w:hAnsi="宋体"/>
                <w:bCs/>
                <w:szCs w:val="21"/>
              </w:rPr>
            </w:pPr>
            <w:r>
              <w:rPr>
                <w:rFonts w:ascii="宋体" w:hAnsi="宋体"/>
                <w:bCs/>
                <w:szCs w:val="21"/>
              </w:rPr>
              <w:t>采购代理服务费</w:t>
            </w:r>
          </w:p>
        </w:tc>
        <w:tc>
          <w:tcPr>
            <w:tcW w:w="4887" w:type="dxa"/>
            <w:tcBorders>
              <w:top w:val="single" w:color="auto" w:sz="4" w:space="0"/>
              <w:left w:val="single" w:color="auto" w:sz="4" w:space="0"/>
              <w:bottom w:val="single" w:color="auto" w:sz="4" w:space="0"/>
              <w:right w:val="single" w:color="auto" w:sz="4" w:space="0"/>
            </w:tcBorders>
            <w:vAlign w:val="center"/>
          </w:tcPr>
          <w:p w14:paraId="3CFAB7CE">
            <w:pPr>
              <w:spacing w:line="440" w:lineRule="exact"/>
              <w:rPr>
                <w:rFonts w:ascii="宋体" w:hAnsi="宋体"/>
                <w:bCs/>
              </w:rPr>
            </w:pPr>
            <w:r>
              <w:rPr>
                <w:rFonts w:ascii="宋体" w:hAnsi="宋体"/>
                <w:bCs/>
              </w:rPr>
              <w:sym w:font="Wingdings 2" w:char="00A3"/>
            </w:r>
            <w:r>
              <w:rPr>
                <w:rFonts w:ascii="宋体" w:hAnsi="宋体"/>
                <w:bCs/>
              </w:rPr>
              <w:t>不要求承担</w:t>
            </w:r>
          </w:p>
          <w:p w14:paraId="62A83E4E">
            <w:pPr>
              <w:spacing w:line="440" w:lineRule="exact"/>
              <w:rPr>
                <w:rFonts w:ascii="宋体" w:hAnsi="宋体"/>
                <w:bCs/>
              </w:rPr>
            </w:pPr>
            <w:r>
              <w:rPr>
                <w:rFonts w:ascii="宋体" w:hAnsi="宋体"/>
                <w:bCs/>
              </w:rPr>
              <w:sym w:font="Wingdings 2" w:char="0052"/>
            </w:r>
            <w:r>
              <w:rPr>
                <w:rFonts w:ascii="宋体" w:hAnsi="宋体"/>
                <w:bCs/>
              </w:rPr>
              <w:t>要求承担</w:t>
            </w:r>
          </w:p>
          <w:p w14:paraId="7820034D">
            <w:pPr>
              <w:spacing w:line="440" w:lineRule="exact"/>
              <w:rPr>
                <w:rFonts w:ascii="宋体" w:hAnsi="宋体"/>
                <w:bCs/>
              </w:rPr>
            </w:pPr>
            <w:r>
              <w:rPr>
                <w:rFonts w:ascii="宋体" w:hAnsi="宋体"/>
                <w:b/>
              </w:rPr>
              <w:t>费用标准或金额：</w:t>
            </w:r>
            <w:r>
              <w:rPr>
                <w:b/>
                <w:spacing w:val="4"/>
              </w:rPr>
              <w:t>每家</w:t>
            </w:r>
            <w:r>
              <w:rPr>
                <w:rFonts w:hint="eastAsia"/>
                <w:b/>
                <w:spacing w:val="4"/>
              </w:rPr>
              <w:t>入库供应商10</w:t>
            </w:r>
            <w:r>
              <w:rPr>
                <w:b/>
                <w:spacing w:val="4"/>
              </w:rPr>
              <w:t>00元</w:t>
            </w:r>
            <w:r>
              <w:rPr>
                <w:rFonts w:hint="eastAsia"/>
                <w:spacing w:val="4"/>
              </w:rPr>
              <w:t>。</w:t>
            </w:r>
          </w:p>
          <w:p w14:paraId="1919FDF4">
            <w:pPr>
              <w:spacing w:line="440" w:lineRule="exact"/>
              <w:rPr>
                <w:rFonts w:ascii="宋体" w:hAnsi="宋体"/>
                <w:bCs/>
              </w:rPr>
            </w:pPr>
            <w:r>
              <w:rPr>
                <w:rFonts w:ascii="宋体" w:hAnsi="宋体"/>
                <w:bCs/>
              </w:rPr>
              <w:t>交费时间：</w:t>
            </w:r>
            <w:r>
              <w:rPr>
                <w:spacing w:val="4"/>
              </w:rPr>
              <w:t>在代理单位发出中标通知书前由</w:t>
            </w:r>
            <w:r>
              <w:rPr>
                <w:rFonts w:hint="eastAsia"/>
                <w:spacing w:val="4"/>
              </w:rPr>
              <w:t>中标入库供应商</w:t>
            </w:r>
            <w:r>
              <w:rPr>
                <w:spacing w:val="4"/>
              </w:rPr>
              <w:t>一次性支付</w:t>
            </w:r>
            <w:r>
              <w:rPr>
                <w:rFonts w:hint="eastAsia"/>
                <w:spacing w:val="4"/>
              </w:rPr>
              <w:t>。</w:t>
            </w:r>
          </w:p>
          <w:p w14:paraId="01BAC425">
            <w:pPr>
              <w:spacing w:line="440" w:lineRule="exact"/>
              <w:rPr>
                <w:rFonts w:ascii="宋体" w:hAnsi="宋体"/>
                <w:bCs/>
                <w:szCs w:val="21"/>
              </w:rPr>
            </w:pPr>
            <w:r>
              <w:rPr>
                <w:rFonts w:ascii="宋体" w:hAnsi="宋体"/>
                <w:bCs/>
              </w:rPr>
              <w:t>交费方式：</w:t>
            </w:r>
            <w:r>
              <w:rPr>
                <w:rFonts w:hint="eastAsia" w:ascii="宋体" w:hAnsi="宋体"/>
                <w:bCs/>
              </w:rPr>
              <w:t>现金或转账。</w:t>
            </w:r>
          </w:p>
        </w:tc>
      </w:tr>
      <w:tr w14:paraId="2FF3C2A3">
        <w:tblPrEx>
          <w:tblCellMar>
            <w:top w:w="0" w:type="dxa"/>
            <w:left w:w="108" w:type="dxa"/>
            <w:bottom w:w="0" w:type="dxa"/>
            <w:right w:w="108" w:type="dxa"/>
          </w:tblCellMar>
        </w:tblPrEx>
        <w:trPr>
          <w:trHeight w:val="880" w:hRule="atLeast"/>
        </w:trPr>
        <w:tc>
          <w:tcPr>
            <w:tcW w:w="1271" w:type="dxa"/>
            <w:tcBorders>
              <w:top w:val="single" w:color="auto" w:sz="4" w:space="0"/>
              <w:left w:val="single" w:color="auto" w:sz="4" w:space="0"/>
              <w:bottom w:val="single" w:color="auto" w:sz="4" w:space="0"/>
              <w:right w:val="single" w:color="auto" w:sz="4" w:space="0"/>
            </w:tcBorders>
            <w:vAlign w:val="center"/>
          </w:tcPr>
          <w:p w14:paraId="0171FAF5">
            <w:pPr>
              <w:spacing w:line="440" w:lineRule="exact"/>
              <w:jc w:val="center"/>
              <w:rPr>
                <w:rFonts w:ascii="宋体" w:hAnsi="宋体"/>
                <w:bCs/>
                <w:szCs w:val="21"/>
              </w:rPr>
            </w:pPr>
            <w:r>
              <w:rPr>
                <w:bCs/>
                <w:szCs w:val="21"/>
              </w:rPr>
              <w:t>10</w:t>
            </w:r>
            <w:r>
              <w:rPr>
                <w:rFonts w:ascii="宋体" w:hAnsi="宋体"/>
                <w:bCs/>
                <w:szCs w:val="21"/>
              </w:rPr>
              <w:t>.</w:t>
            </w:r>
            <w:r>
              <w:rPr>
                <w:bCs/>
                <w:szCs w:val="21"/>
              </w:rPr>
              <w:t>4</w:t>
            </w:r>
          </w:p>
        </w:tc>
        <w:tc>
          <w:tcPr>
            <w:tcW w:w="3164" w:type="dxa"/>
            <w:tcBorders>
              <w:top w:val="single" w:color="auto" w:sz="4" w:space="0"/>
              <w:left w:val="single" w:color="auto" w:sz="4" w:space="0"/>
              <w:bottom w:val="single" w:color="auto" w:sz="4" w:space="0"/>
              <w:right w:val="single" w:color="auto" w:sz="4" w:space="0"/>
            </w:tcBorders>
            <w:vAlign w:val="center"/>
          </w:tcPr>
          <w:p w14:paraId="0113BF95">
            <w:pPr>
              <w:spacing w:line="440" w:lineRule="exact"/>
              <w:jc w:val="center"/>
              <w:rPr>
                <w:rFonts w:ascii="宋体" w:hAnsi="宋体"/>
                <w:bCs/>
                <w:szCs w:val="21"/>
              </w:rPr>
            </w:pPr>
            <w:r>
              <w:rPr>
                <w:rFonts w:ascii="宋体" w:hAnsi="宋体"/>
                <w:bCs/>
              </w:rPr>
              <w:t>需要补充的其他内容</w:t>
            </w:r>
          </w:p>
        </w:tc>
        <w:tc>
          <w:tcPr>
            <w:tcW w:w="4887" w:type="dxa"/>
            <w:tcBorders>
              <w:top w:val="single" w:color="auto" w:sz="4" w:space="0"/>
              <w:left w:val="single" w:color="auto" w:sz="4" w:space="0"/>
              <w:bottom w:val="single" w:color="auto" w:sz="4" w:space="0"/>
              <w:right w:val="single" w:color="auto" w:sz="4" w:space="0"/>
            </w:tcBorders>
            <w:vAlign w:val="center"/>
          </w:tcPr>
          <w:p w14:paraId="1D839CCB">
            <w:pPr>
              <w:spacing w:line="440" w:lineRule="exact"/>
              <w:rPr>
                <w:rFonts w:ascii="宋体" w:hAnsi="宋体"/>
                <w:bCs/>
              </w:rPr>
            </w:pPr>
            <w:r>
              <w:rPr>
                <w:rFonts w:hint="eastAsia" w:ascii="宋体" w:hAnsi="宋体" w:cs="宋体"/>
                <w:szCs w:val="21"/>
              </w:rPr>
              <w:t>本项目成交供应商应在合同签订前向采购人提交2份纸质响应文件（“河北交投招标与采购服务平台”响应文件打印输出件），并逐页加盖供应商单位章。</w:t>
            </w:r>
          </w:p>
        </w:tc>
      </w:tr>
    </w:tbl>
    <w:p w14:paraId="745E59AA">
      <w:pPr>
        <w:keepNext/>
        <w:keepLines/>
        <w:widowControl/>
        <w:spacing w:before="260" w:after="260"/>
        <w:outlineLvl w:val="1"/>
        <w:rPr>
          <w:rFonts w:ascii="宋体" w:hAnsi="宋体"/>
          <w:b/>
          <w:bCs/>
          <w:szCs w:val="21"/>
        </w:rPr>
      </w:pPr>
      <w:r>
        <w:rPr>
          <w:rFonts w:ascii="宋体" w:hAnsi="宋体"/>
          <w:szCs w:val="21"/>
        </w:rPr>
        <w:br w:type="page"/>
      </w:r>
      <w:bookmarkStart w:id="102" w:name="_Toc149140190"/>
      <w:r>
        <w:rPr>
          <w:rFonts w:eastAsia="黑体"/>
          <w:b/>
          <w:sz w:val="28"/>
          <w:szCs w:val="18"/>
        </w:rPr>
        <w:t>1 总则</w:t>
      </w:r>
      <w:bookmarkEnd w:id="102"/>
    </w:p>
    <w:p w14:paraId="0461D2CC">
      <w:pPr>
        <w:widowControl/>
        <w:spacing w:before="100" w:beforeAutospacing="1" w:after="100" w:afterAutospacing="1" w:line="400" w:lineRule="exact"/>
        <w:ind w:left="2" w:leftChars="1"/>
        <w:jc w:val="left"/>
        <w:outlineLvl w:val="2"/>
        <w:rPr>
          <w:rFonts w:eastAsia="黑体"/>
          <w:sz w:val="24"/>
        </w:rPr>
      </w:pPr>
      <w:bookmarkStart w:id="103" w:name="_Toc143102135"/>
      <w:bookmarkStart w:id="104" w:name="_Toc149140191"/>
      <w:bookmarkStart w:id="105" w:name="_Hlk138877806"/>
      <w:r>
        <w:rPr>
          <w:rFonts w:eastAsia="黑体"/>
          <w:sz w:val="24"/>
        </w:rPr>
        <w:t>1.1 采购方式</w:t>
      </w:r>
      <w:bookmarkEnd w:id="103"/>
      <w:bookmarkEnd w:id="104"/>
    </w:p>
    <w:bookmarkEnd w:id="105"/>
    <w:p w14:paraId="4CB0B79C">
      <w:pPr>
        <w:spacing w:line="400" w:lineRule="exact"/>
        <w:ind w:firstLine="420" w:firstLineChars="200"/>
        <w:rPr>
          <w:rFonts w:ascii="宋体" w:hAnsi="宋体"/>
        </w:rPr>
      </w:pPr>
      <w:r>
        <w:rPr>
          <w:rFonts w:ascii="宋体" w:hAnsi="宋体"/>
        </w:rPr>
        <w:t>本项目采用</w:t>
      </w:r>
      <w:r>
        <w:rPr>
          <w:rFonts w:ascii="宋体" w:hAnsi="宋体"/>
          <w:spacing w:val="1"/>
          <w:kern w:val="0"/>
          <w:szCs w:val="21"/>
        </w:rPr>
        <w:t>河北交通投资集团有限公司</w:t>
      </w:r>
      <w:r>
        <w:rPr>
          <w:rFonts w:ascii="宋体" w:hAnsi="宋体"/>
        </w:rPr>
        <w:t>发布的《非招标方式采购管理办法》规定的框架协议采购方式。</w:t>
      </w:r>
    </w:p>
    <w:p w14:paraId="2EF7A387">
      <w:pPr>
        <w:spacing w:line="400" w:lineRule="exact"/>
        <w:ind w:firstLine="420" w:firstLineChars="200"/>
        <w:rPr>
          <w:rFonts w:ascii="宋体" w:hAnsi="宋体"/>
        </w:rPr>
      </w:pPr>
      <w:r>
        <w:rPr>
          <w:rFonts w:ascii="宋体" w:hAnsi="宋体"/>
        </w:rPr>
        <w:t>框架协议是指采购人组建评审小组对响应采购的供应商按照采购文件规定的规则和时间一次递交的响应文件进行评审，采购人根据评审小组的评审结果确定入围供应商名单，以框架协议约定工程、货物或服务的采购单价或定价方式、交易条件、质量标准、协议有效期限等内容；第二阶段采购人根据实际采购数量需求与供应商订立采购合同的采购方式。</w:t>
      </w:r>
    </w:p>
    <w:p w14:paraId="297DE55A">
      <w:pPr>
        <w:widowControl/>
        <w:spacing w:before="100" w:beforeAutospacing="1" w:after="100" w:afterAutospacing="1" w:line="400" w:lineRule="exact"/>
        <w:ind w:left="2" w:leftChars="1"/>
        <w:jc w:val="left"/>
        <w:outlineLvl w:val="2"/>
        <w:rPr>
          <w:rFonts w:eastAsia="黑体"/>
          <w:sz w:val="24"/>
        </w:rPr>
      </w:pPr>
      <w:bookmarkStart w:id="106" w:name="_Toc143102136"/>
      <w:bookmarkStart w:id="107" w:name="_Toc149140192"/>
      <w:bookmarkStart w:id="108" w:name="_Hlk138877812"/>
      <w:r>
        <w:rPr>
          <w:rFonts w:eastAsia="黑体"/>
          <w:sz w:val="24"/>
        </w:rPr>
        <w:t>1.2 采购项目概况和供应商资格要求</w:t>
      </w:r>
      <w:bookmarkEnd w:id="106"/>
      <w:bookmarkEnd w:id="107"/>
    </w:p>
    <w:bookmarkEnd w:id="108"/>
    <w:p w14:paraId="5979A71C">
      <w:pPr>
        <w:spacing w:line="400" w:lineRule="exact"/>
        <w:ind w:firstLine="420" w:firstLineChars="200"/>
        <w:rPr>
          <w:rFonts w:ascii="宋体" w:hAnsi="宋体"/>
          <w:szCs w:val="21"/>
        </w:rPr>
      </w:pPr>
      <w:r>
        <w:rPr>
          <w:rFonts w:ascii="宋体" w:hAnsi="宋体"/>
          <w:szCs w:val="21"/>
        </w:rPr>
        <w:t>采购项目概况和供应商资格要求见第一章</w:t>
      </w:r>
      <w:r>
        <w:rPr>
          <w:rFonts w:ascii="宋体" w:hAnsi="宋体"/>
        </w:rPr>
        <w:t>“框架协议</w:t>
      </w:r>
      <w:r>
        <w:rPr>
          <w:rFonts w:ascii="宋体" w:hAnsi="宋体"/>
          <w:szCs w:val="21"/>
        </w:rPr>
        <w:t>采购公告”。</w:t>
      </w:r>
    </w:p>
    <w:p w14:paraId="0883148C">
      <w:pPr>
        <w:widowControl/>
        <w:spacing w:before="100" w:beforeAutospacing="1" w:after="100" w:afterAutospacing="1" w:line="400" w:lineRule="exact"/>
        <w:ind w:left="2" w:leftChars="1"/>
        <w:jc w:val="left"/>
        <w:outlineLvl w:val="2"/>
        <w:rPr>
          <w:rFonts w:eastAsia="黑体"/>
          <w:sz w:val="24"/>
        </w:rPr>
      </w:pPr>
      <w:bookmarkStart w:id="109" w:name="_Toc143102137"/>
      <w:bookmarkStart w:id="110" w:name="_Toc149140193"/>
      <w:r>
        <w:rPr>
          <w:rFonts w:eastAsia="黑体"/>
          <w:sz w:val="24"/>
        </w:rPr>
        <w:t>1.3 费用承担</w:t>
      </w:r>
      <w:bookmarkEnd w:id="109"/>
      <w:bookmarkEnd w:id="110"/>
    </w:p>
    <w:p w14:paraId="2CC7389B">
      <w:pPr>
        <w:spacing w:line="400" w:lineRule="exact"/>
        <w:ind w:firstLine="420" w:firstLineChars="200"/>
        <w:rPr>
          <w:rFonts w:ascii="宋体" w:hAnsi="宋体"/>
          <w:szCs w:val="21"/>
        </w:rPr>
      </w:pPr>
      <w:r>
        <w:rPr>
          <w:rFonts w:ascii="宋体" w:hAnsi="宋体"/>
          <w:szCs w:val="21"/>
        </w:rPr>
        <w:t>供应商准备和参加采购</w:t>
      </w:r>
      <w:r>
        <w:rPr>
          <w:rFonts w:ascii="宋体" w:hAnsi="宋体"/>
          <w:spacing w:val="1"/>
          <w:kern w:val="0"/>
          <w:szCs w:val="21"/>
        </w:rPr>
        <w:t>活动</w:t>
      </w:r>
      <w:r>
        <w:rPr>
          <w:rFonts w:ascii="宋体" w:hAnsi="宋体"/>
          <w:szCs w:val="21"/>
        </w:rPr>
        <w:t>所发生的各种费用由供应商自行承担。</w:t>
      </w:r>
    </w:p>
    <w:p w14:paraId="59E6CF2C">
      <w:pPr>
        <w:widowControl/>
        <w:spacing w:before="100" w:beforeAutospacing="1" w:after="100" w:afterAutospacing="1" w:line="400" w:lineRule="exact"/>
        <w:ind w:left="2" w:leftChars="1"/>
        <w:jc w:val="left"/>
        <w:outlineLvl w:val="2"/>
        <w:rPr>
          <w:rFonts w:eastAsia="黑体"/>
          <w:sz w:val="24"/>
        </w:rPr>
      </w:pPr>
      <w:bookmarkStart w:id="111" w:name="_Toc143102138"/>
      <w:bookmarkStart w:id="112" w:name="_Toc149140194"/>
      <w:r>
        <w:rPr>
          <w:rFonts w:eastAsia="黑体"/>
          <w:sz w:val="24"/>
        </w:rPr>
        <w:t>1.4 保密</w:t>
      </w:r>
      <w:bookmarkEnd w:id="111"/>
      <w:bookmarkEnd w:id="112"/>
    </w:p>
    <w:p w14:paraId="3FC3AB2D">
      <w:pPr>
        <w:spacing w:line="400" w:lineRule="exact"/>
        <w:ind w:firstLine="420" w:firstLineChars="200"/>
        <w:rPr>
          <w:rFonts w:ascii="宋体" w:hAnsi="宋体"/>
        </w:rPr>
      </w:pPr>
      <w:r>
        <w:rPr>
          <w:rFonts w:ascii="宋体" w:hAnsi="宋体"/>
        </w:rPr>
        <w:t>参加采购活动的各方应对采购文件和响应文件中的商业和技术等秘密保密，否则应承担相应的法律责任。</w:t>
      </w:r>
    </w:p>
    <w:p w14:paraId="510153EF">
      <w:pPr>
        <w:widowControl/>
        <w:spacing w:before="100" w:beforeAutospacing="1" w:after="100" w:afterAutospacing="1" w:line="400" w:lineRule="exact"/>
        <w:ind w:left="2" w:leftChars="1"/>
        <w:jc w:val="left"/>
        <w:outlineLvl w:val="2"/>
        <w:rPr>
          <w:rFonts w:eastAsia="黑体"/>
          <w:sz w:val="24"/>
        </w:rPr>
      </w:pPr>
      <w:bookmarkStart w:id="113" w:name="_Toc143102139"/>
      <w:bookmarkStart w:id="114" w:name="_Toc149140195"/>
      <w:r>
        <w:rPr>
          <w:rFonts w:eastAsia="黑体"/>
          <w:sz w:val="24"/>
        </w:rPr>
        <w:t>1.5 语言文字</w:t>
      </w:r>
      <w:bookmarkEnd w:id="113"/>
      <w:bookmarkEnd w:id="114"/>
    </w:p>
    <w:p w14:paraId="24A6E439">
      <w:pPr>
        <w:spacing w:line="400" w:lineRule="exact"/>
        <w:ind w:firstLine="420" w:firstLineChars="200"/>
        <w:rPr>
          <w:rFonts w:ascii="宋体" w:hAnsi="宋体"/>
        </w:rPr>
      </w:pPr>
      <w:r>
        <w:rPr>
          <w:rFonts w:ascii="宋体" w:hAnsi="宋体"/>
        </w:rPr>
        <w:t>采购文件和响应文件</w:t>
      </w:r>
      <w:r>
        <w:rPr>
          <w:rFonts w:ascii="宋体" w:hAnsi="宋体"/>
          <w:spacing w:val="1"/>
          <w:kern w:val="0"/>
          <w:szCs w:val="21"/>
        </w:rPr>
        <w:t>使用</w:t>
      </w:r>
      <w:r>
        <w:rPr>
          <w:rFonts w:ascii="宋体" w:hAnsi="宋体"/>
        </w:rPr>
        <w:t>的语言文字为中文。专用术语使用外文的，应附有中文注释。</w:t>
      </w:r>
    </w:p>
    <w:p w14:paraId="42999661">
      <w:pPr>
        <w:widowControl/>
        <w:spacing w:before="100" w:beforeAutospacing="1" w:after="100" w:afterAutospacing="1" w:line="400" w:lineRule="exact"/>
        <w:ind w:left="2" w:leftChars="1"/>
        <w:jc w:val="left"/>
        <w:outlineLvl w:val="2"/>
        <w:rPr>
          <w:rFonts w:eastAsia="黑体"/>
          <w:sz w:val="24"/>
        </w:rPr>
      </w:pPr>
      <w:bookmarkStart w:id="115" w:name="_Toc143102140"/>
      <w:bookmarkStart w:id="116" w:name="_Toc149140196"/>
      <w:r>
        <w:rPr>
          <w:rFonts w:eastAsia="黑体"/>
          <w:sz w:val="24"/>
        </w:rPr>
        <w:t>1.6 计量单位</w:t>
      </w:r>
      <w:bookmarkEnd w:id="115"/>
      <w:bookmarkEnd w:id="116"/>
    </w:p>
    <w:p w14:paraId="6FDA7091">
      <w:pPr>
        <w:spacing w:line="400" w:lineRule="exact"/>
        <w:ind w:firstLine="420" w:firstLineChars="200"/>
        <w:rPr>
          <w:rFonts w:ascii="宋体" w:hAnsi="宋体"/>
        </w:rPr>
      </w:pPr>
      <w:r>
        <w:rPr>
          <w:rFonts w:ascii="宋体" w:hAnsi="宋体"/>
        </w:rPr>
        <w:t>所有计量均采用中华人民共和国</w:t>
      </w:r>
      <w:r>
        <w:rPr>
          <w:rFonts w:ascii="宋体" w:hAnsi="宋体"/>
          <w:spacing w:val="1"/>
          <w:kern w:val="0"/>
          <w:szCs w:val="21"/>
        </w:rPr>
        <w:t>法定</w:t>
      </w:r>
      <w:r>
        <w:rPr>
          <w:rFonts w:ascii="宋体" w:hAnsi="宋体"/>
        </w:rPr>
        <w:t>计量单位。</w:t>
      </w:r>
    </w:p>
    <w:p w14:paraId="74B7528C">
      <w:pPr>
        <w:widowControl/>
        <w:spacing w:before="100" w:beforeAutospacing="1" w:after="100" w:afterAutospacing="1" w:line="400" w:lineRule="exact"/>
        <w:ind w:left="2" w:leftChars="1"/>
        <w:jc w:val="left"/>
        <w:outlineLvl w:val="2"/>
        <w:rPr>
          <w:rFonts w:eastAsia="黑体"/>
          <w:sz w:val="24"/>
        </w:rPr>
      </w:pPr>
      <w:bookmarkStart w:id="117" w:name="_Toc143102141"/>
      <w:bookmarkStart w:id="118" w:name="_Toc149140197"/>
      <w:r>
        <w:rPr>
          <w:rFonts w:eastAsia="黑体"/>
          <w:sz w:val="24"/>
        </w:rPr>
        <w:t>1.7 踏勘现场</w:t>
      </w:r>
      <w:bookmarkEnd w:id="117"/>
      <w:bookmarkEnd w:id="118"/>
    </w:p>
    <w:p w14:paraId="0AE93CAE">
      <w:pPr>
        <w:spacing w:line="400" w:lineRule="exact"/>
        <w:ind w:firstLine="420" w:firstLineChars="200"/>
        <w:rPr>
          <w:rFonts w:ascii="宋体" w:hAnsi="宋体"/>
        </w:rPr>
      </w:pPr>
      <w:r>
        <w:t>1</w:t>
      </w:r>
      <w:r>
        <w:rPr>
          <w:rFonts w:ascii="宋体" w:hAnsi="宋体"/>
        </w:rPr>
        <w:t>.</w:t>
      </w:r>
      <w:r>
        <w:t>7</w:t>
      </w:r>
      <w:r>
        <w:rPr>
          <w:rFonts w:ascii="宋体" w:hAnsi="宋体"/>
        </w:rPr>
        <w:t>.</w:t>
      </w:r>
      <w:r>
        <w:t>1</w:t>
      </w:r>
      <w:r>
        <w:rPr>
          <w:rFonts w:ascii="宋体" w:hAnsi="宋体"/>
        </w:rPr>
        <w:t>供应商须知前附表</w:t>
      </w:r>
      <w:r>
        <w:rPr>
          <w:rFonts w:ascii="宋体" w:hAnsi="宋体"/>
          <w:spacing w:val="1"/>
          <w:kern w:val="0"/>
          <w:szCs w:val="21"/>
        </w:rPr>
        <w:t>规定</w:t>
      </w:r>
      <w:r>
        <w:rPr>
          <w:rFonts w:ascii="宋体" w:hAnsi="宋体"/>
        </w:rPr>
        <w:t>组织踏勘现场的，采购人按供应商须知前附表规定的时间、地点组织供应商踏勘项目现场部分供应商未按时参加踏勘现场的，不影响踏勘现场的正常进行。</w:t>
      </w:r>
    </w:p>
    <w:p w14:paraId="4CDB7575">
      <w:pPr>
        <w:spacing w:line="400" w:lineRule="exact"/>
        <w:ind w:firstLine="420" w:firstLineChars="200"/>
        <w:rPr>
          <w:rFonts w:ascii="宋体" w:hAnsi="宋体"/>
        </w:rPr>
      </w:pPr>
      <w:r>
        <w:t>1</w:t>
      </w:r>
      <w:r>
        <w:rPr>
          <w:rFonts w:ascii="宋体" w:hAnsi="宋体"/>
        </w:rPr>
        <w:t>.</w:t>
      </w:r>
      <w:r>
        <w:t>7</w:t>
      </w:r>
      <w:r>
        <w:rPr>
          <w:rFonts w:ascii="宋体" w:hAnsi="宋体"/>
        </w:rPr>
        <w:t>.</w:t>
      </w:r>
      <w:r>
        <w:t>2</w:t>
      </w:r>
      <w:r>
        <w:rPr>
          <w:rFonts w:ascii="宋体" w:hAnsi="宋体"/>
        </w:rPr>
        <w:t>供应商可自愿参加踏勘现场活动。除采购人的原因外，采购人对供应商参加踏勘现场中所发生的人员伤亡和财产损失不承担责任。</w:t>
      </w:r>
    </w:p>
    <w:p w14:paraId="497DE7A5">
      <w:pPr>
        <w:spacing w:line="400" w:lineRule="exact"/>
        <w:ind w:firstLine="420" w:firstLineChars="200"/>
        <w:rPr>
          <w:rFonts w:ascii="宋体" w:hAnsi="宋体"/>
        </w:rPr>
      </w:pPr>
      <w:r>
        <w:t>1</w:t>
      </w:r>
      <w:r>
        <w:rPr>
          <w:rFonts w:ascii="宋体" w:hAnsi="宋体"/>
        </w:rPr>
        <w:t>.</w:t>
      </w:r>
      <w:r>
        <w:t>7</w:t>
      </w:r>
      <w:r>
        <w:rPr>
          <w:rFonts w:ascii="宋体" w:hAnsi="宋体"/>
        </w:rPr>
        <w:t>.</w:t>
      </w:r>
      <w:r>
        <w:t>3</w:t>
      </w:r>
      <w:r>
        <w:rPr>
          <w:rFonts w:ascii="宋体" w:hAnsi="宋体"/>
        </w:rPr>
        <w:t>采购人在踏勘</w:t>
      </w:r>
      <w:r>
        <w:rPr>
          <w:rFonts w:ascii="宋体" w:hAnsi="宋体"/>
          <w:spacing w:val="1"/>
          <w:kern w:val="0"/>
          <w:szCs w:val="21"/>
        </w:rPr>
        <w:t>现场</w:t>
      </w:r>
      <w:r>
        <w:rPr>
          <w:rFonts w:ascii="宋体" w:hAnsi="宋体"/>
        </w:rPr>
        <w:t>中介绍的工程场地和相关的周边环境情况，仅作为供应商编制响应文件的参考，采购人不对供应商据此作出的判断和决策负责。</w:t>
      </w:r>
    </w:p>
    <w:p w14:paraId="260C57BB">
      <w:pPr>
        <w:widowControl/>
        <w:spacing w:before="100" w:beforeAutospacing="1" w:after="100" w:afterAutospacing="1" w:line="400" w:lineRule="exact"/>
        <w:ind w:left="2" w:leftChars="1"/>
        <w:jc w:val="left"/>
        <w:outlineLvl w:val="2"/>
        <w:rPr>
          <w:rFonts w:eastAsia="黑体"/>
          <w:sz w:val="24"/>
        </w:rPr>
      </w:pPr>
      <w:bookmarkStart w:id="119" w:name="_Toc143102142"/>
      <w:bookmarkStart w:id="120" w:name="_Toc149140198"/>
      <w:r>
        <w:rPr>
          <w:rFonts w:eastAsia="黑体"/>
          <w:sz w:val="24"/>
        </w:rPr>
        <w:t>1.8 采购预备会</w:t>
      </w:r>
      <w:bookmarkEnd w:id="119"/>
      <w:bookmarkEnd w:id="120"/>
    </w:p>
    <w:p w14:paraId="7C2451D7">
      <w:pPr>
        <w:spacing w:line="400" w:lineRule="exact"/>
        <w:ind w:firstLine="420" w:firstLineChars="200"/>
        <w:rPr>
          <w:rFonts w:ascii="宋体" w:hAnsi="宋体"/>
        </w:rPr>
      </w:pPr>
      <w:r>
        <w:rPr>
          <w:rFonts w:ascii="宋体" w:hAnsi="宋体"/>
        </w:rPr>
        <w:t>供应商须知前附表规定召开采购预备会的，采购人按供应商须知前附表规定的时间和地点召开采购预备会</w:t>
      </w:r>
    </w:p>
    <w:p w14:paraId="40B3CDA2">
      <w:pPr>
        <w:widowControl/>
        <w:spacing w:before="100" w:beforeAutospacing="1" w:after="100" w:afterAutospacing="1" w:line="400" w:lineRule="exact"/>
        <w:ind w:left="2" w:leftChars="1"/>
        <w:jc w:val="left"/>
        <w:outlineLvl w:val="2"/>
        <w:rPr>
          <w:rFonts w:eastAsia="黑体"/>
          <w:sz w:val="24"/>
        </w:rPr>
      </w:pPr>
      <w:bookmarkStart w:id="121" w:name="_Toc149140199"/>
      <w:bookmarkStart w:id="122" w:name="_Toc143102143"/>
      <w:r>
        <w:rPr>
          <w:rFonts w:eastAsia="黑体"/>
          <w:sz w:val="24"/>
        </w:rPr>
        <w:t>1.9 分包（A、C）</w:t>
      </w:r>
      <w:bookmarkEnd w:id="121"/>
      <w:bookmarkEnd w:id="122"/>
    </w:p>
    <w:p w14:paraId="61119028">
      <w:pPr>
        <w:spacing w:line="400" w:lineRule="exact"/>
        <w:ind w:firstLine="420" w:firstLineChars="200"/>
        <w:rPr>
          <w:rFonts w:ascii="宋体" w:hAnsi="宋体"/>
        </w:rPr>
      </w:pPr>
      <w:r>
        <w:rPr>
          <w:rFonts w:ascii="宋体" w:hAnsi="宋体"/>
        </w:rPr>
        <w:t>供应商拟在成交后将成交项目的部分工作进行分包的，应符合供应商须知前附表的规定，并在响应文件中作出</w:t>
      </w:r>
      <w:r>
        <w:rPr>
          <w:rFonts w:ascii="宋体" w:hAnsi="宋体"/>
          <w:spacing w:val="1"/>
          <w:kern w:val="0"/>
          <w:szCs w:val="21"/>
        </w:rPr>
        <w:t>说明</w:t>
      </w:r>
      <w:r>
        <w:rPr>
          <w:rFonts w:ascii="宋体" w:hAnsi="宋体"/>
        </w:rPr>
        <w:t>。</w:t>
      </w:r>
    </w:p>
    <w:p w14:paraId="6C79B105">
      <w:pPr>
        <w:spacing w:line="400" w:lineRule="exact"/>
        <w:ind w:firstLine="420" w:firstLineChars="200"/>
        <w:rPr>
          <w:rFonts w:ascii="宋体" w:hAnsi="宋体"/>
        </w:rPr>
      </w:pPr>
      <w:r>
        <w:rPr>
          <w:rFonts w:ascii="宋体" w:hAnsi="宋体"/>
        </w:rPr>
        <w:t>分包供应商不得将分包项目再次分包。入围供应商应当就分包项目向采购人负责，分包供应商就分包项目承担</w:t>
      </w:r>
      <w:r>
        <w:rPr>
          <w:rFonts w:ascii="宋体" w:hAnsi="宋体"/>
          <w:spacing w:val="1"/>
          <w:kern w:val="0"/>
          <w:szCs w:val="21"/>
        </w:rPr>
        <w:t>连带责任</w:t>
      </w:r>
      <w:r>
        <w:rPr>
          <w:rFonts w:ascii="宋体" w:hAnsi="宋体"/>
        </w:rPr>
        <w:t>。</w:t>
      </w:r>
    </w:p>
    <w:p w14:paraId="4AB9E42D">
      <w:pPr>
        <w:widowControl/>
        <w:spacing w:before="100" w:beforeAutospacing="1" w:after="100" w:afterAutospacing="1" w:line="400" w:lineRule="exact"/>
        <w:ind w:left="2" w:leftChars="1"/>
        <w:jc w:val="left"/>
        <w:outlineLvl w:val="2"/>
        <w:rPr>
          <w:rFonts w:eastAsia="黑体"/>
          <w:sz w:val="24"/>
        </w:rPr>
      </w:pPr>
      <w:bookmarkStart w:id="123" w:name="_Toc28086"/>
      <w:bookmarkStart w:id="124" w:name="_Toc118805485"/>
      <w:bookmarkStart w:id="125" w:name="_Toc118805108"/>
      <w:bookmarkStart w:id="126" w:name="_Toc118805862"/>
      <w:bookmarkStart w:id="127" w:name="_Toc118806972"/>
      <w:bookmarkStart w:id="128" w:name="_Toc149140200"/>
      <w:bookmarkStart w:id="129" w:name="_Toc143102144"/>
      <w:bookmarkStart w:id="130" w:name="_Toc118806233"/>
      <w:bookmarkStart w:id="131" w:name="_Toc30839"/>
      <w:r>
        <w:rPr>
          <w:rFonts w:eastAsia="黑体"/>
          <w:sz w:val="24"/>
        </w:rPr>
        <w:t>1.9 主要材料和关键部件外购（B）</w:t>
      </w:r>
      <w:bookmarkEnd w:id="123"/>
      <w:bookmarkEnd w:id="124"/>
      <w:bookmarkEnd w:id="125"/>
      <w:bookmarkEnd w:id="126"/>
      <w:bookmarkEnd w:id="127"/>
      <w:bookmarkEnd w:id="128"/>
      <w:bookmarkEnd w:id="129"/>
      <w:bookmarkEnd w:id="130"/>
      <w:bookmarkEnd w:id="131"/>
    </w:p>
    <w:p w14:paraId="76573B3D">
      <w:pPr>
        <w:spacing w:line="400" w:lineRule="exact"/>
        <w:ind w:firstLine="420" w:firstLineChars="200"/>
        <w:rPr>
          <w:rFonts w:ascii="宋体" w:hAnsi="宋体"/>
        </w:rPr>
      </w:pPr>
      <w:r>
        <w:rPr>
          <w:rFonts w:ascii="宋体" w:hAnsi="宋体"/>
        </w:rPr>
        <w:t>供应商拟对主要材料和关键部件进行外购的，应符合第五章“采购需求”中提出的或允许外购的相关规定，并在响应</w:t>
      </w:r>
      <w:r>
        <w:rPr>
          <w:rFonts w:ascii="宋体" w:hAnsi="宋体"/>
          <w:spacing w:val="1"/>
          <w:kern w:val="0"/>
          <w:szCs w:val="21"/>
        </w:rPr>
        <w:t>文件</w:t>
      </w:r>
      <w:r>
        <w:rPr>
          <w:rFonts w:ascii="宋体" w:hAnsi="宋体"/>
        </w:rPr>
        <w:t>中作出说明。</w:t>
      </w:r>
    </w:p>
    <w:p w14:paraId="6551D7EB">
      <w:pPr>
        <w:widowControl/>
        <w:spacing w:before="100" w:beforeAutospacing="1" w:after="100" w:afterAutospacing="1" w:line="400" w:lineRule="exact"/>
        <w:ind w:left="2" w:leftChars="1"/>
        <w:jc w:val="left"/>
        <w:outlineLvl w:val="2"/>
        <w:rPr>
          <w:rFonts w:eastAsia="黑体"/>
          <w:sz w:val="24"/>
        </w:rPr>
      </w:pPr>
      <w:bookmarkStart w:id="132" w:name="_Toc143102145"/>
      <w:bookmarkStart w:id="133" w:name="_Toc149140201"/>
      <w:r>
        <w:rPr>
          <w:rFonts w:eastAsia="黑体"/>
          <w:sz w:val="24"/>
        </w:rPr>
        <w:t>1.10 响应和偏差</w:t>
      </w:r>
      <w:bookmarkEnd w:id="132"/>
      <w:bookmarkEnd w:id="133"/>
    </w:p>
    <w:p w14:paraId="7E5ACD95">
      <w:pPr>
        <w:spacing w:line="400" w:lineRule="exact"/>
        <w:ind w:firstLine="420" w:firstLineChars="200"/>
        <w:rPr>
          <w:rFonts w:ascii="宋体" w:hAnsi="宋体"/>
        </w:rPr>
      </w:pPr>
      <w:r>
        <w:t>1</w:t>
      </w:r>
      <w:r>
        <w:rPr>
          <w:rFonts w:ascii="宋体" w:hAnsi="宋体"/>
        </w:rPr>
        <w:t>.</w:t>
      </w:r>
      <w:r>
        <w:t>10</w:t>
      </w:r>
      <w:r>
        <w:rPr>
          <w:rFonts w:ascii="宋体" w:hAnsi="宋体"/>
        </w:rPr>
        <w:t>.</w:t>
      </w:r>
      <w:r>
        <w:t>1</w:t>
      </w:r>
      <w:r>
        <w:rPr>
          <w:rFonts w:ascii="宋体" w:hAnsi="宋体"/>
        </w:rPr>
        <w:t>采购需求和合同条款及格式中的关键条款均以" * "符号标记。响应文件不得对采购需求和合同条款及格式中的关键条款作出不满足性或不利于采购人的响应</w:t>
      </w:r>
      <w:bookmarkStart w:id="134" w:name="_Hlk148687374"/>
      <w:r>
        <w:rPr>
          <w:rFonts w:ascii="宋体" w:hAnsi="宋体"/>
        </w:rPr>
        <w:t>，否则，供应商的响应文件将被视为无效。</w:t>
      </w:r>
      <w:bookmarkEnd w:id="134"/>
    </w:p>
    <w:p w14:paraId="1367C34F">
      <w:pPr>
        <w:spacing w:line="400" w:lineRule="exact"/>
        <w:ind w:firstLine="420" w:firstLineChars="200"/>
        <w:rPr>
          <w:rFonts w:ascii="宋体" w:hAnsi="宋体"/>
        </w:rPr>
      </w:pPr>
      <w:r>
        <w:t>1</w:t>
      </w:r>
      <w:r>
        <w:rPr>
          <w:rFonts w:ascii="宋体" w:hAnsi="宋体"/>
        </w:rPr>
        <w:t>.</w:t>
      </w:r>
      <w:r>
        <w:t>10</w:t>
      </w:r>
      <w:r>
        <w:rPr>
          <w:rFonts w:ascii="宋体" w:hAnsi="宋体"/>
        </w:rPr>
        <w:t>.</w:t>
      </w:r>
      <w:r>
        <w:t>2</w:t>
      </w:r>
      <w:r>
        <w:rPr>
          <w:rFonts w:ascii="宋体" w:hAnsi="宋体"/>
        </w:rPr>
        <w:t>供应商须知前附表规定了对非关键条款允许偏差的范围和可以偏差的项数的，如响应文件存在的偏差超出上述范围或项数，将被视为无效。</w:t>
      </w:r>
    </w:p>
    <w:p w14:paraId="0B70FF7D">
      <w:pPr>
        <w:keepNext/>
        <w:keepLines/>
        <w:widowControl/>
        <w:spacing w:before="260" w:after="260"/>
        <w:outlineLvl w:val="1"/>
        <w:rPr>
          <w:rFonts w:eastAsia="黑体"/>
          <w:b/>
          <w:sz w:val="28"/>
          <w:szCs w:val="18"/>
        </w:rPr>
      </w:pPr>
      <w:bookmarkStart w:id="135" w:name="_Toc149140202"/>
      <w:bookmarkStart w:id="136" w:name="_Hlk138877967"/>
      <w:r>
        <w:rPr>
          <w:rFonts w:eastAsia="黑体"/>
          <w:b/>
          <w:sz w:val="28"/>
          <w:szCs w:val="18"/>
        </w:rPr>
        <w:t>2 采购文件</w:t>
      </w:r>
      <w:bookmarkEnd w:id="135"/>
    </w:p>
    <w:p w14:paraId="6A16D626">
      <w:pPr>
        <w:widowControl/>
        <w:spacing w:before="100" w:beforeAutospacing="1" w:after="100" w:afterAutospacing="1" w:line="400" w:lineRule="exact"/>
        <w:ind w:left="2" w:leftChars="1"/>
        <w:jc w:val="left"/>
        <w:outlineLvl w:val="2"/>
        <w:rPr>
          <w:rFonts w:eastAsia="黑体"/>
          <w:sz w:val="24"/>
        </w:rPr>
      </w:pPr>
      <w:bookmarkStart w:id="137" w:name="_Toc149140203"/>
      <w:bookmarkStart w:id="138" w:name="_Toc143102147"/>
      <w:r>
        <w:rPr>
          <w:rFonts w:eastAsia="黑体"/>
          <w:sz w:val="24"/>
        </w:rPr>
        <w:t>2.1 采购文件的组成</w:t>
      </w:r>
      <w:bookmarkEnd w:id="137"/>
      <w:bookmarkEnd w:id="138"/>
    </w:p>
    <w:bookmarkEnd w:id="136"/>
    <w:p w14:paraId="214F6B78">
      <w:pPr>
        <w:spacing w:line="400" w:lineRule="exact"/>
        <w:ind w:firstLine="420" w:firstLineChars="200"/>
        <w:rPr>
          <w:rFonts w:ascii="宋体" w:hAnsi="宋体"/>
        </w:rPr>
      </w:pPr>
      <w:bookmarkStart w:id="139" w:name="_Hlk138877982"/>
      <w:r>
        <w:rPr>
          <w:rFonts w:ascii="宋体" w:hAnsi="宋体"/>
        </w:rPr>
        <w:t>本采购</w:t>
      </w:r>
      <w:r>
        <w:rPr>
          <w:rFonts w:ascii="宋体" w:hAnsi="宋体"/>
          <w:spacing w:val="1"/>
          <w:kern w:val="0"/>
          <w:szCs w:val="21"/>
        </w:rPr>
        <w:t>文件</w:t>
      </w:r>
      <w:r>
        <w:rPr>
          <w:rFonts w:ascii="宋体" w:hAnsi="宋体"/>
        </w:rPr>
        <w:t>包括：</w:t>
      </w:r>
    </w:p>
    <w:p w14:paraId="5A0418CC">
      <w:pPr>
        <w:spacing w:line="400" w:lineRule="exact"/>
        <w:ind w:firstLine="420" w:firstLineChars="200"/>
        <w:rPr>
          <w:rFonts w:ascii="宋体" w:hAnsi="宋体"/>
        </w:rPr>
      </w:pPr>
      <w:r>
        <w:rPr>
          <w:rFonts w:ascii="宋体" w:hAnsi="宋体"/>
        </w:rPr>
        <w:t>（</w:t>
      </w:r>
      <w:r>
        <w:t>1</w:t>
      </w:r>
      <w:r>
        <w:rPr>
          <w:rFonts w:ascii="宋体" w:hAnsi="宋体"/>
        </w:rPr>
        <w:t>）采购公告；</w:t>
      </w:r>
    </w:p>
    <w:p w14:paraId="566A8DCA">
      <w:pPr>
        <w:spacing w:line="400" w:lineRule="exact"/>
        <w:ind w:firstLine="420" w:firstLineChars="200"/>
        <w:rPr>
          <w:rFonts w:ascii="宋体" w:hAnsi="宋体"/>
        </w:rPr>
      </w:pPr>
      <w:r>
        <w:rPr>
          <w:rFonts w:ascii="宋体" w:hAnsi="宋体"/>
        </w:rPr>
        <w:t>（</w:t>
      </w:r>
      <w:r>
        <w:t>2</w:t>
      </w:r>
      <w:r>
        <w:rPr>
          <w:rFonts w:ascii="宋体" w:hAnsi="宋体"/>
        </w:rPr>
        <w:t>）供应商须知；</w:t>
      </w:r>
    </w:p>
    <w:p w14:paraId="2489C460">
      <w:pPr>
        <w:spacing w:line="400" w:lineRule="exact"/>
        <w:ind w:firstLine="420" w:firstLineChars="200"/>
        <w:rPr>
          <w:rFonts w:ascii="宋体" w:hAnsi="宋体"/>
        </w:rPr>
      </w:pPr>
      <w:r>
        <w:rPr>
          <w:rFonts w:ascii="宋体" w:hAnsi="宋体"/>
        </w:rPr>
        <w:t>（</w:t>
      </w:r>
      <w:r>
        <w:t>3</w:t>
      </w:r>
      <w:r>
        <w:rPr>
          <w:rFonts w:ascii="宋体" w:hAnsi="宋体"/>
        </w:rPr>
        <w:t>）评审</w:t>
      </w:r>
      <w:r>
        <w:rPr>
          <w:rFonts w:ascii="宋体" w:hAnsi="宋体"/>
          <w:spacing w:val="1"/>
          <w:kern w:val="0"/>
          <w:szCs w:val="21"/>
        </w:rPr>
        <w:t>办法</w:t>
      </w:r>
      <w:r>
        <w:rPr>
          <w:rFonts w:ascii="宋体" w:hAnsi="宋体"/>
        </w:rPr>
        <w:t>；</w:t>
      </w:r>
    </w:p>
    <w:p w14:paraId="4AF607E3">
      <w:pPr>
        <w:spacing w:line="400" w:lineRule="exact"/>
        <w:ind w:firstLine="420" w:firstLineChars="200"/>
        <w:rPr>
          <w:rFonts w:ascii="宋体" w:hAnsi="宋体"/>
        </w:rPr>
      </w:pPr>
      <w:r>
        <w:rPr>
          <w:rFonts w:ascii="宋体" w:hAnsi="宋体"/>
        </w:rPr>
        <w:t>（</w:t>
      </w:r>
      <w:r>
        <w:t>4</w:t>
      </w:r>
      <w:r>
        <w:rPr>
          <w:rFonts w:ascii="宋体" w:hAnsi="宋体"/>
        </w:rPr>
        <w:t>）合同条款及格式；</w:t>
      </w:r>
    </w:p>
    <w:p w14:paraId="33A172F3">
      <w:pPr>
        <w:spacing w:line="400" w:lineRule="exact"/>
        <w:ind w:firstLine="420" w:firstLineChars="200"/>
        <w:rPr>
          <w:rFonts w:ascii="宋体" w:hAnsi="宋体"/>
        </w:rPr>
      </w:pPr>
      <w:r>
        <w:rPr>
          <w:rFonts w:ascii="宋体" w:hAnsi="宋体"/>
        </w:rPr>
        <w:t>（</w:t>
      </w:r>
      <w:r>
        <w:t>5</w:t>
      </w:r>
      <w:r>
        <w:rPr>
          <w:rFonts w:ascii="宋体" w:hAnsi="宋体"/>
        </w:rPr>
        <w:t>）采购</w:t>
      </w:r>
      <w:r>
        <w:rPr>
          <w:rFonts w:ascii="宋体" w:hAnsi="宋体"/>
          <w:spacing w:val="1"/>
          <w:kern w:val="0"/>
          <w:szCs w:val="21"/>
        </w:rPr>
        <w:t>需求</w:t>
      </w:r>
      <w:r>
        <w:rPr>
          <w:rFonts w:ascii="宋体" w:hAnsi="宋体"/>
        </w:rPr>
        <w:t>；</w:t>
      </w:r>
    </w:p>
    <w:p w14:paraId="7F18C9CE">
      <w:pPr>
        <w:spacing w:line="400" w:lineRule="exact"/>
        <w:ind w:firstLine="420" w:firstLineChars="200"/>
        <w:rPr>
          <w:rFonts w:ascii="宋体" w:hAnsi="宋体"/>
        </w:rPr>
      </w:pPr>
      <w:r>
        <w:rPr>
          <w:rFonts w:ascii="宋体" w:hAnsi="宋体"/>
        </w:rPr>
        <w:t>（</w:t>
      </w:r>
      <w:r>
        <w:t>6</w:t>
      </w:r>
      <w:r>
        <w:rPr>
          <w:rFonts w:ascii="宋体" w:hAnsi="宋体"/>
        </w:rPr>
        <w:t>）响应</w:t>
      </w:r>
      <w:r>
        <w:rPr>
          <w:rFonts w:ascii="宋体" w:hAnsi="宋体"/>
          <w:spacing w:val="1"/>
          <w:kern w:val="0"/>
          <w:szCs w:val="21"/>
        </w:rPr>
        <w:t>文件</w:t>
      </w:r>
      <w:r>
        <w:rPr>
          <w:rFonts w:ascii="宋体" w:hAnsi="宋体"/>
        </w:rPr>
        <w:t>格式；</w:t>
      </w:r>
    </w:p>
    <w:p w14:paraId="575F35CD">
      <w:pPr>
        <w:spacing w:line="400" w:lineRule="exact"/>
        <w:ind w:firstLine="420" w:firstLineChars="200"/>
        <w:rPr>
          <w:rFonts w:ascii="宋体" w:hAnsi="宋体"/>
        </w:rPr>
      </w:pPr>
      <w:r>
        <w:rPr>
          <w:rFonts w:ascii="宋体" w:hAnsi="宋体"/>
        </w:rPr>
        <w:t>（</w:t>
      </w:r>
      <w:r>
        <w:t>7</w:t>
      </w:r>
      <w:r>
        <w:rPr>
          <w:rFonts w:ascii="宋体" w:hAnsi="宋体"/>
        </w:rPr>
        <w:t>）供应商须知前附表规定的其他资料。</w:t>
      </w:r>
    </w:p>
    <w:p w14:paraId="31747EBD">
      <w:pPr>
        <w:spacing w:line="400" w:lineRule="exact"/>
        <w:ind w:firstLine="420" w:firstLineChars="200"/>
        <w:rPr>
          <w:rFonts w:ascii="宋体" w:hAnsi="宋体"/>
        </w:rPr>
      </w:pPr>
      <w:r>
        <w:rPr>
          <w:rFonts w:ascii="宋体" w:hAnsi="宋体"/>
        </w:rPr>
        <w:t>采购人依照本章</w:t>
      </w:r>
      <w:r>
        <w:rPr>
          <w:rFonts w:ascii="宋体" w:hAnsi="宋体"/>
          <w:spacing w:val="1"/>
          <w:kern w:val="0"/>
          <w:szCs w:val="21"/>
        </w:rPr>
        <w:t>规定</w:t>
      </w:r>
      <w:r>
        <w:rPr>
          <w:rFonts w:ascii="宋体" w:hAnsi="宋体"/>
        </w:rPr>
        <w:t>，对采购文件所做的澄清补遗、修改，构成采购文件的组成部分。</w:t>
      </w:r>
    </w:p>
    <w:bookmarkEnd w:id="139"/>
    <w:p w14:paraId="6FB3ECC5">
      <w:pPr>
        <w:widowControl/>
        <w:spacing w:before="100" w:beforeAutospacing="1" w:after="100" w:afterAutospacing="1" w:line="400" w:lineRule="exact"/>
        <w:ind w:left="2" w:leftChars="1"/>
        <w:jc w:val="left"/>
        <w:outlineLvl w:val="2"/>
        <w:rPr>
          <w:rFonts w:eastAsia="黑体"/>
          <w:sz w:val="24"/>
        </w:rPr>
      </w:pPr>
      <w:bookmarkStart w:id="140" w:name="_Toc149140204"/>
      <w:bookmarkStart w:id="141" w:name="_Toc143102148"/>
      <w:r>
        <w:rPr>
          <w:rFonts w:eastAsia="黑体"/>
          <w:sz w:val="24"/>
        </w:rPr>
        <w:t>2.2 采购文件的澄清和修改</w:t>
      </w:r>
      <w:bookmarkEnd w:id="140"/>
      <w:bookmarkEnd w:id="141"/>
    </w:p>
    <w:p w14:paraId="6DDABF98">
      <w:pPr>
        <w:spacing w:line="400" w:lineRule="exact"/>
        <w:ind w:firstLine="420" w:firstLineChars="200"/>
        <w:rPr>
          <w:rFonts w:ascii="宋体" w:hAnsi="宋体"/>
          <w:szCs w:val="21"/>
        </w:rPr>
      </w:pPr>
      <w:r>
        <w:rPr>
          <w:szCs w:val="21"/>
        </w:rPr>
        <w:t>2</w:t>
      </w:r>
      <w:r>
        <w:rPr>
          <w:rFonts w:ascii="宋体" w:hAnsi="宋体"/>
          <w:szCs w:val="21"/>
        </w:rPr>
        <w:t>.</w:t>
      </w:r>
      <w:r>
        <w:rPr>
          <w:szCs w:val="21"/>
        </w:rPr>
        <w:t>2</w:t>
      </w:r>
      <w:r>
        <w:rPr>
          <w:rFonts w:ascii="宋体" w:hAnsi="宋体"/>
          <w:szCs w:val="21"/>
        </w:rPr>
        <w:t>.</w:t>
      </w:r>
      <w:r>
        <w:rPr>
          <w:szCs w:val="21"/>
        </w:rPr>
        <w:t>1</w:t>
      </w:r>
      <w:r>
        <w:rPr>
          <w:rFonts w:ascii="宋体" w:hAnsi="宋体"/>
          <w:szCs w:val="21"/>
        </w:rPr>
        <w:t>供应商应仔细阅读和检查采购文件的全部。如发现缺页或内容不全，应及时向采购人提出，以便补齐。如有疑问，应在供应商须知前附表规定的时间前，</w:t>
      </w:r>
      <w:bookmarkStart w:id="142" w:name="_Hlk138878014"/>
      <w:r>
        <w:rPr>
          <w:rFonts w:ascii="宋体" w:hAnsi="宋体"/>
          <w:szCs w:val="21"/>
        </w:rPr>
        <w:t>按照规定形式要求采购人对采购文件予以澄清。</w:t>
      </w:r>
      <w:bookmarkEnd w:id="142"/>
    </w:p>
    <w:p w14:paraId="2C4E79BF">
      <w:pPr>
        <w:spacing w:line="400" w:lineRule="exact"/>
        <w:ind w:firstLine="420" w:firstLineChars="200"/>
        <w:rPr>
          <w:rFonts w:ascii="宋体" w:hAnsi="宋体"/>
          <w:strike/>
        </w:rPr>
      </w:pPr>
      <w:r>
        <w:rPr>
          <w:szCs w:val="21"/>
        </w:rPr>
        <w:t>2</w:t>
      </w:r>
      <w:r>
        <w:rPr>
          <w:rFonts w:ascii="宋体" w:hAnsi="宋体"/>
          <w:szCs w:val="21"/>
        </w:rPr>
        <w:t>.</w:t>
      </w:r>
      <w:r>
        <w:rPr>
          <w:szCs w:val="21"/>
        </w:rPr>
        <w:t>2</w:t>
      </w:r>
      <w:r>
        <w:rPr>
          <w:rFonts w:ascii="宋体" w:hAnsi="宋体"/>
          <w:szCs w:val="21"/>
        </w:rPr>
        <w:t>.</w:t>
      </w:r>
      <w:r>
        <w:rPr>
          <w:szCs w:val="21"/>
        </w:rPr>
        <w:t>2</w:t>
      </w:r>
      <w:r>
        <w:rPr>
          <w:rFonts w:ascii="宋体" w:hAnsi="宋体"/>
          <w:szCs w:val="21"/>
        </w:rPr>
        <w:t>采购人可根据供应商的要求或主动对采购文件进行</w:t>
      </w:r>
      <w:bookmarkStart w:id="143" w:name="_Hlk148688928"/>
      <w:r>
        <w:rPr>
          <w:rFonts w:ascii="宋体" w:hAnsi="宋体"/>
        </w:rPr>
        <w:t>补遗</w:t>
      </w:r>
      <w:bookmarkEnd w:id="143"/>
      <w:r>
        <w:rPr>
          <w:rFonts w:ascii="宋体" w:hAnsi="宋体"/>
          <w:szCs w:val="21"/>
        </w:rPr>
        <w:t>或修改。</w:t>
      </w:r>
      <w:r>
        <w:rPr>
          <w:rFonts w:ascii="宋体" w:hAnsi="宋体"/>
        </w:rPr>
        <w:t>补遗</w:t>
      </w:r>
      <w:r>
        <w:rPr>
          <w:rFonts w:ascii="宋体" w:hAnsi="宋体"/>
          <w:szCs w:val="21"/>
        </w:rPr>
        <w:t>或修改的内容以补充文件的形式发给所有</w:t>
      </w:r>
      <w:r>
        <w:rPr>
          <w:rFonts w:ascii="宋体" w:hAnsi="宋体"/>
          <w:spacing w:val="1"/>
          <w:kern w:val="0"/>
          <w:szCs w:val="21"/>
        </w:rPr>
        <w:t>获取</w:t>
      </w:r>
      <w:r>
        <w:rPr>
          <w:rFonts w:ascii="宋体" w:hAnsi="宋体"/>
          <w:szCs w:val="21"/>
        </w:rPr>
        <w:t>采购文件的供应商。</w:t>
      </w:r>
      <w:r>
        <w:rPr>
          <w:rFonts w:ascii="宋体" w:hAnsi="宋体"/>
        </w:rPr>
        <w:t>补遗发出的时间距本章第</w:t>
      </w:r>
      <w:r>
        <w:t>4</w:t>
      </w:r>
      <w:r>
        <w:rPr>
          <w:rFonts w:ascii="宋体" w:hAnsi="宋体"/>
        </w:rPr>
        <w:t>.</w:t>
      </w:r>
      <w:r>
        <w:t>2</w:t>
      </w:r>
      <w:r>
        <w:rPr>
          <w:rFonts w:ascii="宋体" w:hAnsi="宋体"/>
        </w:rPr>
        <w:t>.</w:t>
      </w:r>
      <w:r>
        <w:t>1</w:t>
      </w:r>
      <w:r>
        <w:rPr>
          <w:rFonts w:ascii="宋体" w:hAnsi="宋体"/>
        </w:rPr>
        <w:t>项规定的投标截止时间不足</w:t>
      </w:r>
      <w:r>
        <w:t>3</w:t>
      </w:r>
      <w:r>
        <w:rPr>
          <w:rFonts w:ascii="宋体" w:hAnsi="宋体"/>
        </w:rPr>
        <w:t>日的，并且补遗内容可能影响响应文件编制的，将相应延长响应文件递交截止时间。</w:t>
      </w:r>
    </w:p>
    <w:p w14:paraId="65C5AAE6">
      <w:pPr>
        <w:spacing w:line="400" w:lineRule="exact"/>
        <w:ind w:firstLine="420" w:firstLineChars="200"/>
        <w:rPr>
          <w:rFonts w:ascii="宋体" w:hAnsi="宋体"/>
        </w:rPr>
      </w:pPr>
      <w:r>
        <w:rPr>
          <w:szCs w:val="21"/>
        </w:rPr>
        <w:t>2</w:t>
      </w:r>
      <w:r>
        <w:rPr>
          <w:rFonts w:ascii="宋体" w:hAnsi="宋体"/>
          <w:szCs w:val="21"/>
        </w:rPr>
        <w:t>.</w:t>
      </w:r>
      <w:r>
        <w:rPr>
          <w:szCs w:val="21"/>
        </w:rPr>
        <w:t>2</w:t>
      </w:r>
      <w:r>
        <w:rPr>
          <w:rFonts w:ascii="宋体" w:hAnsi="宋体"/>
          <w:szCs w:val="21"/>
        </w:rPr>
        <w:t>.</w:t>
      </w:r>
      <w:r>
        <w:rPr>
          <w:szCs w:val="21"/>
        </w:rPr>
        <w:t>3</w:t>
      </w:r>
      <w:bookmarkStart w:id="144" w:name="_Hlk137483486"/>
      <w:r>
        <w:rPr>
          <w:rFonts w:ascii="宋体" w:hAnsi="宋体"/>
        </w:rPr>
        <w:t>采购</w:t>
      </w:r>
      <w:r>
        <w:rPr>
          <w:rFonts w:ascii="宋体" w:hAnsi="宋体"/>
          <w:kern w:val="0"/>
        </w:rPr>
        <w:t>人对采购文件的澄清</w:t>
      </w:r>
      <w:r>
        <w:rPr>
          <w:rFonts w:ascii="宋体" w:hAnsi="宋体"/>
        </w:rPr>
        <w:t>补遗</w:t>
      </w:r>
      <w:r>
        <w:rPr>
          <w:rFonts w:ascii="宋体" w:hAnsi="宋体"/>
          <w:kern w:val="0"/>
        </w:rPr>
        <w:t>在</w:t>
      </w:r>
      <w:bookmarkStart w:id="145" w:name="_Hlk24118477"/>
      <w:r>
        <w:rPr>
          <w:rFonts w:ascii="宋体" w:hAnsi="宋体"/>
          <w:kern w:val="0"/>
        </w:rPr>
        <w:t>“招采平台”</w:t>
      </w:r>
      <w:r>
        <w:rPr>
          <w:rFonts w:ascii="宋体" w:hAnsi="宋体"/>
          <w:szCs w:val="21"/>
        </w:rPr>
        <w:t>“答疑澄清文件”</w:t>
      </w:r>
      <w:bookmarkEnd w:id="145"/>
      <w:r>
        <w:rPr>
          <w:rFonts w:ascii="宋体" w:hAnsi="宋体"/>
          <w:szCs w:val="21"/>
        </w:rPr>
        <w:t>菜单</w:t>
      </w:r>
      <w:r>
        <w:rPr>
          <w:rFonts w:ascii="宋体" w:hAnsi="宋体"/>
          <w:kern w:val="0"/>
        </w:rPr>
        <w:t>中一经发出则视为送达所有供应商。</w:t>
      </w:r>
      <w:r>
        <w:rPr>
          <w:rFonts w:ascii="宋体" w:hAnsi="宋体"/>
        </w:rPr>
        <w:t>供应商应及时浏览</w:t>
      </w:r>
      <w:r>
        <w:rPr>
          <w:rFonts w:ascii="宋体" w:hAnsi="宋体"/>
          <w:szCs w:val="21"/>
        </w:rPr>
        <w:t>该平台</w:t>
      </w:r>
      <w:r>
        <w:rPr>
          <w:rFonts w:ascii="宋体" w:hAnsi="宋体"/>
        </w:rPr>
        <w:t>发出的澄清补遗并在“答疑澄清文件领取”下载</w:t>
      </w:r>
      <w:r>
        <w:rPr>
          <w:rFonts w:ascii="宋体" w:hAnsi="宋体"/>
          <w:kern w:val="0"/>
        </w:rPr>
        <w:t>，因供应商未及时查阅下载上述澄清</w:t>
      </w:r>
      <w:r>
        <w:rPr>
          <w:rFonts w:ascii="宋体" w:hAnsi="宋体"/>
        </w:rPr>
        <w:t>补遗</w:t>
      </w:r>
      <w:r>
        <w:rPr>
          <w:rFonts w:ascii="宋体" w:hAnsi="宋体"/>
          <w:kern w:val="0"/>
        </w:rPr>
        <w:t>而导致的后果由供应商自行承担。</w:t>
      </w:r>
      <w:bookmarkEnd w:id="144"/>
    </w:p>
    <w:p w14:paraId="1C8CB577">
      <w:pPr>
        <w:spacing w:line="400" w:lineRule="exact"/>
        <w:ind w:firstLine="420" w:firstLineChars="200"/>
        <w:rPr>
          <w:rFonts w:ascii="宋体" w:hAnsi="宋体"/>
          <w:szCs w:val="21"/>
        </w:rPr>
      </w:pPr>
      <w:r>
        <w:rPr>
          <w:szCs w:val="21"/>
        </w:rPr>
        <w:t>2</w:t>
      </w:r>
      <w:r>
        <w:rPr>
          <w:rFonts w:ascii="宋体" w:hAnsi="宋体"/>
          <w:szCs w:val="21"/>
        </w:rPr>
        <w:t>.</w:t>
      </w:r>
      <w:r>
        <w:rPr>
          <w:szCs w:val="21"/>
        </w:rPr>
        <w:t>2</w:t>
      </w:r>
      <w:r>
        <w:rPr>
          <w:rFonts w:ascii="宋体" w:hAnsi="宋体"/>
          <w:szCs w:val="21"/>
        </w:rPr>
        <w:t>.</w:t>
      </w:r>
      <w:r>
        <w:rPr>
          <w:szCs w:val="21"/>
        </w:rPr>
        <w:t>4</w:t>
      </w:r>
      <w:r>
        <w:rPr>
          <w:rFonts w:ascii="宋体" w:hAnsi="宋体"/>
          <w:szCs w:val="21"/>
        </w:rPr>
        <w:t>除非确有必要，采购人有权拒绝回复供应商在本章第</w:t>
      </w:r>
      <w:r>
        <w:rPr>
          <w:szCs w:val="21"/>
        </w:rPr>
        <w:t>2</w:t>
      </w:r>
      <w:r>
        <w:rPr>
          <w:rFonts w:ascii="宋体" w:hAnsi="宋体"/>
          <w:szCs w:val="21"/>
        </w:rPr>
        <w:t>.</w:t>
      </w:r>
      <w:r>
        <w:rPr>
          <w:szCs w:val="21"/>
        </w:rPr>
        <w:t>2</w:t>
      </w:r>
      <w:r>
        <w:rPr>
          <w:rFonts w:ascii="宋体" w:hAnsi="宋体"/>
          <w:szCs w:val="21"/>
        </w:rPr>
        <w:t>.</w:t>
      </w:r>
      <w:r>
        <w:rPr>
          <w:szCs w:val="21"/>
        </w:rPr>
        <w:t>1</w:t>
      </w:r>
      <w:r>
        <w:rPr>
          <w:rFonts w:ascii="宋体" w:hAnsi="宋体"/>
          <w:szCs w:val="21"/>
        </w:rPr>
        <w:t>项规定的时间后提出的任何澄清要求。</w:t>
      </w:r>
    </w:p>
    <w:p w14:paraId="29B535AA">
      <w:pPr>
        <w:keepNext/>
        <w:keepLines/>
        <w:widowControl/>
        <w:spacing w:before="260" w:after="260"/>
        <w:outlineLvl w:val="1"/>
        <w:rPr>
          <w:rFonts w:eastAsia="黑体"/>
          <w:b/>
          <w:sz w:val="28"/>
          <w:szCs w:val="18"/>
        </w:rPr>
      </w:pPr>
      <w:bookmarkStart w:id="146" w:name="_Toc149140205"/>
      <w:r>
        <w:rPr>
          <w:rFonts w:eastAsia="黑体"/>
          <w:b/>
          <w:sz w:val="28"/>
          <w:szCs w:val="18"/>
        </w:rPr>
        <w:t>3 响应文件</w:t>
      </w:r>
      <w:bookmarkEnd w:id="146"/>
    </w:p>
    <w:p w14:paraId="68320007">
      <w:pPr>
        <w:widowControl/>
        <w:spacing w:before="100" w:beforeAutospacing="1" w:after="100" w:afterAutospacing="1" w:line="400" w:lineRule="exact"/>
        <w:ind w:left="2" w:leftChars="1"/>
        <w:jc w:val="left"/>
        <w:outlineLvl w:val="2"/>
        <w:rPr>
          <w:rFonts w:eastAsia="黑体"/>
          <w:sz w:val="24"/>
        </w:rPr>
      </w:pPr>
      <w:bookmarkStart w:id="147" w:name="_Toc149140206"/>
      <w:bookmarkStart w:id="148" w:name="_Toc143102150"/>
      <w:r>
        <w:rPr>
          <w:rFonts w:eastAsia="黑体"/>
          <w:sz w:val="24"/>
        </w:rPr>
        <w:t>3.1 响应文件的组成</w:t>
      </w:r>
      <w:bookmarkEnd w:id="147"/>
      <w:bookmarkEnd w:id="148"/>
    </w:p>
    <w:p w14:paraId="1B0D23B7">
      <w:pPr>
        <w:spacing w:line="400" w:lineRule="exact"/>
        <w:ind w:firstLine="420" w:firstLineChars="200"/>
        <w:rPr>
          <w:rFonts w:ascii="宋体" w:hAnsi="宋体"/>
          <w:szCs w:val="21"/>
        </w:rPr>
      </w:pPr>
      <w:r>
        <w:rPr>
          <w:szCs w:val="21"/>
        </w:rPr>
        <w:t>3</w:t>
      </w:r>
      <w:r>
        <w:rPr>
          <w:rFonts w:ascii="宋体" w:hAnsi="宋体"/>
          <w:szCs w:val="21"/>
        </w:rPr>
        <w:t>.</w:t>
      </w:r>
      <w:r>
        <w:rPr>
          <w:szCs w:val="21"/>
        </w:rPr>
        <w:t>1</w:t>
      </w:r>
      <w:r>
        <w:rPr>
          <w:rFonts w:ascii="宋体" w:hAnsi="宋体"/>
          <w:szCs w:val="21"/>
        </w:rPr>
        <w:t>.</w:t>
      </w:r>
      <w:r>
        <w:rPr>
          <w:szCs w:val="21"/>
        </w:rPr>
        <w:t>1</w:t>
      </w:r>
      <w:r>
        <w:rPr>
          <w:rFonts w:ascii="宋体" w:hAnsi="宋体"/>
          <w:szCs w:val="21"/>
        </w:rPr>
        <w:t xml:space="preserve"> 响应文件应包括下列内容：</w:t>
      </w:r>
    </w:p>
    <w:p w14:paraId="687FCD12">
      <w:pPr>
        <w:spacing w:line="400" w:lineRule="exact"/>
        <w:ind w:firstLine="420" w:firstLineChars="200"/>
        <w:rPr>
          <w:rFonts w:ascii="宋体" w:hAnsi="宋体"/>
          <w:szCs w:val="21"/>
        </w:rPr>
      </w:pPr>
      <w:bookmarkStart w:id="149" w:name="_Hlk138878154"/>
      <w:r>
        <w:rPr>
          <w:rFonts w:ascii="宋体" w:hAnsi="宋体"/>
          <w:szCs w:val="21"/>
        </w:rPr>
        <w:t>（</w:t>
      </w:r>
      <w:r>
        <w:rPr>
          <w:szCs w:val="21"/>
        </w:rPr>
        <w:t>1</w:t>
      </w:r>
      <w:r>
        <w:rPr>
          <w:rFonts w:ascii="宋体" w:hAnsi="宋体"/>
          <w:szCs w:val="21"/>
        </w:rPr>
        <w:t>）响应函；</w:t>
      </w:r>
    </w:p>
    <w:p w14:paraId="018346F8">
      <w:pPr>
        <w:spacing w:line="400" w:lineRule="exact"/>
        <w:ind w:firstLine="420" w:firstLineChars="200"/>
        <w:rPr>
          <w:rFonts w:ascii="宋体" w:hAnsi="宋体"/>
          <w:szCs w:val="21"/>
        </w:rPr>
      </w:pPr>
      <w:r>
        <w:rPr>
          <w:rFonts w:ascii="宋体" w:hAnsi="宋体"/>
          <w:szCs w:val="21"/>
        </w:rPr>
        <w:t>（</w:t>
      </w:r>
      <w:r>
        <w:rPr>
          <w:szCs w:val="21"/>
        </w:rPr>
        <w:t>2</w:t>
      </w:r>
      <w:r>
        <w:rPr>
          <w:rFonts w:ascii="宋体" w:hAnsi="宋体"/>
          <w:szCs w:val="21"/>
        </w:rPr>
        <w:t>）授权</w:t>
      </w:r>
      <w:r>
        <w:rPr>
          <w:rFonts w:ascii="宋体" w:hAnsi="宋体"/>
          <w:spacing w:val="1"/>
          <w:kern w:val="0"/>
          <w:szCs w:val="21"/>
        </w:rPr>
        <w:t>委托书</w:t>
      </w:r>
      <w:r>
        <w:rPr>
          <w:rFonts w:ascii="宋体" w:hAnsi="宋体"/>
          <w:szCs w:val="21"/>
        </w:rPr>
        <w:t>；</w:t>
      </w:r>
    </w:p>
    <w:p w14:paraId="739114B4">
      <w:pPr>
        <w:spacing w:line="400" w:lineRule="exact"/>
        <w:ind w:firstLine="420" w:firstLineChars="200"/>
        <w:rPr>
          <w:rFonts w:ascii="宋体" w:hAnsi="宋体"/>
          <w:szCs w:val="21"/>
        </w:rPr>
      </w:pPr>
      <w:r>
        <w:rPr>
          <w:rFonts w:ascii="宋体" w:hAnsi="宋体"/>
          <w:szCs w:val="21"/>
        </w:rPr>
        <w:t>（</w:t>
      </w:r>
      <w:r>
        <w:rPr>
          <w:szCs w:val="21"/>
        </w:rPr>
        <w:t>3</w:t>
      </w:r>
      <w:r>
        <w:rPr>
          <w:rFonts w:ascii="宋体" w:hAnsi="宋体"/>
          <w:szCs w:val="21"/>
        </w:rPr>
        <w:t>）联合体协议书（如有）；</w:t>
      </w:r>
    </w:p>
    <w:p w14:paraId="731DD770">
      <w:pPr>
        <w:spacing w:line="400" w:lineRule="exact"/>
        <w:ind w:firstLine="420" w:firstLineChars="200"/>
        <w:rPr>
          <w:rFonts w:ascii="宋体" w:hAnsi="宋体"/>
          <w:szCs w:val="21"/>
        </w:rPr>
      </w:pPr>
      <w:r>
        <w:rPr>
          <w:rFonts w:ascii="宋体" w:hAnsi="宋体"/>
          <w:szCs w:val="21"/>
        </w:rPr>
        <w:t>（</w:t>
      </w:r>
      <w:r>
        <w:rPr>
          <w:szCs w:val="21"/>
        </w:rPr>
        <w:t>4</w:t>
      </w:r>
      <w:r>
        <w:rPr>
          <w:rFonts w:ascii="宋体" w:hAnsi="宋体"/>
          <w:szCs w:val="21"/>
        </w:rPr>
        <w:t>）响应保证金（如有）；</w:t>
      </w:r>
    </w:p>
    <w:p w14:paraId="09620AC0">
      <w:pPr>
        <w:spacing w:line="400" w:lineRule="exact"/>
        <w:ind w:firstLine="420" w:firstLineChars="200"/>
        <w:rPr>
          <w:rFonts w:ascii="宋体" w:hAnsi="宋体"/>
          <w:szCs w:val="21"/>
        </w:rPr>
      </w:pPr>
      <w:bookmarkStart w:id="150" w:name="_Hlk137198627"/>
      <w:r>
        <w:rPr>
          <w:rFonts w:ascii="宋体" w:hAnsi="宋体"/>
          <w:szCs w:val="21"/>
        </w:rPr>
        <w:t>（</w:t>
      </w:r>
      <w:r>
        <w:rPr>
          <w:szCs w:val="21"/>
        </w:rPr>
        <w:t>5</w:t>
      </w:r>
      <w:r>
        <w:rPr>
          <w:rFonts w:ascii="宋体" w:hAnsi="宋体"/>
          <w:szCs w:val="21"/>
        </w:rPr>
        <w:t>）商务和技术偏差表；</w:t>
      </w:r>
    </w:p>
    <w:bookmarkEnd w:id="150"/>
    <w:p w14:paraId="08835E52">
      <w:pPr>
        <w:spacing w:line="400" w:lineRule="exact"/>
        <w:ind w:firstLine="420" w:firstLineChars="200"/>
        <w:rPr>
          <w:rFonts w:ascii="宋体" w:hAnsi="宋体"/>
          <w:szCs w:val="21"/>
        </w:rPr>
      </w:pPr>
      <w:r>
        <w:rPr>
          <w:rFonts w:ascii="宋体" w:hAnsi="宋体"/>
          <w:szCs w:val="21"/>
        </w:rPr>
        <w:t>（</w:t>
      </w:r>
      <w:r>
        <w:rPr>
          <w:szCs w:val="21"/>
        </w:rPr>
        <w:t>6</w:t>
      </w:r>
      <w:r>
        <w:rPr>
          <w:rFonts w:ascii="宋体" w:hAnsi="宋体"/>
          <w:szCs w:val="21"/>
        </w:rPr>
        <w:t>）报价表；</w:t>
      </w:r>
    </w:p>
    <w:p w14:paraId="5CB3D4D1">
      <w:pPr>
        <w:spacing w:line="400" w:lineRule="exact"/>
        <w:ind w:firstLine="420" w:firstLineChars="200"/>
        <w:rPr>
          <w:rFonts w:ascii="宋体" w:hAnsi="宋体"/>
          <w:szCs w:val="21"/>
        </w:rPr>
      </w:pPr>
      <w:r>
        <w:rPr>
          <w:rFonts w:ascii="宋体" w:hAnsi="宋体"/>
          <w:szCs w:val="21"/>
        </w:rPr>
        <w:t>（</w:t>
      </w:r>
      <w:r>
        <w:rPr>
          <w:szCs w:val="21"/>
        </w:rPr>
        <w:t>7</w:t>
      </w:r>
      <w:r>
        <w:rPr>
          <w:rFonts w:ascii="宋体" w:hAnsi="宋体"/>
          <w:szCs w:val="21"/>
        </w:rPr>
        <w:t>）资格审查资料；</w:t>
      </w:r>
    </w:p>
    <w:p w14:paraId="0B28B766">
      <w:pPr>
        <w:spacing w:line="400" w:lineRule="exact"/>
        <w:ind w:firstLine="420" w:firstLineChars="200"/>
        <w:rPr>
          <w:rFonts w:ascii="宋体" w:hAnsi="宋体"/>
          <w:szCs w:val="21"/>
        </w:rPr>
      </w:pPr>
      <w:r>
        <w:rPr>
          <w:rFonts w:ascii="宋体" w:hAnsi="宋体"/>
          <w:szCs w:val="21"/>
        </w:rPr>
        <w:t>（</w:t>
      </w:r>
      <w:r>
        <w:rPr>
          <w:szCs w:val="21"/>
        </w:rPr>
        <w:t>8</w:t>
      </w:r>
      <w:r>
        <w:rPr>
          <w:rFonts w:ascii="宋体" w:hAnsi="宋体"/>
          <w:szCs w:val="21"/>
        </w:rPr>
        <w:t>）</w:t>
      </w:r>
      <w:r>
        <w:rPr>
          <w:rFonts w:ascii="宋体" w:hAnsi="宋体"/>
          <w:spacing w:val="1"/>
          <w:kern w:val="0"/>
          <w:szCs w:val="21"/>
        </w:rPr>
        <w:t>响应</w:t>
      </w:r>
      <w:r>
        <w:rPr>
          <w:rFonts w:ascii="宋体" w:hAnsi="宋体"/>
          <w:szCs w:val="21"/>
        </w:rPr>
        <w:t>方案；</w:t>
      </w:r>
    </w:p>
    <w:p w14:paraId="379BE76E">
      <w:pPr>
        <w:spacing w:line="400" w:lineRule="exact"/>
        <w:ind w:firstLine="420" w:firstLineChars="200"/>
        <w:rPr>
          <w:rFonts w:ascii="宋体" w:hAnsi="宋体"/>
          <w:szCs w:val="21"/>
        </w:rPr>
      </w:pPr>
      <w:r>
        <w:rPr>
          <w:rFonts w:ascii="宋体" w:hAnsi="宋体"/>
          <w:szCs w:val="21"/>
        </w:rPr>
        <w:t>（</w:t>
      </w:r>
      <w:r>
        <w:rPr>
          <w:szCs w:val="21"/>
        </w:rPr>
        <w:t>9</w:t>
      </w:r>
      <w:r>
        <w:rPr>
          <w:rFonts w:ascii="宋体" w:hAnsi="宋体"/>
          <w:szCs w:val="21"/>
        </w:rPr>
        <w:t>）</w:t>
      </w:r>
      <w:r>
        <w:rPr>
          <w:rFonts w:ascii="宋体" w:hAnsi="宋体"/>
          <w:spacing w:val="1"/>
          <w:kern w:val="0"/>
          <w:szCs w:val="21"/>
        </w:rPr>
        <w:t>承诺</w:t>
      </w:r>
      <w:r>
        <w:rPr>
          <w:rFonts w:ascii="宋体" w:hAnsi="宋体"/>
          <w:szCs w:val="21"/>
        </w:rPr>
        <w:t>函；</w:t>
      </w:r>
    </w:p>
    <w:p w14:paraId="248E61B7">
      <w:pPr>
        <w:spacing w:line="400" w:lineRule="exact"/>
        <w:ind w:firstLine="420" w:firstLineChars="200"/>
        <w:rPr>
          <w:rFonts w:ascii="宋体" w:hAnsi="宋体"/>
          <w:szCs w:val="21"/>
        </w:rPr>
      </w:pPr>
      <w:r>
        <w:rPr>
          <w:rFonts w:ascii="宋体" w:hAnsi="宋体"/>
          <w:szCs w:val="21"/>
        </w:rPr>
        <w:t>（</w:t>
      </w:r>
      <w:r>
        <w:rPr>
          <w:szCs w:val="21"/>
        </w:rPr>
        <w:t>10</w:t>
      </w:r>
      <w:r>
        <w:rPr>
          <w:rFonts w:ascii="宋体" w:hAnsi="宋体"/>
          <w:szCs w:val="21"/>
        </w:rPr>
        <w:t>）供应商须知前附表规定的其他资料。</w:t>
      </w:r>
    </w:p>
    <w:bookmarkEnd w:id="149"/>
    <w:p w14:paraId="5FD2837B">
      <w:pPr>
        <w:spacing w:line="400" w:lineRule="exact"/>
        <w:ind w:firstLine="420" w:firstLineChars="200"/>
        <w:rPr>
          <w:rFonts w:ascii="宋体" w:hAnsi="宋体"/>
        </w:rPr>
      </w:pPr>
      <w:bookmarkStart w:id="151" w:name="_Hlk138878140"/>
      <w:r>
        <w:rPr>
          <w:rFonts w:ascii="宋体" w:hAnsi="宋体"/>
        </w:rPr>
        <w:t>供应商在评审过程中作出的符合采购文件要求的澄清、说明和补正，构成响应文件的组成部分。</w:t>
      </w:r>
    </w:p>
    <w:p w14:paraId="51F676E3">
      <w:pPr>
        <w:spacing w:line="400" w:lineRule="exact"/>
        <w:ind w:firstLine="420" w:firstLineChars="200"/>
        <w:rPr>
          <w:rFonts w:ascii="宋体" w:hAnsi="宋体"/>
        </w:rPr>
      </w:pPr>
      <w:r>
        <w:t>3</w:t>
      </w:r>
      <w:r>
        <w:rPr>
          <w:rFonts w:ascii="宋体" w:hAnsi="宋体"/>
        </w:rPr>
        <w:t>.</w:t>
      </w:r>
      <w:r>
        <w:t>1</w:t>
      </w:r>
      <w:r>
        <w:rPr>
          <w:rFonts w:ascii="宋体" w:hAnsi="宋体"/>
        </w:rPr>
        <w:t>.</w:t>
      </w:r>
      <w:r>
        <w:t>2</w:t>
      </w:r>
      <w:r>
        <w:rPr>
          <w:rFonts w:ascii="宋体" w:hAnsi="宋体"/>
        </w:rPr>
        <w:t xml:space="preserve"> 第一章“采购公告”规定不接受联合体的，或供应商没有组成联合体的，响应文件不包括第</w:t>
      </w:r>
      <w:r>
        <w:t>3</w:t>
      </w:r>
      <w:r>
        <w:rPr>
          <w:rFonts w:ascii="宋体" w:hAnsi="宋体"/>
        </w:rPr>
        <w:t>.</w:t>
      </w:r>
      <w:r>
        <w:t>1</w:t>
      </w:r>
      <w:r>
        <w:rPr>
          <w:rFonts w:ascii="宋体" w:hAnsi="宋体"/>
        </w:rPr>
        <w:t>.</w:t>
      </w:r>
      <w:r>
        <w:t>1</w:t>
      </w:r>
      <w:r>
        <w:rPr>
          <w:rFonts w:ascii="宋体" w:hAnsi="宋体"/>
        </w:rPr>
        <w:t>(</w:t>
      </w:r>
      <w:r>
        <w:t>3</w:t>
      </w:r>
      <w:r>
        <w:rPr>
          <w:rFonts w:ascii="宋体" w:hAnsi="宋体"/>
        </w:rPr>
        <w:t>)目所指的联合体协议书。供应商须知前附表未要求供应商递交响应保证金的，响应文件不包括第</w:t>
      </w:r>
      <w:r>
        <w:t>3</w:t>
      </w:r>
      <w:r>
        <w:rPr>
          <w:rFonts w:ascii="宋体" w:hAnsi="宋体"/>
        </w:rPr>
        <w:t>.</w:t>
      </w:r>
      <w:r>
        <w:t>1</w:t>
      </w:r>
      <w:r>
        <w:rPr>
          <w:rFonts w:ascii="宋体" w:hAnsi="宋体"/>
        </w:rPr>
        <w:t>.</w:t>
      </w:r>
      <w:r>
        <w:t>1</w:t>
      </w:r>
      <w:r>
        <w:rPr>
          <w:rFonts w:ascii="宋体" w:hAnsi="宋体"/>
        </w:rPr>
        <w:t>(</w:t>
      </w:r>
      <w:r>
        <w:t>4</w:t>
      </w:r>
      <w:r>
        <w:rPr>
          <w:rFonts w:ascii="宋体" w:hAnsi="宋体"/>
        </w:rPr>
        <w:t>)目所指的响应保证金。</w:t>
      </w:r>
    </w:p>
    <w:bookmarkEnd w:id="151"/>
    <w:p w14:paraId="1A3C0327">
      <w:pPr>
        <w:widowControl/>
        <w:spacing w:before="100" w:beforeAutospacing="1" w:after="100" w:afterAutospacing="1" w:line="400" w:lineRule="exact"/>
        <w:ind w:left="2" w:leftChars="1"/>
        <w:jc w:val="left"/>
        <w:outlineLvl w:val="2"/>
        <w:rPr>
          <w:rFonts w:eastAsia="黑体"/>
          <w:sz w:val="24"/>
        </w:rPr>
      </w:pPr>
      <w:bookmarkStart w:id="152" w:name="_Toc143102151"/>
      <w:bookmarkStart w:id="153" w:name="_Toc149140207"/>
      <w:r>
        <w:rPr>
          <w:rFonts w:eastAsia="黑体"/>
          <w:sz w:val="24"/>
        </w:rPr>
        <w:t>3.2 报价</w:t>
      </w:r>
      <w:bookmarkEnd w:id="152"/>
      <w:bookmarkEnd w:id="153"/>
    </w:p>
    <w:p w14:paraId="51F6BC2E">
      <w:pPr>
        <w:spacing w:line="400" w:lineRule="exact"/>
        <w:ind w:firstLine="420" w:firstLineChars="200"/>
        <w:rPr>
          <w:rFonts w:ascii="宋体" w:hAnsi="宋体"/>
          <w:strike/>
        </w:rPr>
      </w:pPr>
      <w:r>
        <w:t>3</w:t>
      </w:r>
      <w:r>
        <w:rPr>
          <w:rFonts w:ascii="宋体" w:hAnsi="宋体"/>
        </w:rPr>
        <w:t>.</w:t>
      </w:r>
      <w:r>
        <w:t>2</w:t>
      </w:r>
      <w:r>
        <w:rPr>
          <w:rFonts w:ascii="宋体" w:hAnsi="宋体"/>
        </w:rPr>
        <w:t>.</w:t>
      </w:r>
      <w:r>
        <w:t>1</w:t>
      </w:r>
      <w:r>
        <w:rPr>
          <w:rFonts w:ascii="宋体" w:hAnsi="宋体"/>
        </w:rPr>
        <w:t xml:space="preserve"> 供应商应按采购文件提供的格式（见第六章“响应文件格式”）在响应函和报价表中进行报价。响应函中报价应为包含国家规定的增值税在内的含税价格，同时列明不含税金额和增值税税额（如有）。</w:t>
      </w:r>
    </w:p>
    <w:p w14:paraId="46B4F170">
      <w:pPr>
        <w:spacing w:line="400" w:lineRule="exact"/>
        <w:ind w:firstLine="420" w:firstLineChars="200"/>
        <w:rPr>
          <w:rFonts w:ascii="宋体" w:hAnsi="宋体"/>
          <w:szCs w:val="21"/>
        </w:rPr>
      </w:pPr>
      <w:r>
        <w:t>3</w:t>
      </w:r>
      <w:r>
        <w:rPr>
          <w:rFonts w:ascii="宋体" w:hAnsi="宋体"/>
        </w:rPr>
        <w:t>.</w:t>
      </w:r>
      <w:r>
        <w:t>2</w:t>
      </w:r>
      <w:r>
        <w:rPr>
          <w:rFonts w:ascii="宋体" w:hAnsi="宋体"/>
        </w:rPr>
        <w:t>.</w:t>
      </w:r>
      <w:r>
        <w:t>2</w:t>
      </w:r>
      <w:r>
        <w:rPr>
          <w:rFonts w:ascii="宋体" w:hAnsi="宋体"/>
        </w:rPr>
        <w:t xml:space="preserve"> 供应商应充分了解采购项目的总体情况以及影响报价的其他要素。对于货物和服务采购项目，</w:t>
      </w:r>
      <w:r>
        <w:rPr>
          <w:rFonts w:ascii="宋体" w:hAnsi="宋体"/>
          <w:szCs w:val="21"/>
        </w:rPr>
        <w:t>采购人在签署采购</w:t>
      </w:r>
      <w:r>
        <w:rPr>
          <w:rFonts w:ascii="宋体" w:hAnsi="宋体"/>
          <w:spacing w:val="1"/>
          <w:kern w:val="0"/>
          <w:szCs w:val="21"/>
        </w:rPr>
        <w:t>合同</w:t>
      </w:r>
      <w:r>
        <w:rPr>
          <w:rFonts w:ascii="宋体" w:hAnsi="宋体"/>
          <w:szCs w:val="21"/>
        </w:rPr>
        <w:t>时及合同履行过程中，有权对采购标的的数量进行增加或减少。</w:t>
      </w:r>
    </w:p>
    <w:p w14:paraId="245C4B87">
      <w:pPr>
        <w:spacing w:line="400" w:lineRule="exact"/>
        <w:ind w:firstLine="420" w:firstLineChars="200"/>
        <w:rPr>
          <w:rFonts w:ascii="宋体" w:hAnsi="宋体"/>
        </w:rPr>
      </w:pPr>
      <w:r>
        <w:t>3</w:t>
      </w:r>
      <w:r>
        <w:rPr>
          <w:rFonts w:ascii="宋体" w:hAnsi="宋体"/>
        </w:rPr>
        <w:t>.</w:t>
      </w:r>
      <w:r>
        <w:t>2</w:t>
      </w:r>
      <w:r>
        <w:rPr>
          <w:rFonts w:ascii="宋体" w:hAnsi="宋体"/>
        </w:rPr>
        <w:t>.</w:t>
      </w:r>
      <w:r>
        <w:t>3</w:t>
      </w:r>
      <w:r>
        <w:rPr>
          <w:rFonts w:ascii="宋体" w:hAnsi="宋体"/>
          <w:szCs w:val="21"/>
        </w:rPr>
        <w:t xml:space="preserve"> </w:t>
      </w:r>
      <w:r>
        <w:rPr>
          <w:rFonts w:ascii="宋体" w:hAnsi="宋体"/>
        </w:rPr>
        <w:t>本次框架协议价格形式见供应商须知前附表。其中：</w:t>
      </w:r>
    </w:p>
    <w:p w14:paraId="169E098B">
      <w:pPr>
        <w:widowControl/>
        <w:spacing w:line="400" w:lineRule="exact"/>
        <w:ind w:firstLine="420" w:firstLineChars="200"/>
        <w:jc w:val="left"/>
        <w:rPr>
          <w:rFonts w:ascii="宋体" w:hAnsi="宋体"/>
        </w:rPr>
      </w:pPr>
      <w:r>
        <w:rPr>
          <w:rFonts w:ascii="宋体" w:hAnsi="宋体"/>
        </w:rPr>
        <w:t>（</w:t>
      </w:r>
      <w:r>
        <w:t>1</w:t>
      </w:r>
      <w:r>
        <w:rPr>
          <w:rFonts w:ascii="宋体" w:hAnsi="宋体"/>
        </w:rPr>
        <w:t>）固定价：框架协议采用固定价形式的，</w:t>
      </w:r>
      <w:r>
        <w:rPr>
          <w:rFonts w:ascii="宋体" w:hAnsi="宋体"/>
          <w:szCs w:val="21"/>
        </w:rPr>
        <w:t>第一阶段选择入围供应商并确定的框架协议价格，即成为第二阶段实施采购的价格。第一阶段</w:t>
      </w:r>
      <w:r>
        <w:rPr>
          <w:rFonts w:ascii="宋体" w:hAnsi="宋体"/>
        </w:rPr>
        <w:t>供应商无需报价，供应商提供响应文件视为响应固定价格。在框架协议有效期内，其协议的固定价，除供应商须知前附表约定的特殊例外情形外，其他任何情况不能改变价格。固定价一般适用于以下情形：</w:t>
      </w:r>
    </w:p>
    <w:p w14:paraId="0FBC80E1">
      <w:pPr>
        <w:widowControl/>
        <w:spacing w:line="400" w:lineRule="exact"/>
        <w:ind w:firstLine="420" w:firstLineChars="200"/>
        <w:jc w:val="left"/>
        <w:rPr>
          <w:rFonts w:ascii="宋体" w:hAnsi="宋体"/>
        </w:rPr>
      </w:pPr>
      <w:r>
        <w:t>1</w:t>
      </w:r>
      <w:r>
        <w:rPr>
          <w:rFonts w:ascii="宋体" w:hAnsi="宋体"/>
        </w:rPr>
        <w:t>）项目可参照或直接采用政府指导价的；</w:t>
      </w:r>
    </w:p>
    <w:p w14:paraId="450AA919">
      <w:pPr>
        <w:widowControl/>
        <w:spacing w:line="400" w:lineRule="exact"/>
        <w:ind w:firstLine="420" w:firstLineChars="200"/>
        <w:jc w:val="left"/>
        <w:rPr>
          <w:rFonts w:ascii="宋体" w:hAnsi="宋体"/>
        </w:rPr>
      </w:pPr>
      <w:r>
        <w:t>2</w:t>
      </w:r>
      <w:r>
        <w:rPr>
          <w:rFonts w:ascii="宋体" w:hAnsi="宋体"/>
        </w:rPr>
        <w:t>）采购项目标的市场价格在协议有效期内预计稳定无波动的；</w:t>
      </w:r>
    </w:p>
    <w:p w14:paraId="60D4FAEF">
      <w:pPr>
        <w:widowControl/>
        <w:spacing w:line="400" w:lineRule="exact"/>
        <w:ind w:firstLine="420" w:firstLineChars="200"/>
        <w:jc w:val="left"/>
        <w:rPr>
          <w:rFonts w:ascii="宋体" w:hAnsi="宋体"/>
        </w:rPr>
      </w:pPr>
      <w:r>
        <w:t>3</w:t>
      </w:r>
      <w:r>
        <w:rPr>
          <w:rFonts w:ascii="宋体" w:hAnsi="宋体"/>
        </w:rPr>
        <w:t>）采购数量在协议有效期内预计比较准确的，数量增减情况有限可控的；</w:t>
      </w:r>
    </w:p>
    <w:p w14:paraId="54CFD468">
      <w:pPr>
        <w:widowControl/>
        <w:spacing w:line="400" w:lineRule="exact"/>
        <w:ind w:firstLine="420" w:firstLineChars="200"/>
        <w:jc w:val="left"/>
        <w:rPr>
          <w:rFonts w:ascii="宋体" w:hAnsi="宋体"/>
        </w:rPr>
      </w:pPr>
      <w:r>
        <w:t>4</w:t>
      </w:r>
      <w:r>
        <w:rPr>
          <w:rFonts w:ascii="宋体" w:hAnsi="宋体"/>
        </w:rPr>
        <w:t>）采购估算数量较少；</w:t>
      </w:r>
    </w:p>
    <w:p w14:paraId="2EA0ED2A">
      <w:pPr>
        <w:widowControl/>
        <w:spacing w:line="400" w:lineRule="exact"/>
        <w:ind w:firstLine="420" w:firstLineChars="200"/>
        <w:jc w:val="left"/>
      </w:pPr>
      <w:r>
        <w:rPr>
          <w:rFonts w:hint="eastAsia"/>
        </w:rPr>
        <w:t>5）</w:t>
      </w:r>
      <w:r>
        <w:t>框架协议有效期短于6个月的。</w:t>
      </w:r>
    </w:p>
    <w:p w14:paraId="74AEF2D7">
      <w:pPr>
        <w:spacing w:line="400" w:lineRule="exact"/>
        <w:ind w:firstLine="420" w:firstLineChars="200"/>
        <w:rPr>
          <w:rFonts w:ascii="宋体" w:hAnsi="宋体"/>
        </w:rPr>
      </w:pPr>
      <w:r>
        <w:t>（2）</w:t>
      </w:r>
      <w:r>
        <w:rPr>
          <w:rFonts w:ascii="宋体" w:hAnsi="宋体"/>
        </w:rPr>
        <w:t>可调价格：框架协议采用可调价格形式的，第一阶段供应商无需报价，供应商提供响应文件视为响应可调价格。在框架协议有效期内，其协议的可调价格触发价格调整条件的，采购人在第二阶段实施采购时，以调整后的价格与供应商签订合同。价格调整触发条件见供应商须知前附表。可调价一般适用于以下情形：</w:t>
      </w:r>
    </w:p>
    <w:p w14:paraId="739DB5D3">
      <w:pPr>
        <w:widowControl/>
        <w:spacing w:line="400" w:lineRule="exact"/>
        <w:ind w:firstLine="420" w:firstLineChars="200"/>
        <w:jc w:val="left"/>
        <w:rPr>
          <w:rFonts w:ascii="宋体" w:hAnsi="宋体"/>
        </w:rPr>
      </w:pPr>
      <w:r>
        <w:t>1</w:t>
      </w:r>
      <w:r>
        <w:rPr>
          <w:rFonts w:ascii="宋体" w:hAnsi="宋体"/>
        </w:rPr>
        <w:t>）预计市场价格波动较大；</w:t>
      </w:r>
    </w:p>
    <w:p w14:paraId="09282C01">
      <w:pPr>
        <w:widowControl/>
        <w:spacing w:line="400" w:lineRule="exact"/>
        <w:ind w:firstLine="420" w:firstLineChars="200"/>
        <w:jc w:val="left"/>
        <w:rPr>
          <w:rFonts w:ascii="宋体" w:hAnsi="宋体"/>
        </w:rPr>
      </w:pPr>
      <w:r>
        <w:t>2</w:t>
      </w:r>
      <w:r>
        <w:rPr>
          <w:rFonts w:ascii="宋体" w:hAnsi="宋体"/>
        </w:rPr>
        <w:t>）预计实际采购数量差异比较大；</w:t>
      </w:r>
    </w:p>
    <w:p w14:paraId="144FD76E">
      <w:pPr>
        <w:widowControl/>
        <w:spacing w:line="400" w:lineRule="exact"/>
        <w:ind w:firstLine="420" w:firstLineChars="200"/>
        <w:jc w:val="left"/>
        <w:rPr>
          <w:rFonts w:ascii="宋体" w:hAnsi="宋体"/>
        </w:rPr>
      </w:pPr>
      <w:r>
        <w:t>3</w:t>
      </w:r>
      <w:r>
        <w:rPr>
          <w:rFonts w:ascii="宋体" w:hAnsi="宋体"/>
        </w:rPr>
        <w:t>）</w:t>
      </w:r>
      <w:r>
        <w:rPr>
          <w:rFonts w:ascii="宋体" w:hAnsi="宋体"/>
          <w:color w:val="221E1F"/>
        </w:rPr>
        <w:t>框架协议有效期超过</w:t>
      </w:r>
      <w:r>
        <w:rPr>
          <w:color w:val="221E1F"/>
        </w:rPr>
        <w:t>6</w:t>
      </w:r>
      <w:r>
        <w:rPr>
          <w:rFonts w:ascii="宋体" w:hAnsi="宋体"/>
          <w:color w:val="221E1F"/>
        </w:rPr>
        <w:t>个月以上的情形。</w:t>
      </w:r>
    </w:p>
    <w:p w14:paraId="4BB0BD5E">
      <w:pPr>
        <w:spacing w:line="400" w:lineRule="exact"/>
        <w:ind w:firstLine="420" w:firstLineChars="200"/>
        <w:rPr>
          <w:rFonts w:ascii="宋体" w:hAnsi="宋体"/>
          <w:szCs w:val="21"/>
        </w:rPr>
      </w:pPr>
      <w:r>
        <w:t>（</w:t>
      </w:r>
      <w:r>
        <w:rPr>
          <w:rFonts w:hint="eastAsia"/>
        </w:rPr>
        <w:t>3</w:t>
      </w:r>
      <w:r>
        <w:t>）</w:t>
      </w:r>
      <w:r>
        <w:rPr>
          <w:rFonts w:ascii="宋体" w:hAnsi="宋体"/>
        </w:rPr>
        <w:t>最高限价：框架协议采用最高限价形式的，供应商在第一阶段需要报价的，报价不得超过最高限价，供应商在第一阶段无需报价的，提交响应文件视为响应最高限价。第一阶段报价形式见供应商须知前附表。</w:t>
      </w:r>
    </w:p>
    <w:p w14:paraId="6F377308">
      <w:pPr>
        <w:numPr>
          <w:ilvl w:val="255"/>
          <w:numId w:val="0"/>
        </w:numPr>
        <w:spacing w:line="400" w:lineRule="exact"/>
        <w:ind w:firstLine="420" w:firstLineChars="200"/>
        <w:rPr>
          <w:rFonts w:ascii="宋体" w:hAnsi="宋体"/>
        </w:rPr>
      </w:pPr>
      <w:r>
        <w:rPr>
          <w:rFonts w:ascii="宋体" w:hAnsi="宋体"/>
        </w:rPr>
        <w:t>当供应商在第一阶段需要报价的，其入围供应商在第一阶段报价的平均值作为采购人第二阶段实施采购的最高限价，采购人组织入围供应商进行再次竞争比较，且入围供应商的第二阶段报价不得高于其在第一阶段的报价；当供应商在第一阶段无需报价的，第一阶段设置的最高限价为第二阶段竞争比较的最高限价。</w:t>
      </w:r>
      <w:r>
        <w:rPr>
          <w:rFonts w:ascii="宋体" w:hAnsi="宋体"/>
          <w:szCs w:val="21"/>
        </w:rPr>
        <w:t>最高限价见供应商须知前附表。</w:t>
      </w:r>
      <w:r>
        <w:rPr>
          <w:rFonts w:ascii="宋体" w:hAnsi="宋体"/>
        </w:rPr>
        <w:t>最高限价一般适用于以下情形：</w:t>
      </w:r>
    </w:p>
    <w:p w14:paraId="4418898D">
      <w:pPr>
        <w:widowControl/>
        <w:spacing w:line="400" w:lineRule="exact"/>
        <w:ind w:firstLine="420" w:firstLineChars="200"/>
        <w:jc w:val="left"/>
        <w:rPr>
          <w:rFonts w:ascii="宋体" w:hAnsi="宋体"/>
        </w:rPr>
      </w:pPr>
      <w:r>
        <w:t>1</w:t>
      </w:r>
      <w:r>
        <w:rPr>
          <w:rFonts w:ascii="宋体" w:hAnsi="宋体"/>
        </w:rPr>
        <w:t>）采购项目标的市场价格差异较大的；</w:t>
      </w:r>
    </w:p>
    <w:p w14:paraId="61DB38B0">
      <w:pPr>
        <w:widowControl/>
        <w:spacing w:line="400" w:lineRule="exact"/>
        <w:ind w:firstLine="420" w:firstLineChars="200"/>
        <w:jc w:val="left"/>
        <w:rPr>
          <w:rFonts w:ascii="宋体" w:hAnsi="宋体"/>
        </w:rPr>
      </w:pPr>
      <w:r>
        <w:t>2</w:t>
      </w:r>
      <w:r>
        <w:rPr>
          <w:rFonts w:ascii="宋体" w:hAnsi="宋体"/>
        </w:rPr>
        <w:t>）采购项目标的市场价格在有效期内预计会大幅降低的；</w:t>
      </w:r>
    </w:p>
    <w:p w14:paraId="158555A8">
      <w:pPr>
        <w:widowControl/>
        <w:spacing w:line="400" w:lineRule="exact"/>
        <w:ind w:firstLine="420" w:firstLineChars="200"/>
        <w:jc w:val="left"/>
        <w:rPr>
          <w:rFonts w:ascii="宋体" w:hAnsi="宋体"/>
        </w:rPr>
      </w:pPr>
      <w:r>
        <w:rPr>
          <w:color w:val="221E1F"/>
        </w:rPr>
        <w:t>3</w:t>
      </w:r>
      <w:r>
        <w:rPr>
          <w:rFonts w:ascii="宋体" w:hAnsi="宋体"/>
          <w:color w:val="221E1F"/>
        </w:rPr>
        <w:t>）采购项目数量规格难以准确估计，与实际采购数量规格可能发生较大差异且采购数量对价格影响较大的。</w:t>
      </w:r>
    </w:p>
    <w:p w14:paraId="03B7500B">
      <w:pPr>
        <w:spacing w:line="400" w:lineRule="exact"/>
        <w:ind w:firstLine="420" w:firstLineChars="200"/>
        <w:rPr>
          <w:rFonts w:ascii="宋体" w:hAnsi="宋体"/>
          <w:i/>
          <w:iCs/>
        </w:rPr>
      </w:pPr>
      <w:r>
        <w:rPr>
          <w:rFonts w:ascii="宋体" w:hAnsi="宋体"/>
          <w:i/>
          <w:iCs/>
        </w:rPr>
        <w:t>注：</w:t>
      </w:r>
      <w:bookmarkStart w:id="154" w:name="_Hlk149148513"/>
      <w:r>
        <w:rPr>
          <w:rFonts w:ascii="宋体" w:hAnsi="宋体"/>
          <w:i/>
          <w:iCs/>
        </w:rPr>
        <w:t>框架协议采用无价格形式的适用于资格审查制框架协议采购</w:t>
      </w:r>
      <w:bookmarkEnd w:id="154"/>
      <w:r>
        <w:rPr>
          <w:rFonts w:ascii="宋体" w:hAnsi="宋体"/>
          <w:i/>
          <w:iCs/>
        </w:rPr>
        <w:t>。</w:t>
      </w:r>
    </w:p>
    <w:p w14:paraId="52357E57">
      <w:pPr>
        <w:spacing w:line="400" w:lineRule="exact"/>
        <w:ind w:firstLine="420" w:firstLineChars="200"/>
        <w:rPr>
          <w:rFonts w:ascii="宋体" w:hAnsi="宋体"/>
          <w:szCs w:val="21"/>
        </w:rPr>
      </w:pPr>
      <w:r>
        <w:t>3</w:t>
      </w:r>
      <w:r>
        <w:rPr>
          <w:rFonts w:ascii="宋体" w:hAnsi="宋体"/>
        </w:rPr>
        <w:t>.</w:t>
      </w:r>
      <w:r>
        <w:t>2</w:t>
      </w:r>
      <w:r>
        <w:rPr>
          <w:rFonts w:ascii="宋体" w:hAnsi="宋体"/>
        </w:rPr>
        <w:t>.</w:t>
      </w:r>
      <w:r>
        <w:t>4</w:t>
      </w:r>
      <w:r>
        <w:rPr>
          <w:rFonts w:ascii="宋体" w:hAnsi="宋体"/>
          <w:szCs w:val="21"/>
        </w:rPr>
        <w:t xml:space="preserve"> 报价的其他要求见供应商须知前附表。</w:t>
      </w:r>
    </w:p>
    <w:p w14:paraId="1E486008">
      <w:pPr>
        <w:widowControl/>
        <w:spacing w:before="100" w:beforeAutospacing="1" w:after="100" w:afterAutospacing="1" w:line="400" w:lineRule="exact"/>
        <w:ind w:left="2" w:leftChars="1"/>
        <w:jc w:val="left"/>
        <w:outlineLvl w:val="2"/>
        <w:rPr>
          <w:rFonts w:eastAsia="黑体"/>
          <w:sz w:val="24"/>
        </w:rPr>
      </w:pPr>
      <w:bookmarkStart w:id="155" w:name="_Toc149140208"/>
      <w:bookmarkStart w:id="156" w:name="_Toc143102152"/>
      <w:r>
        <w:rPr>
          <w:rFonts w:eastAsia="黑体"/>
          <w:sz w:val="24"/>
        </w:rPr>
        <w:t>3.3 响应文件有效期</w:t>
      </w:r>
      <w:bookmarkEnd w:id="155"/>
      <w:bookmarkEnd w:id="156"/>
    </w:p>
    <w:p w14:paraId="31D47513">
      <w:pPr>
        <w:spacing w:line="400" w:lineRule="exact"/>
        <w:ind w:firstLine="420" w:firstLineChars="200"/>
        <w:rPr>
          <w:rFonts w:ascii="宋体" w:hAnsi="宋体"/>
        </w:rPr>
      </w:pPr>
      <w:r>
        <w:t>3</w:t>
      </w:r>
      <w:r>
        <w:rPr>
          <w:rFonts w:ascii="宋体" w:hAnsi="宋体"/>
        </w:rPr>
        <w:t>.</w:t>
      </w:r>
      <w:r>
        <w:t>3</w:t>
      </w:r>
      <w:r>
        <w:rPr>
          <w:rFonts w:ascii="宋体" w:hAnsi="宋体"/>
        </w:rPr>
        <w:t>.</w:t>
      </w:r>
      <w:r>
        <w:t>1</w:t>
      </w:r>
      <w:r>
        <w:rPr>
          <w:rFonts w:ascii="宋体" w:hAnsi="宋体"/>
        </w:rPr>
        <w:t xml:space="preserve"> 除供应商须知前附表另有规定外，响应文件有效期应为</w:t>
      </w:r>
      <w:r>
        <w:t>90</w:t>
      </w:r>
      <w:r>
        <w:rPr>
          <w:rFonts w:ascii="宋体" w:hAnsi="宋体"/>
        </w:rPr>
        <w:t>日，从采购文件规定的递交响应文件的截止时间开始计算。</w:t>
      </w:r>
    </w:p>
    <w:p w14:paraId="437B088C">
      <w:pPr>
        <w:spacing w:line="400" w:lineRule="exact"/>
        <w:ind w:firstLine="420" w:firstLineChars="200"/>
        <w:rPr>
          <w:rFonts w:ascii="宋体" w:hAnsi="宋体"/>
        </w:rPr>
      </w:pPr>
      <w:r>
        <w:t>3</w:t>
      </w:r>
      <w:r>
        <w:rPr>
          <w:rFonts w:ascii="宋体" w:hAnsi="宋体"/>
        </w:rPr>
        <w:t>.</w:t>
      </w:r>
      <w:r>
        <w:t>3</w:t>
      </w:r>
      <w:r>
        <w:rPr>
          <w:rFonts w:ascii="宋体" w:hAnsi="宋体"/>
        </w:rPr>
        <w:t>.</w:t>
      </w:r>
      <w:r>
        <w:t>2</w:t>
      </w:r>
      <w:r>
        <w:rPr>
          <w:rFonts w:ascii="宋体" w:hAnsi="宋体"/>
        </w:rPr>
        <w:t xml:space="preserve"> 出现特殊情况需要延长响应文件有效期的，在系统通过“招采平台”在“澄清答疑”菜单中以数据电文形式通知所有供应商延长响应文件有效期，供应商应通过该平台以数据电文形式答复。同意延长的，应相应延长其响应保证金的有效期，但不得修改其响应文件；供应商拒绝延长的，其响应文件在原有效期届满后失效，其响应保证金电子保函自动失效。</w:t>
      </w:r>
    </w:p>
    <w:p w14:paraId="3E28A4BB">
      <w:pPr>
        <w:widowControl/>
        <w:spacing w:before="100" w:beforeAutospacing="1" w:after="100" w:afterAutospacing="1" w:line="400" w:lineRule="exact"/>
        <w:ind w:left="2" w:leftChars="1"/>
        <w:jc w:val="left"/>
        <w:outlineLvl w:val="2"/>
        <w:rPr>
          <w:rFonts w:eastAsia="黑体"/>
          <w:sz w:val="24"/>
        </w:rPr>
      </w:pPr>
      <w:bookmarkStart w:id="157" w:name="_Toc143102153"/>
      <w:bookmarkStart w:id="158" w:name="_Toc149140209"/>
      <w:r>
        <w:rPr>
          <w:rFonts w:eastAsia="黑体"/>
          <w:sz w:val="24"/>
        </w:rPr>
        <w:t>3.4 响应保证金</w:t>
      </w:r>
      <w:bookmarkEnd w:id="157"/>
      <w:bookmarkEnd w:id="158"/>
    </w:p>
    <w:p w14:paraId="6A793FB3">
      <w:pPr>
        <w:spacing w:line="400" w:lineRule="exact"/>
        <w:ind w:firstLine="420" w:firstLineChars="200"/>
        <w:rPr>
          <w:rFonts w:ascii="宋体" w:hAnsi="宋体"/>
        </w:rPr>
      </w:pPr>
      <w:bookmarkStart w:id="159" w:name="_Hlk138878237"/>
      <w:r>
        <w:t>3</w:t>
      </w:r>
      <w:r>
        <w:rPr>
          <w:rFonts w:ascii="宋体" w:hAnsi="宋体"/>
        </w:rPr>
        <w:t>.</w:t>
      </w:r>
      <w:r>
        <w:t>4</w:t>
      </w:r>
      <w:r>
        <w:rPr>
          <w:rFonts w:ascii="宋体" w:hAnsi="宋体"/>
        </w:rPr>
        <w:t>.</w:t>
      </w:r>
      <w:r>
        <w:t>1</w:t>
      </w:r>
      <w:r>
        <w:rPr>
          <w:rFonts w:ascii="宋体" w:hAnsi="宋体"/>
        </w:rPr>
        <w:t xml:space="preserve"> 供应商须知前附表规定要求递交响应保证金的，供应商在递交响应文件的同时，应按供应商须知前附表规定的金额、形式和采购文件提供的格式（见第六章“响应文件格式”四、响应保证金）递交响应保证金，并作为其响应文件的组成部分。供应商不按要求递交响应保证金的，其响应文件将被视为无效。</w:t>
      </w:r>
    </w:p>
    <w:p w14:paraId="462C1D27">
      <w:pPr>
        <w:spacing w:line="400" w:lineRule="exact"/>
        <w:ind w:firstLine="420" w:firstLineChars="200"/>
        <w:rPr>
          <w:rFonts w:ascii="宋体" w:hAnsi="宋体"/>
        </w:rPr>
      </w:pPr>
      <w:r>
        <w:t>3</w:t>
      </w:r>
      <w:r>
        <w:rPr>
          <w:rFonts w:ascii="宋体" w:hAnsi="宋体"/>
        </w:rPr>
        <w:t>.</w:t>
      </w:r>
      <w:r>
        <w:t>4</w:t>
      </w:r>
      <w:r>
        <w:rPr>
          <w:rFonts w:ascii="宋体" w:hAnsi="宋体"/>
        </w:rPr>
        <w:t>.</w:t>
      </w:r>
      <w:r>
        <w:t>2</w:t>
      </w:r>
      <w:bookmarkStart w:id="160" w:name="_Hlk137488447"/>
      <w:r>
        <w:rPr>
          <w:rFonts w:ascii="宋体" w:hAnsi="宋体"/>
        </w:rPr>
        <w:t>采用电子保函</w:t>
      </w:r>
      <w:r>
        <w:rPr>
          <w:rFonts w:ascii="宋体" w:hAnsi="宋体"/>
          <w:spacing w:val="1"/>
          <w:kern w:val="0"/>
          <w:szCs w:val="21"/>
        </w:rPr>
        <w:t>形式</w:t>
      </w:r>
      <w:r>
        <w:rPr>
          <w:rFonts w:ascii="宋体" w:hAnsi="宋体"/>
        </w:rPr>
        <w:t>递交的响应保证金</w:t>
      </w:r>
      <w:r>
        <w:rPr>
          <w:rFonts w:hint="eastAsia" w:ascii="宋体" w:hAnsi="宋体"/>
        </w:rPr>
        <w:t>的</w:t>
      </w:r>
      <w:r>
        <w:rPr>
          <w:rFonts w:ascii="宋体" w:hAnsi="宋体"/>
        </w:rPr>
        <w:t>采购人可以不再退还。</w:t>
      </w:r>
      <w:bookmarkEnd w:id="160"/>
    </w:p>
    <w:p w14:paraId="2EDDE916">
      <w:pPr>
        <w:spacing w:line="400" w:lineRule="exact"/>
        <w:ind w:firstLine="420" w:firstLineChars="200"/>
        <w:rPr>
          <w:rFonts w:ascii="宋体" w:hAnsi="宋体"/>
        </w:rPr>
      </w:pPr>
      <w:r>
        <w:t>3</w:t>
      </w:r>
      <w:r>
        <w:rPr>
          <w:rFonts w:ascii="宋体" w:hAnsi="宋体"/>
        </w:rPr>
        <w:t>.</w:t>
      </w:r>
      <w:r>
        <w:t>4</w:t>
      </w:r>
      <w:r>
        <w:rPr>
          <w:rFonts w:ascii="宋体" w:hAnsi="宋体"/>
        </w:rPr>
        <w:t>.</w:t>
      </w:r>
      <w:r>
        <w:t>3</w:t>
      </w:r>
      <w:r>
        <w:rPr>
          <w:rFonts w:ascii="宋体" w:hAnsi="宋体"/>
        </w:rPr>
        <w:t>有下列情形之一的，</w:t>
      </w:r>
      <w:bookmarkStart w:id="161" w:name="_Hlk148687758"/>
      <w:bookmarkStart w:id="162" w:name="_Hlk139364183"/>
      <w:r>
        <w:rPr>
          <w:rFonts w:ascii="宋体" w:hAnsi="宋体"/>
          <w:szCs w:val="21"/>
        </w:rPr>
        <w:t>响应保证金将不予退还：</w:t>
      </w:r>
      <w:bookmarkEnd w:id="161"/>
      <w:bookmarkEnd w:id="162"/>
    </w:p>
    <w:p w14:paraId="6207ED84">
      <w:pPr>
        <w:pStyle w:val="154"/>
        <w:ind w:firstLine="420"/>
        <w:rPr>
          <w:rFonts w:ascii="宋体" w:hAnsi="宋体" w:eastAsia="宋体"/>
        </w:rPr>
      </w:pPr>
      <w:r>
        <w:rPr>
          <w:rFonts w:ascii="宋体" w:hAnsi="宋体" w:eastAsia="宋体"/>
        </w:rPr>
        <w:t>（</w:t>
      </w:r>
      <w:r>
        <w:rPr>
          <w:rFonts w:eastAsia="宋体"/>
        </w:rPr>
        <w:t>1</w:t>
      </w:r>
      <w:r>
        <w:rPr>
          <w:rFonts w:ascii="宋体" w:hAnsi="宋体" w:eastAsia="宋体"/>
        </w:rPr>
        <w:t>）供应商在响应文件有效期内撤销响应文件；</w:t>
      </w:r>
    </w:p>
    <w:p w14:paraId="3B933BE0">
      <w:pPr>
        <w:spacing w:line="400" w:lineRule="exact"/>
        <w:ind w:firstLine="420" w:firstLineChars="200"/>
        <w:rPr>
          <w:rFonts w:ascii="宋体" w:hAnsi="宋体"/>
        </w:rPr>
      </w:pPr>
      <w:r>
        <w:rPr>
          <w:rFonts w:ascii="宋体" w:hAnsi="宋体"/>
        </w:rPr>
        <w:t>（</w:t>
      </w:r>
      <w:r>
        <w:t>2</w:t>
      </w:r>
      <w:r>
        <w:rPr>
          <w:rFonts w:ascii="宋体" w:hAnsi="宋体"/>
        </w:rPr>
        <w:t>）入围供应商在收到成交（入围）通知书后，无正当理由不与采购人订立框架协议，在签订框架协议，时向采购人</w:t>
      </w:r>
      <w:r>
        <w:rPr>
          <w:rFonts w:ascii="宋体" w:hAnsi="宋体"/>
          <w:spacing w:val="1"/>
          <w:kern w:val="0"/>
          <w:szCs w:val="21"/>
        </w:rPr>
        <w:t>提出</w:t>
      </w:r>
      <w:r>
        <w:rPr>
          <w:rFonts w:ascii="宋体" w:hAnsi="宋体"/>
        </w:rPr>
        <w:t>附加条件，或者不按照采购文件要求递交履约保证金；</w:t>
      </w:r>
    </w:p>
    <w:p w14:paraId="64C0E9BE">
      <w:pPr>
        <w:spacing w:line="400" w:lineRule="exact"/>
        <w:ind w:firstLine="420" w:firstLineChars="200"/>
        <w:rPr>
          <w:rFonts w:ascii="宋体" w:hAnsi="宋体"/>
        </w:rPr>
      </w:pPr>
      <w:r>
        <w:rPr>
          <w:rFonts w:ascii="宋体" w:hAnsi="宋体"/>
        </w:rPr>
        <w:t>（</w:t>
      </w:r>
      <w:r>
        <w:t>3</w:t>
      </w:r>
      <w:r>
        <w:rPr>
          <w:rFonts w:ascii="宋体" w:hAnsi="宋体"/>
        </w:rPr>
        <w:t>）发生供应商须知前附表规定的其他不予退还响应保证金的情形。</w:t>
      </w:r>
    </w:p>
    <w:bookmarkEnd w:id="159"/>
    <w:p w14:paraId="523F8C60">
      <w:pPr>
        <w:widowControl/>
        <w:spacing w:before="100" w:beforeAutospacing="1" w:after="100" w:afterAutospacing="1" w:line="400" w:lineRule="exact"/>
        <w:ind w:left="2" w:leftChars="1"/>
        <w:jc w:val="left"/>
        <w:outlineLvl w:val="2"/>
        <w:rPr>
          <w:rFonts w:eastAsia="黑体"/>
          <w:sz w:val="24"/>
        </w:rPr>
      </w:pPr>
      <w:bookmarkStart w:id="163" w:name="_Toc149140210"/>
      <w:bookmarkStart w:id="164" w:name="_Toc143102154"/>
      <w:r>
        <w:rPr>
          <w:rFonts w:eastAsia="黑体"/>
          <w:sz w:val="24"/>
        </w:rPr>
        <w:t>3.5 资格审查资料</w:t>
      </w:r>
      <w:bookmarkEnd w:id="163"/>
      <w:bookmarkEnd w:id="164"/>
    </w:p>
    <w:p w14:paraId="6611D688">
      <w:pPr>
        <w:spacing w:line="400" w:lineRule="exact"/>
        <w:ind w:firstLine="420" w:firstLineChars="200"/>
        <w:rPr>
          <w:rFonts w:ascii="宋体" w:hAnsi="宋体"/>
        </w:rPr>
      </w:pPr>
      <w:bookmarkStart w:id="165" w:name="_Hlk138878257"/>
      <w:r>
        <w:t>3</w:t>
      </w:r>
      <w:r>
        <w:rPr>
          <w:rFonts w:ascii="宋体" w:hAnsi="宋体"/>
        </w:rPr>
        <w:t>.</w:t>
      </w:r>
      <w:r>
        <w:t>5</w:t>
      </w:r>
      <w:r>
        <w:rPr>
          <w:rFonts w:ascii="宋体" w:hAnsi="宋体"/>
        </w:rPr>
        <w:t>.</w:t>
      </w:r>
      <w:r>
        <w:t>1</w:t>
      </w:r>
      <w:r>
        <w:rPr>
          <w:rFonts w:ascii="宋体" w:hAnsi="宋体"/>
        </w:rPr>
        <w:t>供应商应提供依法设立的证明材料，供应商是企业（包括合伙企业）或个体经营者的，应提供“营业执照”的彩色扫描件；供应商是事业单位的，应提供“事业单位法人证书”彩色扫描件；供应商是非企业专业服务机构的，应提供其有效的“执业许可证”彩色扫描件。</w:t>
      </w:r>
    </w:p>
    <w:p w14:paraId="356E9000">
      <w:pPr>
        <w:spacing w:line="400" w:lineRule="exact"/>
        <w:ind w:firstLine="420" w:firstLineChars="200"/>
        <w:rPr>
          <w:rFonts w:ascii="宋体" w:hAnsi="宋体"/>
          <w:bCs/>
        </w:rPr>
      </w:pPr>
      <w:r>
        <w:rPr>
          <w:bCs/>
        </w:rPr>
        <w:t>3</w:t>
      </w:r>
      <w:r>
        <w:rPr>
          <w:rFonts w:ascii="宋体" w:hAnsi="宋体"/>
          <w:bCs/>
        </w:rPr>
        <w:t>.</w:t>
      </w:r>
      <w:r>
        <w:rPr>
          <w:bCs/>
        </w:rPr>
        <w:t>5</w:t>
      </w:r>
      <w:r>
        <w:rPr>
          <w:rFonts w:ascii="宋体" w:hAnsi="宋体"/>
          <w:bCs/>
        </w:rPr>
        <w:t>.</w:t>
      </w:r>
      <w:r>
        <w:rPr>
          <w:bCs/>
        </w:rPr>
        <w:t>2</w:t>
      </w:r>
      <w:r>
        <w:rPr>
          <w:rFonts w:ascii="宋体" w:hAnsi="宋体"/>
          <w:bCs/>
        </w:rPr>
        <w:t>除供应商须知前附表选择不适用外，供应商应提供相关资质证书的彩色扫描件，以证明供应商具有承担本项目</w:t>
      </w:r>
      <w:r>
        <w:rPr>
          <w:rFonts w:ascii="宋体" w:hAnsi="宋体"/>
          <w:spacing w:val="1"/>
          <w:kern w:val="0"/>
          <w:szCs w:val="21"/>
        </w:rPr>
        <w:t>要求</w:t>
      </w:r>
      <w:r>
        <w:rPr>
          <w:rFonts w:ascii="宋体" w:hAnsi="宋体"/>
          <w:bCs/>
        </w:rPr>
        <w:t>的资质，需提供的资质证书要求见供应商须知前附表。</w:t>
      </w:r>
    </w:p>
    <w:p w14:paraId="6CC24E67">
      <w:pPr>
        <w:spacing w:line="400" w:lineRule="exact"/>
        <w:ind w:firstLine="420" w:firstLineChars="200"/>
        <w:rPr>
          <w:rFonts w:ascii="宋体" w:hAnsi="宋体"/>
          <w:bCs/>
        </w:rPr>
      </w:pPr>
      <w:r>
        <w:rPr>
          <w:bCs/>
        </w:rPr>
        <w:t>3</w:t>
      </w:r>
      <w:r>
        <w:rPr>
          <w:rFonts w:ascii="宋体" w:hAnsi="宋体"/>
          <w:bCs/>
        </w:rPr>
        <w:t>.</w:t>
      </w:r>
      <w:r>
        <w:rPr>
          <w:bCs/>
        </w:rPr>
        <w:t>5</w:t>
      </w:r>
      <w:r>
        <w:rPr>
          <w:rFonts w:ascii="宋体" w:hAnsi="宋体"/>
          <w:bCs/>
        </w:rPr>
        <w:t>.</w:t>
      </w:r>
      <w:r>
        <w:rPr>
          <w:bCs/>
        </w:rPr>
        <w:t>3</w:t>
      </w:r>
      <w:r>
        <w:rPr>
          <w:rFonts w:ascii="宋体" w:hAnsi="宋体"/>
          <w:bCs/>
        </w:rPr>
        <w:t>除供应商须知前附表选择不适用外，供应商应提供经会计师事务所或审计机构审计的近年财务会计报表扫描件，包括财务审计报告签字页、资产负债表、现金流量表、利润表的扫描件，无需提供审计报告附注；具体年份要求见供应商须知前附表，供应商的成立时间少于该规定年份的，应提供成立以来的财务会计报表。</w:t>
      </w:r>
    </w:p>
    <w:p w14:paraId="04E361F9">
      <w:pPr>
        <w:spacing w:line="400" w:lineRule="exact"/>
        <w:ind w:firstLine="420" w:firstLineChars="200"/>
        <w:rPr>
          <w:rFonts w:ascii="宋体" w:hAnsi="宋体"/>
          <w:bCs/>
        </w:rPr>
      </w:pPr>
      <w:r>
        <w:rPr>
          <w:bCs/>
        </w:rPr>
        <w:t>3</w:t>
      </w:r>
      <w:r>
        <w:rPr>
          <w:rFonts w:ascii="宋体" w:hAnsi="宋体"/>
          <w:bCs/>
        </w:rPr>
        <w:t>.</w:t>
      </w:r>
      <w:r>
        <w:rPr>
          <w:bCs/>
        </w:rPr>
        <w:t>5</w:t>
      </w:r>
      <w:r>
        <w:rPr>
          <w:rFonts w:ascii="宋体" w:hAnsi="宋体"/>
          <w:bCs/>
        </w:rPr>
        <w:t>.</w:t>
      </w:r>
      <w:r>
        <w:rPr>
          <w:bCs/>
        </w:rPr>
        <w:t>4</w:t>
      </w:r>
      <w:r>
        <w:rPr>
          <w:rFonts w:ascii="宋体" w:hAnsi="宋体"/>
          <w:bCs/>
        </w:rPr>
        <w:t>除供应商须知前附表选择不适用外，供应商应按第六章“响应文件格式”提供近年的类似项目情况表，以</w:t>
      </w:r>
      <w:r>
        <w:rPr>
          <w:rFonts w:ascii="宋体" w:hAnsi="宋体"/>
          <w:spacing w:val="1"/>
          <w:kern w:val="0"/>
          <w:szCs w:val="21"/>
        </w:rPr>
        <w:t>证明</w:t>
      </w:r>
      <w:r>
        <w:rPr>
          <w:rFonts w:ascii="宋体" w:hAnsi="宋体"/>
          <w:bCs/>
        </w:rPr>
        <w:t>供应商具有承担本项目要求的业绩，具体业绩年份及证明材料要求见供应商须知前附表。</w:t>
      </w:r>
    </w:p>
    <w:p w14:paraId="1CEF7DEA">
      <w:pPr>
        <w:spacing w:line="400" w:lineRule="exact"/>
        <w:ind w:firstLine="420" w:firstLineChars="200"/>
        <w:rPr>
          <w:rFonts w:ascii="宋体" w:hAnsi="宋体"/>
          <w:bCs/>
        </w:rPr>
      </w:pPr>
      <w:r>
        <w:rPr>
          <w:bCs/>
        </w:rPr>
        <w:t>3</w:t>
      </w:r>
      <w:r>
        <w:rPr>
          <w:rFonts w:ascii="宋体" w:hAnsi="宋体"/>
          <w:bCs/>
        </w:rPr>
        <w:t>.</w:t>
      </w:r>
      <w:r>
        <w:rPr>
          <w:bCs/>
        </w:rPr>
        <w:t>5</w:t>
      </w:r>
      <w:r>
        <w:rPr>
          <w:rFonts w:ascii="宋体" w:hAnsi="宋体"/>
          <w:bCs/>
        </w:rPr>
        <w:t>.</w:t>
      </w:r>
      <w:r>
        <w:rPr>
          <w:bCs/>
        </w:rPr>
        <w:t>5</w:t>
      </w:r>
      <w:r>
        <w:rPr>
          <w:rFonts w:ascii="宋体" w:hAnsi="宋体"/>
          <w:bCs/>
        </w:rPr>
        <w:t>除供应商须知前</w:t>
      </w:r>
      <w:r>
        <w:rPr>
          <w:rFonts w:ascii="宋体" w:hAnsi="宋体"/>
          <w:spacing w:val="1"/>
          <w:kern w:val="0"/>
          <w:szCs w:val="21"/>
        </w:rPr>
        <w:t>附表</w:t>
      </w:r>
      <w:r>
        <w:rPr>
          <w:rFonts w:ascii="宋体" w:hAnsi="宋体"/>
          <w:bCs/>
        </w:rPr>
        <w:t>选择适用外，信誉要求采用承诺制，由供应商在承诺函中承诺满足采购文件要求，无需提供其他证明材料。</w:t>
      </w:r>
    </w:p>
    <w:p w14:paraId="16C3EB12">
      <w:pPr>
        <w:spacing w:line="400" w:lineRule="exact"/>
        <w:ind w:firstLine="420" w:firstLineChars="200"/>
        <w:rPr>
          <w:rFonts w:ascii="宋体" w:hAnsi="宋体"/>
          <w:bCs/>
        </w:rPr>
      </w:pPr>
      <w:r>
        <w:rPr>
          <w:bCs/>
        </w:rPr>
        <w:t>3</w:t>
      </w:r>
      <w:r>
        <w:rPr>
          <w:rFonts w:ascii="宋体" w:hAnsi="宋体"/>
          <w:bCs/>
        </w:rPr>
        <w:t>.</w:t>
      </w:r>
      <w:r>
        <w:rPr>
          <w:bCs/>
        </w:rPr>
        <w:t>5</w:t>
      </w:r>
      <w:r>
        <w:rPr>
          <w:rFonts w:ascii="宋体" w:hAnsi="宋体"/>
          <w:bCs/>
        </w:rPr>
        <w:t>.</w:t>
      </w:r>
      <w:r>
        <w:rPr>
          <w:bCs/>
        </w:rPr>
        <w:t>6</w:t>
      </w:r>
      <w:r>
        <w:rPr>
          <w:rFonts w:ascii="宋体" w:hAnsi="宋体"/>
          <w:bCs/>
        </w:rPr>
        <w:t>除供应商须知前附表选择不适用外，供应商应按第六章“响应文件格式”提供拟委任的主要人员汇总表和</w:t>
      </w:r>
      <w:r>
        <w:rPr>
          <w:rFonts w:ascii="宋体" w:hAnsi="宋体"/>
          <w:spacing w:val="1"/>
          <w:kern w:val="0"/>
          <w:szCs w:val="21"/>
        </w:rPr>
        <w:t>主要</w:t>
      </w:r>
      <w:r>
        <w:rPr>
          <w:rFonts w:ascii="宋体" w:hAnsi="宋体"/>
          <w:bCs/>
        </w:rPr>
        <w:t>人员简历表；供应商应填报满足第一章“采购公告”规定的项目负责人和其他主要人员的相关信息，并按供应商须知前附表要求提供相关证明文件。</w:t>
      </w:r>
    </w:p>
    <w:p w14:paraId="1F09736C">
      <w:pPr>
        <w:spacing w:line="400" w:lineRule="exact"/>
        <w:ind w:firstLine="420" w:firstLineChars="200"/>
        <w:rPr>
          <w:rFonts w:ascii="宋体" w:hAnsi="宋体"/>
          <w:bCs/>
        </w:rPr>
      </w:pPr>
      <w:r>
        <w:rPr>
          <w:bCs/>
        </w:rPr>
        <w:t>3</w:t>
      </w:r>
      <w:r>
        <w:rPr>
          <w:rFonts w:ascii="宋体" w:hAnsi="宋体"/>
          <w:bCs/>
        </w:rPr>
        <w:t>.</w:t>
      </w:r>
      <w:r>
        <w:rPr>
          <w:bCs/>
        </w:rPr>
        <w:t>5</w:t>
      </w:r>
      <w:r>
        <w:rPr>
          <w:rFonts w:ascii="宋体" w:hAnsi="宋体"/>
          <w:bCs/>
        </w:rPr>
        <w:t>.</w:t>
      </w:r>
      <w:r>
        <w:rPr>
          <w:bCs/>
        </w:rPr>
        <w:t>7</w:t>
      </w:r>
      <w:r>
        <w:rPr>
          <w:rFonts w:ascii="宋体" w:hAnsi="宋体"/>
          <w:bCs/>
        </w:rPr>
        <w:t>供应商应按</w:t>
      </w:r>
      <w:r>
        <w:rPr>
          <w:rFonts w:ascii="宋体" w:hAnsi="宋体"/>
          <w:spacing w:val="1"/>
          <w:kern w:val="0"/>
          <w:szCs w:val="21"/>
        </w:rPr>
        <w:t>供应</w:t>
      </w:r>
      <w:r>
        <w:rPr>
          <w:rFonts w:ascii="宋体" w:hAnsi="宋体"/>
          <w:bCs/>
        </w:rPr>
        <w:t>商须知前附表规定提供其他要求的证明材料。</w:t>
      </w:r>
    </w:p>
    <w:p w14:paraId="07265F7C">
      <w:pPr>
        <w:spacing w:line="400" w:lineRule="exact"/>
        <w:ind w:firstLine="420" w:firstLineChars="200"/>
        <w:rPr>
          <w:rFonts w:ascii="宋体" w:hAnsi="宋体"/>
          <w:bCs/>
        </w:rPr>
      </w:pPr>
      <w:r>
        <w:rPr>
          <w:bCs/>
        </w:rPr>
        <w:t>3</w:t>
      </w:r>
      <w:r>
        <w:rPr>
          <w:rFonts w:ascii="宋体" w:hAnsi="宋体"/>
          <w:bCs/>
        </w:rPr>
        <w:t>.</w:t>
      </w:r>
      <w:r>
        <w:rPr>
          <w:bCs/>
        </w:rPr>
        <w:t>5</w:t>
      </w:r>
      <w:r>
        <w:rPr>
          <w:rFonts w:ascii="宋体" w:hAnsi="宋体"/>
          <w:bCs/>
        </w:rPr>
        <w:t>.</w:t>
      </w:r>
      <w:r>
        <w:rPr>
          <w:bCs/>
        </w:rPr>
        <w:t>8</w:t>
      </w:r>
      <w:r>
        <w:rPr>
          <w:rFonts w:ascii="宋体" w:hAnsi="宋体"/>
          <w:bCs/>
        </w:rPr>
        <w:t>供应商不存在</w:t>
      </w:r>
      <w:r>
        <w:rPr>
          <w:rFonts w:ascii="宋体" w:hAnsi="宋体"/>
          <w:spacing w:val="1"/>
          <w:kern w:val="0"/>
          <w:szCs w:val="21"/>
        </w:rPr>
        <w:t>第一</w:t>
      </w:r>
      <w:r>
        <w:rPr>
          <w:rFonts w:ascii="宋体" w:hAnsi="宋体"/>
          <w:bCs/>
        </w:rPr>
        <w:t>章</w:t>
      </w:r>
      <w:r>
        <w:rPr>
          <w:bCs/>
        </w:rPr>
        <w:t>3</w:t>
      </w:r>
      <w:r>
        <w:rPr>
          <w:rFonts w:ascii="宋体" w:hAnsi="宋体"/>
          <w:bCs/>
        </w:rPr>
        <w:t>.</w:t>
      </w:r>
      <w:r>
        <w:rPr>
          <w:bCs/>
        </w:rPr>
        <w:t>2</w:t>
      </w:r>
      <w:r>
        <w:rPr>
          <w:rFonts w:ascii="宋体" w:hAnsi="宋体"/>
          <w:bCs/>
        </w:rPr>
        <w:t>款情形采用承诺制，由供应商在承诺函中承诺，无需提供其他证明材料。</w:t>
      </w:r>
    </w:p>
    <w:p w14:paraId="638C33B9">
      <w:pPr>
        <w:spacing w:line="400" w:lineRule="exact"/>
        <w:ind w:firstLine="420" w:firstLineChars="200"/>
        <w:rPr>
          <w:rFonts w:ascii="宋体" w:hAnsi="宋体"/>
          <w:bCs/>
        </w:rPr>
      </w:pPr>
      <w:r>
        <w:rPr>
          <w:bCs/>
        </w:rPr>
        <w:t>3</w:t>
      </w:r>
      <w:r>
        <w:rPr>
          <w:rFonts w:ascii="宋体" w:hAnsi="宋体"/>
          <w:bCs/>
        </w:rPr>
        <w:t>.</w:t>
      </w:r>
      <w:r>
        <w:rPr>
          <w:bCs/>
        </w:rPr>
        <w:t>5</w:t>
      </w:r>
      <w:r>
        <w:rPr>
          <w:rFonts w:ascii="宋体" w:hAnsi="宋体"/>
          <w:bCs/>
        </w:rPr>
        <w:t>.</w:t>
      </w:r>
      <w:r>
        <w:rPr>
          <w:bCs/>
        </w:rPr>
        <w:t>9</w:t>
      </w:r>
      <w:r>
        <w:rPr>
          <w:rFonts w:ascii="宋体" w:hAnsi="宋体"/>
          <w:bCs/>
        </w:rPr>
        <w:t>第一章供应商资格要求中规定接受联合体参加采购活动的，供应商应按照采购文件第六章提供的格式拟定</w:t>
      </w:r>
      <w:r>
        <w:rPr>
          <w:rFonts w:ascii="宋体" w:hAnsi="宋体"/>
          <w:spacing w:val="1"/>
          <w:kern w:val="0"/>
          <w:szCs w:val="21"/>
        </w:rPr>
        <w:t>联合体</w:t>
      </w:r>
      <w:r>
        <w:rPr>
          <w:rFonts w:ascii="宋体" w:hAnsi="宋体"/>
          <w:bCs/>
        </w:rPr>
        <w:t>协议书，并提供联合体协议书原件的扫描件。联合体协议书应明确联合体各方的分工。除供应商须知前附表另有规定外，本章第</w:t>
      </w:r>
      <w:r>
        <w:rPr>
          <w:bCs/>
        </w:rPr>
        <w:t>3</w:t>
      </w:r>
      <w:r>
        <w:rPr>
          <w:rFonts w:ascii="宋体" w:hAnsi="宋体"/>
          <w:bCs/>
        </w:rPr>
        <w:t>.</w:t>
      </w:r>
      <w:r>
        <w:rPr>
          <w:bCs/>
        </w:rPr>
        <w:t>5</w:t>
      </w:r>
      <w:r>
        <w:rPr>
          <w:rFonts w:ascii="宋体" w:hAnsi="宋体"/>
          <w:bCs/>
        </w:rPr>
        <w:t>.</w:t>
      </w:r>
      <w:r>
        <w:rPr>
          <w:bCs/>
        </w:rPr>
        <w:t>1</w:t>
      </w:r>
      <w:r>
        <w:rPr>
          <w:rFonts w:ascii="宋体" w:hAnsi="宋体"/>
          <w:bCs/>
        </w:rPr>
        <w:t>项至</w:t>
      </w:r>
      <w:r>
        <w:rPr>
          <w:bCs/>
        </w:rPr>
        <w:t>3</w:t>
      </w:r>
      <w:r>
        <w:rPr>
          <w:rFonts w:ascii="宋体" w:hAnsi="宋体"/>
          <w:bCs/>
        </w:rPr>
        <w:t>.</w:t>
      </w:r>
      <w:r>
        <w:rPr>
          <w:bCs/>
        </w:rPr>
        <w:t>5</w:t>
      </w:r>
      <w:r>
        <w:rPr>
          <w:rFonts w:ascii="宋体" w:hAnsi="宋体"/>
          <w:bCs/>
        </w:rPr>
        <w:t>.</w:t>
      </w:r>
      <w:r>
        <w:rPr>
          <w:bCs/>
        </w:rPr>
        <w:t>8</w:t>
      </w:r>
      <w:r>
        <w:rPr>
          <w:rFonts w:ascii="宋体" w:hAnsi="宋体"/>
          <w:bCs/>
        </w:rPr>
        <w:t>项规定表格和资料应包括联合体各方的情况。</w:t>
      </w:r>
    </w:p>
    <w:bookmarkEnd w:id="165"/>
    <w:p w14:paraId="6D8A603F">
      <w:pPr>
        <w:widowControl/>
        <w:spacing w:before="100" w:beforeAutospacing="1" w:after="100" w:afterAutospacing="1" w:line="400" w:lineRule="exact"/>
        <w:ind w:left="2" w:leftChars="1"/>
        <w:jc w:val="left"/>
        <w:outlineLvl w:val="2"/>
        <w:rPr>
          <w:rFonts w:eastAsia="黑体"/>
          <w:sz w:val="24"/>
        </w:rPr>
      </w:pPr>
      <w:bookmarkStart w:id="166" w:name="_Toc143102155"/>
      <w:bookmarkStart w:id="167" w:name="_Toc149140211"/>
      <w:r>
        <w:rPr>
          <w:rFonts w:eastAsia="黑体"/>
          <w:sz w:val="24"/>
        </w:rPr>
        <w:t>3.6 响应方案</w:t>
      </w:r>
      <w:bookmarkEnd w:id="166"/>
      <w:bookmarkEnd w:id="167"/>
    </w:p>
    <w:p w14:paraId="49CC8E4F">
      <w:pPr>
        <w:spacing w:line="400" w:lineRule="exact"/>
        <w:ind w:firstLine="420" w:firstLineChars="200"/>
        <w:rPr>
          <w:rFonts w:ascii="宋体" w:hAnsi="宋体"/>
        </w:rPr>
      </w:pPr>
      <w:bookmarkStart w:id="168" w:name="_Hlk138878272"/>
      <w:r>
        <w:t>3</w:t>
      </w:r>
      <w:r>
        <w:rPr>
          <w:rFonts w:ascii="宋体" w:hAnsi="宋体"/>
        </w:rPr>
        <w:t>.</w:t>
      </w:r>
      <w:r>
        <w:t>6</w:t>
      </w:r>
      <w:r>
        <w:rPr>
          <w:rFonts w:ascii="宋体" w:hAnsi="宋体"/>
        </w:rPr>
        <w:t>.</w:t>
      </w:r>
      <w:r>
        <w:t>1</w:t>
      </w:r>
      <w:r>
        <w:rPr>
          <w:rFonts w:ascii="宋体" w:hAnsi="宋体"/>
        </w:rPr>
        <w:t xml:space="preserve"> 响应文件应当对</w:t>
      </w:r>
      <w:r>
        <w:rPr>
          <w:rFonts w:ascii="宋体" w:hAnsi="宋体"/>
          <w:spacing w:val="1"/>
          <w:kern w:val="0"/>
          <w:szCs w:val="21"/>
        </w:rPr>
        <w:t>采购</w:t>
      </w:r>
      <w:r>
        <w:rPr>
          <w:rFonts w:ascii="宋体" w:hAnsi="宋体"/>
        </w:rPr>
        <w:t>文件中的实质性内容作出响应。采购需求中明确为关键条款（标记“*”)的，供应商还应按照供应商须知前附表的规定提供有关证据或证明材料。</w:t>
      </w:r>
    </w:p>
    <w:p w14:paraId="57CCF699">
      <w:pPr>
        <w:spacing w:line="400" w:lineRule="exact"/>
        <w:ind w:firstLine="420" w:firstLineChars="200"/>
        <w:rPr>
          <w:rFonts w:ascii="宋体" w:hAnsi="宋体"/>
        </w:rPr>
      </w:pPr>
      <w:r>
        <w:t>3</w:t>
      </w:r>
      <w:r>
        <w:rPr>
          <w:rFonts w:ascii="宋体" w:hAnsi="宋体"/>
        </w:rPr>
        <w:t>.</w:t>
      </w:r>
      <w:r>
        <w:t>6</w:t>
      </w:r>
      <w:r>
        <w:rPr>
          <w:rFonts w:ascii="宋体" w:hAnsi="宋体"/>
        </w:rPr>
        <w:t>.</w:t>
      </w:r>
      <w:r>
        <w:t>2</w:t>
      </w:r>
      <w:r>
        <w:rPr>
          <w:rFonts w:ascii="宋体" w:hAnsi="宋体"/>
        </w:rPr>
        <w:t xml:space="preserve"> 供应商只能提出唯一的响应方案。供应商在响应文件中提出多个响应方案的，其响应文件将被视为无效。</w:t>
      </w:r>
    </w:p>
    <w:p w14:paraId="1B630B44">
      <w:pPr>
        <w:spacing w:line="400" w:lineRule="exact"/>
        <w:ind w:firstLine="420" w:firstLineChars="200"/>
        <w:rPr>
          <w:rFonts w:ascii="宋体" w:hAnsi="宋体"/>
        </w:rPr>
      </w:pPr>
      <w:r>
        <w:t>3</w:t>
      </w:r>
      <w:r>
        <w:rPr>
          <w:rFonts w:ascii="宋体" w:hAnsi="宋体"/>
        </w:rPr>
        <w:t>.</w:t>
      </w:r>
      <w:r>
        <w:t>6</w:t>
      </w:r>
      <w:r>
        <w:rPr>
          <w:rFonts w:ascii="宋体" w:hAnsi="宋体"/>
        </w:rPr>
        <w:t>.</w:t>
      </w:r>
      <w:r>
        <w:t>3</w:t>
      </w:r>
      <w:r>
        <w:rPr>
          <w:rFonts w:ascii="宋体" w:hAnsi="宋体"/>
        </w:rPr>
        <w:t xml:space="preserve"> 响应文件对采购文件的全部偏差，均应在响应文件的商务和技术偏差表中列明。响应文件偏差表中未列明的</w:t>
      </w:r>
      <w:r>
        <w:rPr>
          <w:rFonts w:ascii="宋体" w:hAnsi="宋体"/>
          <w:spacing w:val="1"/>
          <w:kern w:val="0"/>
          <w:szCs w:val="21"/>
        </w:rPr>
        <w:t>内容</w:t>
      </w:r>
      <w:r>
        <w:rPr>
          <w:rFonts w:ascii="宋体" w:hAnsi="宋体"/>
        </w:rPr>
        <w:t>，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bookmarkEnd w:id="168"/>
    <w:p w14:paraId="3EC87D2A">
      <w:pPr>
        <w:widowControl/>
        <w:spacing w:before="100" w:beforeAutospacing="1" w:after="100" w:afterAutospacing="1" w:line="400" w:lineRule="exact"/>
        <w:ind w:left="2" w:leftChars="1"/>
        <w:jc w:val="left"/>
        <w:outlineLvl w:val="2"/>
        <w:rPr>
          <w:rFonts w:eastAsia="黑体"/>
          <w:sz w:val="24"/>
        </w:rPr>
      </w:pPr>
      <w:bookmarkStart w:id="169" w:name="_Toc149140212"/>
      <w:bookmarkStart w:id="170" w:name="_Toc143102156"/>
      <w:r>
        <w:rPr>
          <w:rFonts w:eastAsia="黑体"/>
          <w:sz w:val="24"/>
        </w:rPr>
        <w:t>3.7 响应文件的编制</w:t>
      </w:r>
      <w:bookmarkEnd w:id="169"/>
      <w:bookmarkEnd w:id="170"/>
    </w:p>
    <w:p w14:paraId="3B190FC2">
      <w:pPr>
        <w:spacing w:line="400" w:lineRule="exact"/>
        <w:ind w:firstLine="420" w:firstLineChars="200"/>
        <w:rPr>
          <w:rFonts w:ascii="宋体" w:hAnsi="宋体"/>
        </w:rPr>
      </w:pPr>
      <w:bookmarkStart w:id="171" w:name="_Hlk138878309"/>
      <w:r>
        <w:t>3</w:t>
      </w:r>
      <w:r>
        <w:rPr>
          <w:rFonts w:ascii="宋体" w:hAnsi="宋体"/>
        </w:rPr>
        <w:t>.</w:t>
      </w:r>
      <w:r>
        <w:t>7</w:t>
      </w:r>
      <w:r>
        <w:rPr>
          <w:rFonts w:ascii="宋体" w:hAnsi="宋体"/>
        </w:rPr>
        <w:t>.</w:t>
      </w:r>
      <w:r>
        <w:t>1</w:t>
      </w:r>
      <w:r>
        <w:rPr>
          <w:rFonts w:ascii="宋体" w:hAnsi="宋体"/>
        </w:rPr>
        <w:t xml:space="preserve"> 响应文件应按第六章“响应文件格式”进行编写，如有必要，可以增加附页，作为响应文件的组成部分。</w:t>
      </w:r>
    </w:p>
    <w:p w14:paraId="316AFA76">
      <w:pPr>
        <w:spacing w:line="400" w:lineRule="exact"/>
        <w:ind w:firstLine="420" w:firstLineChars="200"/>
        <w:rPr>
          <w:rFonts w:ascii="宋体" w:hAnsi="宋体"/>
        </w:rPr>
      </w:pPr>
      <w:r>
        <w:t>3</w:t>
      </w:r>
      <w:r>
        <w:rPr>
          <w:rFonts w:ascii="宋体" w:hAnsi="宋体"/>
        </w:rPr>
        <w:t>.</w:t>
      </w:r>
      <w:r>
        <w:t>7</w:t>
      </w:r>
      <w:r>
        <w:rPr>
          <w:rFonts w:ascii="宋体" w:hAnsi="宋体"/>
        </w:rPr>
        <w:t>.</w:t>
      </w:r>
      <w:r>
        <w:t>2</w:t>
      </w:r>
      <w:r>
        <w:rPr>
          <w:rFonts w:ascii="宋体" w:hAnsi="宋体"/>
        </w:rPr>
        <w:t xml:space="preserve"> 供应商应委托本单位人员（含法定代表人或单位负责人）办理相关采购活动事宜的，并按采购文件第六章</w:t>
      </w:r>
      <w:r>
        <w:rPr>
          <w:rFonts w:ascii="宋体" w:hAnsi="宋体"/>
          <w:spacing w:val="1"/>
          <w:kern w:val="0"/>
          <w:szCs w:val="21"/>
        </w:rPr>
        <w:t>“响应文件格式”</w:t>
      </w:r>
      <w:r>
        <w:rPr>
          <w:rFonts w:ascii="宋体" w:hAnsi="宋体"/>
        </w:rPr>
        <w:t>提供授权委托书。</w:t>
      </w:r>
    </w:p>
    <w:p w14:paraId="59D5B652">
      <w:pPr>
        <w:spacing w:line="400" w:lineRule="exact"/>
        <w:ind w:firstLine="420" w:firstLineChars="200"/>
        <w:rPr>
          <w:rFonts w:ascii="宋体" w:hAnsi="宋体"/>
        </w:rPr>
      </w:pPr>
      <w:r>
        <w:t>3</w:t>
      </w:r>
      <w:r>
        <w:rPr>
          <w:rFonts w:ascii="宋体" w:hAnsi="宋体"/>
        </w:rPr>
        <w:t>.</w:t>
      </w:r>
      <w:r>
        <w:t>7</w:t>
      </w:r>
      <w:r>
        <w:rPr>
          <w:rFonts w:ascii="宋体" w:hAnsi="宋体"/>
        </w:rPr>
        <w:t>.</w:t>
      </w:r>
      <w:r>
        <w:t>3</w:t>
      </w:r>
      <w:r>
        <w:rPr>
          <w:rFonts w:ascii="宋体" w:hAnsi="宋体"/>
        </w:rPr>
        <w:t>除供应商须知前附表另有规定外，响应文件中证明资料的“复印件”均为“原件的扫描件”，联合体协议书为</w:t>
      </w:r>
      <w:r>
        <w:rPr>
          <w:rFonts w:ascii="宋体" w:hAnsi="宋体"/>
          <w:spacing w:val="1"/>
          <w:kern w:val="0"/>
          <w:szCs w:val="21"/>
        </w:rPr>
        <w:t>联合体</w:t>
      </w:r>
      <w:r>
        <w:rPr>
          <w:rFonts w:ascii="宋体" w:hAnsi="宋体"/>
        </w:rPr>
        <w:t>成员各方盖单位章原件的扫描件。</w:t>
      </w:r>
    </w:p>
    <w:p w14:paraId="07B3929F">
      <w:pPr>
        <w:pStyle w:val="154"/>
        <w:ind w:firstLine="420"/>
        <w:rPr>
          <w:rFonts w:ascii="宋体" w:hAnsi="宋体" w:eastAsia="宋体"/>
          <w:b/>
          <w:bCs/>
          <w:kern w:val="2"/>
        </w:rPr>
      </w:pPr>
      <w:r>
        <w:rPr>
          <w:rFonts w:eastAsia="宋体"/>
          <w:kern w:val="2"/>
        </w:rPr>
        <w:t>3</w:t>
      </w:r>
      <w:r>
        <w:rPr>
          <w:rFonts w:ascii="宋体" w:hAnsi="宋体" w:eastAsia="宋体"/>
          <w:kern w:val="2"/>
        </w:rPr>
        <w:t>.</w:t>
      </w:r>
      <w:r>
        <w:rPr>
          <w:rFonts w:eastAsia="宋体"/>
          <w:kern w:val="2"/>
        </w:rPr>
        <w:t>7</w:t>
      </w:r>
      <w:r>
        <w:rPr>
          <w:rFonts w:ascii="宋体" w:hAnsi="宋体" w:eastAsia="宋体"/>
          <w:kern w:val="2"/>
        </w:rPr>
        <w:t>.</w:t>
      </w:r>
      <w:r>
        <w:rPr>
          <w:rFonts w:eastAsia="宋体"/>
          <w:kern w:val="2"/>
        </w:rPr>
        <w:t>4</w:t>
      </w:r>
      <w:r>
        <w:rPr>
          <w:rFonts w:ascii="宋体" w:hAnsi="宋体" w:eastAsia="宋体"/>
          <w:kern w:val="2"/>
        </w:rPr>
        <w:t xml:space="preserve"> </w:t>
      </w:r>
      <w:r>
        <w:rPr>
          <w:rFonts w:ascii="宋体" w:hAnsi="宋体" w:eastAsia="宋体"/>
          <w:b/>
          <w:bCs/>
          <w:kern w:val="2"/>
        </w:rPr>
        <w:t>响应文件的签字盖章要求：除供应商须知前附表另有约定外，供应商应在响应文件封面用河北交投</w:t>
      </w:r>
      <w:r>
        <w:rPr>
          <w:rFonts w:eastAsia="宋体"/>
          <w:b/>
          <w:bCs/>
          <w:kern w:val="2"/>
        </w:rPr>
        <w:t>CA</w:t>
      </w:r>
      <w:r>
        <w:rPr>
          <w:rFonts w:ascii="宋体" w:hAnsi="宋体" w:eastAsia="宋体"/>
          <w:b/>
          <w:bCs/>
          <w:kern w:val="2"/>
        </w:rPr>
        <w:t>数字证书加盖供应商电子印章，响应文件其他页均无需供应商签字、盖单位电子印章。</w:t>
      </w:r>
    </w:p>
    <w:p w14:paraId="7DED911A">
      <w:pPr>
        <w:pStyle w:val="154"/>
        <w:ind w:firstLine="422"/>
        <w:rPr>
          <w:rFonts w:ascii="宋体" w:hAnsi="宋体" w:eastAsia="宋体"/>
          <w:b/>
          <w:bCs/>
          <w:kern w:val="2"/>
        </w:rPr>
      </w:pPr>
      <w:r>
        <w:rPr>
          <w:rFonts w:ascii="宋体" w:hAnsi="宋体" w:eastAsia="宋体"/>
          <w:b/>
          <w:bCs/>
          <w:kern w:val="2"/>
        </w:rPr>
        <w:t>响应文件中响应函、</w:t>
      </w:r>
      <w:r>
        <w:rPr>
          <w:rFonts w:ascii="宋体" w:hAnsi="宋体" w:eastAsia="宋体"/>
          <w:b/>
          <w:bCs/>
          <w:sz w:val="22"/>
        </w:rPr>
        <w:t>承诺函、</w:t>
      </w:r>
      <w:r>
        <w:rPr>
          <w:rFonts w:ascii="宋体" w:hAnsi="宋体" w:eastAsia="宋体"/>
          <w:b/>
          <w:bCs/>
          <w:kern w:val="2"/>
        </w:rPr>
        <w:t>授权委托书等直接填写电子版即可，无需签字、盖章；若为联合体参与采购，响应文件封面中供应商落款处需填写联合体所有组成成员单位的名称，响应文件封面仅由联合体牵头人盖单位电子印章即可，联合体协议书应由联合体各方盖单位章后将扫描件编入响应文件。</w:t>
      </w:r>
    </w:p>
    <w:p w14:paraId="0F40015B">
      <w:pPr>
        <w:spacing w:line="400" w:lineRule="exact"/>
        <w:ind w:firstLine="420" w:firstLineChars="200"/>
        <w:rPr>
          <w:rFonts w:ascii="宋体" w:hAnsi="宋体"/>
        </w:rPr>
      </w:pPr>
      <w:r>
        <w:t>3</w:t>
      </w:r>
      <w:r>
        <w:rPr>
          <w:rFonts w:ascii="宋体" w:hAnsi="宋体"/>
        </w:rPr>
        <w:t>.</w:t>
      </w:r>
      <w:r>
        <w:t>7</w:t>
      </w:r>
      <w:r>
        <w:rPr>
          <w:rFonts w:ascii="宋体" w:hAnsi="宋体"/>
        </w:rPr>
        <w:t>.</w:t>
      </w:r>
      <w:r>
        <w:t>5</w:t>
      </w:r>
      <w:r>
        <w:rPr>
          <w:rFonts w:ascii="宋体" w:hAnsi="宋体"/>
        </w:rPr>
        <w:t>评审过程中对响应文件的澄清、说明和补正应加盖单位电子印章。</w:t>
      </w:r>
    </w:p>
    <w:p w14:paraId="1BF00758">
      <w:pPr>
        <w:spacing w:line="400" w:lineRule="exact"/>
        <w:ind w:firstLine="420" w:firstLineChars="200"/>
        <w:rPr>
          <w:rFonts w:ascii="宋体" w:hAnsi="宋体"/>
        </w:rPr>
      </w:pPr>
      <w:r>
        <w:t>3</w:t>
      </w:r>
      <w:r>
        <w:rPr>
          <w:rFonts w:ascii="宋体" w:hAnsi="宋体"/>
        </w:rPr>
        <w:t>.</w:t>
      </w:r>
      <w:r>
        <w:t>7</w:t>
      </w:r>
      <w:r>
        <w:rPr>
          <w:rFonts w:ascii="宋体" w:hAnsi="宋体"/>
        </w:rPr>
        <w:t>.</w:t>
      </w:r>
      <w:r>
        <w:t>6</w:t>
      </w:r>
      <w:r>
        <w:rPr>
          <w:rFonts w:ascii="宋体" w:hAnsi="宋体"/>
        </w:rPr>
        <w:t>供应商须在</w:t>
      </w:r>
      <w:bookmarkStart w:id="172" w:name="_Hlk137488810"/>
      <w:r>
        <w:rPr>
          <w:rFonts w:ascii="宋体" w:hAnsi="宋体"/>
        </w:rPr>
        <w:t>河北交投招标与采购服务平台</w:t>
      </w:r>
      <w:bookmarkEnd w:id="172"/>
      <w:r>
        <w:rPr>
          <w:rFonts w:ascii="宋体" w:hAnsi="宋体"/>
        </w:rPr>
        <w:t>下载响应文件编制工具和数字签名服务（包含驱动程序）程序包，采用编辑工具编制响应文件并上传</w:t>
      </w:r>
      <w:bookmarkStart w:id="173" w:name="_Hlk137488828"/>
      <w:r>
        <w:t>HEBJTTF</w:t>
      </w:r>
      <w:bookmarkEnd w:id="173"/>
      <w:r>
        <w:rPr>
          <w:rFonts w:ascii="宋体" w:hAnsi="宋体"/>
        </w:rPr>
        <w:t>格式响应文件。</w:t>
      </w:r>
    </w:p>
    <w:p w14:paraId="2F59AE80">
      <w:pPr>
        <w:spacing w:line="400" w:lineRule="exact"/>
        <w:ind w:firstLine="420" w:firstLineChars="200"/>
        <w:rPr>
          <w:rFonts w:ascii="宋体" w:hAnsi="宋体"/>
        </w:rPr>
      </w:pPr>
      <w:r>
        <w:t>3</w:t>
      </w:r>
      <w:r>
        <w:rPr>
          <w:rFonts w:ascii="宋体" w:hAnsi="宋体"/>
        </w:rPr>
        <w:t>.</w:t>
      </w:r>
      <w:r>
        <w:t>7</w:t>
      </w:r>
      <w:r>
        <w:rPr>
          <w:rFonts w:ascii="宋体" w:hAnsi="宋体"/>
        </w:rPr>
        <w:t>.</w:t>
      </w:r>
      <w:r>
        <w:t>7</w:t>
      </w:r>
      <w:r>
        <w:rPr>
          <w:rFonts w:ascii="宋体" w:hAnsi="宋体"/>
        </w:rPr>
        <w:t>供应商必须保证响应文件所提供的全部资料真实可靠且能提供与响应文件相一致的原件，并接受采购人对其中</w:t>
      </w:r>
      <w:r>
        <w:rPr>
          <w:rFonts w:ascii="宋体" w:hAnsi="宋体"/>
          <w:spacing w:val="1"/>
          <w:kern w:val="0"/>
          <w:szCs w:val="21"/>
        </w:rPr>
        <w:t>任何</w:t>
      </w:r>
      <w:r>
        <w:rPr>
          <w:rFonts w:ascii="宋体" w:hAnsi="宋体"/>
        </w:rPr>
        <w:t>资料在合同最终授予前进一步审查的要求，如若存在供应商利用弄虚作假等不当手段谋取中选或无法提供与响应文件彩色扫描件相一致的原件，一经查实，采购人有权予以否决，并保留进一步追究其责任的权利。</w:t>
      </w:r>
    </w:p>
    <w:bookmarkEnd w:id="171"/>
    <w:p w14:paraId="3D8B95FC">
      <w:pPr>
        <w:keepNext/>
        <w:keepLines/>
        <w:widowControl/>
        <w:spacing w:before="260" w:after="260"/>
        <w:outlineLvl w:val="1"/>
        <w:rPr>
          <w:rFonts w:eastAsia="黑体"/>
          <w:b/>
          <w:sz w:val="28"/>
          <w:szCs w:val="18"/>
        </w:rPr>
      </w:pPr>
      <w:bookmarkStart w:id="174" w:name="_Toc149140213"/>
      <w:r>
        <w:rPr>
          <w:rFonts w:eastAsia="黑体"/>
          <w:b/>
          <w:sz w:val="28"/>
          <w:szCs w:val="18"/>
        </w:rPr>
        <w:t>4. 响应文件的递交</w:t>
      </w:r>
      <w:bookmarkEnd w:id="174"/>
    </w:p>
    <w:p w14:paraId="182D4BAA">
      <w:pPr>
        <w:widowControl/>
        <w:spacing w:before="100" w:beforeAutospacing="1" w:after="100" w:afterAutospacing="1" w:line="400" w:lineRule="exact"/>
        <w:ind w:left="2" w:leftChars="1"/>
        <w:jc w:val="left"/>
        <w:outlineLvl w:val="2"/>
        <w:rPr>
          <w:rFonts w:eastAsia="黑体"/>
          <w:sz w:val="24"/>
        </w:rPr>
      </w:pPr>
      <w:bookmarkStart w:id="175" w:name="_Toc149140214"/>
      <w:bookmarkStart w:id="176" w:name="_Toc143102158"/>
      <w:r>
        <w:rPr>
          <w:rFonts w:eastAsia="黑体"/>
          <w:sz w:val="24"/>
        </w:rPr>
        <w:t>4.1响应文件的加密</w:t>
      </w:r>
      <w:bookmarkEnd w:id="175"/>
      <w:bookmarkEnd w:id="176"/>
    </w:p>
    <w:p w14:paraId="5D54BED3">
      <w:pPr>
        <w:spacing w:line="400" w:lineRule="exact"/>
        <w:ind w:firstLine="420" w:firstLineChars="200"/>
        <w:rPr>
          <w:rFonts w:ascii="宋体" w:hAnsi="宋体"/>
        </w:rPr>
      </w:pPr>
      <w:bookmarkStart w:id="177" w:name="_Hlk137488915"/>
      <w:bookmarkStart w:id="178" w:name="_Hlk138878334"/>
      <w:r>
        <w:rPr>
          <w:color w:val="000000"/>
        </w:rPr>
        <w:t>4</w:t>
      </w:r>
      <w:r>
        <w:rPr>
          <w:rFonts w:ascii="宋体" w:hAnsi="宋体"/>
          <w:color w:val="000000"/>
        </w:rPr>
        <w:t>.</w:t>
      </w:r>
      <w:r>
        <w:rPr>
          <w:color w:val="000000"/>
        </w:rPr>
        <w:t>1</w:t>
      </w:r>
      <w:r>
        <w:rPr>
          <w:rFonts w:ascii="宋体" w:hAnsi="宋体"/>
          <w:color w:val="000000"/>
        </w:rPr>
        <w:t>.</w:t>
      </w:r>
      <w:r>
        <w:rPr>
          <w:color w:val="000000"/>
        </w:rPr>
        <w:t>1</w:t>
      </w:r>
      <w:r>
        <w:rPr>
          <w:rFonts w:ascii="宋体" w:hAnsi="宋体"/>
        </w:rPr>
        <w:t>除供应商须知前附表另有规定外，响应文件制作完成后，供应商应使用河北交投</w:t>
      </w:r>
      <w:r>
        <w:t>CA</w:t>
      </w:r>
      <w:r>
        <w:rPr>
          <w:rFonts w:ascii="宋体" w:hAnsi="宋体"/>
        </w:rPr>
        <w:t>数字证书对响应文件进行文件加密，形成加密的响应文件。</w:t>
      </w:r>
    </w:p>
    <w:p w14:paraId="20887EE5">
      <w:pPr>
        <w:spacing w:line="400" w:lineRule="exact"/>
        <w:ind w:firstLine="420" w:firstLineChars="200"/>
        <w:rPr>
          <w:rFonts w:ascii="宋体" w:hAnsi="宋体"/>
          <w:color w:val="000000"/>
        </w:rPr>
      </w:pPr>
      <w:r>
        <w:rPr>
          <w:color w:val="000000"/>
        </w:rPr>
        <w:t>4</w:t>
      </w:r>
      <w:r>
        <w:rPr>
          <w:rFonts w:ascii="宋体" w:hAnsi="宋体"/>
          <w:color w:val="000000"/>
        </w:rPr>
        <w:t>.</w:t>
      </w:r>
      <w:r>
        <w:rPr>
          <w:color w:val="000000"/>
        </w:rPr>
        <w:t>1</w:t>
      </w:r>
      <w:r>
        <w:rPr>
          <w:rFonts w:ascii="宋体" w:hAnsi="宋体"/>
          <w:color w:val="000000"/>
        </w:rPr>
        <w:t>.</w:t>
      </w:r>
      <w:r>
        <w:rPr>
          <w:color w:val="000000"/>
        </w:rPr>
        <w:t>2</w:t>
      </w:r>
      <w:r>
        <w:rPr>
          <w:rFonts w:ascii="宋体" w:hAnsi="宋体"/>
          <w:color w:val="000000"/>
        </w:rPr>
        <w:t>未按本章第</w:t>
      </w:r>
      <w:r>
        <w:rPr>
          <w:color w:val="000000"/>
        </w:rPr>
        <w:t>4</w:t>
      </w:r>
      <w:r>
        <w:rPr>
          <w:rFonts w:ascii="宋体" w:hAnsi="宋体"/>
          <w:color w:val="000000"/>
        </w:rPr>
        <w:t>.</w:t>
      </w:r>
      <w:r>
        <w:rPr>
          <w:color w:val="000000"/>
        </w:rPr>
        <w:t>1</w:t>
      </w:r>
      <w:r>
        <w:rPr>
          <w:rFonts w:ascii="宋体" w:hAnsi="宋体"/>
          <w:color w:val="000000"/>
        </w:rPr>
        <w:t>.</w:t>
      </w:r>
      <w:r>
        <w:rPr>
          <w:color w:val="000000"/>
        </w:rPr>
        <w:t>1</w:t>
      </w:r>
      <w:r>
        <w:rPr>
          <w:rFonts w:ascii="宋体" w:hAnsi="宋体"/>
          <w:color w:val="000000"/>
        </w:rPr>
        <w:t>项</w:t>
      </w:r>
      <w:r>
        <w:rPr>
          <w:rFonts w:ascii="宋体" w:hAnsi="宋体"/>
        </w:rPr>
        <w:t>要求</w:t>
      </w:r>
      <w:r>
        <w:rPr>
          <w:rFonts w:ascii="宋体" w:hAnsi="宋体"/>
          <w:color w:val="000000"/>
        </w:rPr>
        <w:t>加密的</w:t>
      </w:r>
      <w:r>
        <w:rPr>
          <w:rFonts w:ascii="宋体" w:hAnsi="宋体"/>
        </w:rPr>
        <w:t>响应</w:t>
      </w:r>
      <w:r>
        <w:rPr>
          <w:rFonts w:ascii="宋体" w:hAnsi="宋体"/>
          <w:color w:val="000000"/>
        </w:rPr>
        <w:t>文件，</w:t>
      </w:r>
      <w:r>
        <w:rPr>
          <w:rFonts w:ascii="宋体" w:hAnsi="宋体"/>
        </w:rPr>
        <w:t>“</w:t>
      </w:r>
      <w:r>
        <w:rPr>
          <w:rFonts w:ascii="宋体" w:hAnsi="宋体"/>
          <w:color w:val="000000"/>
        </w:rPr>
        <w:t>招采平台</w:t>
      </w:r>
      <w:r>
        <w:rPr>
          <w:rFonts w:ascii="宋体" w:hAnsi="宋体"/>
        </w:rPr>
        <w:t>”</w:t>
      </w:r>
      <w:r>
        <w:rPr>
          <w:rFonts w:ascii="宋体" w:hAnsi="宋体"/>
          <w:color w:val="000000"/>
        </w:rPr>
        <w:t>将予以拒收</w:t>
      </w:r>
      <w:bookmarkEnd w:id="177"/>
      <w:r>
        <w:rPr>
          <w:rFonts w:ascii="宋体" w:hAnsi="宋体"/>
          <w:color w:val="000000"/>
        </w:rPr>
        <w:t>。</w:t>
      </w:r>
    </w:p>
    <w:bookmarkEnd w:id="178"/>
    <w:p w14:paraId="08DDF20C">
      <w:pPr>
        <w:widowControl/>
        <w:spacing w:before="100" w:beforeAutospacing="1" w:after="100" w:afterAutospacing="1" w:line="400" w:lineRule="exact"/>
        <w:ind w:left="2" w:leftChars="1"/>
        <w:jc w:val="left"/>
        <w:outlineLvl w:val="2"/>
        <w:rPr>
          <w:rFonts w:eastAsia="黑体"/>
          <w:sz w:val="24"/>
        </w:rPr>
      </w:pPr>
      <w:bookmarkStart w:id="179" w:name="_Toc143102159"/>
      <w:bookmarkStart w:id="180" w:name="_Toc149140215"/>
      <w:r>
        <w:rPr>
          <w:rFonts w:eastAsia="黑体"/>
          <w:sz w:val="24"/>
        </w:rPr>
        <w:t>4.2响应文件的递交</w:t>
      </w:r>
      <w:bookmarkEnd w:id="179"/>
      <w:bookmarkEnd w:id="180"/>
    </w:p>
    <w:p w14:paraId="54B84F37">
      <w:pPr>
        <w:spacing w:line="400" w:lineRule="exact"/>
        <w:ind w:firstLine="420" w:firstLineChars="200"/>
        <w:rPr>
          <w:rFonts w:ascii="宋体" w:hAnsi="宋体"/>
        </w:rPr>
      </w:pPr>
      <w:bookmarkStart w:id="181" w:name="_Hlk137488940"/>
      <w:r>
        <w:t>4</w:t>
      </w:r>
      <w:r>
        <w:rPr>
          <w:rFonts w:ascii="宋体" w:hAnsi="宋体"/>
        </w:rPr>
        <w:t>.</w:t>
      </w:r>
      <w:r>
        <w:t>2</w:t>
      </w:r>
      <w:r>
        <w:rPr>
          <w:rFonts w:ascii="宋体" w:hAnsi="宋体"/>
        </w:rPr>
        <w:t>.</w:t>
      </w:r>
      <w:r>
        <w:t>1</w:t>
      </w:r>
      <w:r>
        <w:rPr>
          <w:rFonts w:ascii="宋体" w:hAnsi="宋体"/>
        </w:rPr>
        <w:t>供应商应在供应商须知前附表规定的响应文件截止时间前，登录“招采平台”，将加密的响应文件上传，上传成功的时间即为递交时间。供应商应充分考虑上传文件时的不可预见因素，未在响应文件截止时间前完成上传的，系统将自动拒绝其响应文件并对其关闭递交通道。</w:t>
      </w:r>
    </w:p>
    <w:p w14:paraId="68A3CF43">
      <w:pPr>
        <w:spacing w:line="400" w:lineRule="exact"/>
        <w:ind w:firstLine="420" w:firstLineChars="200"/>
        <w:rPr>
          <w:rFonts w:ascii="宋体" w:hAnsi="宋体"/>
        </w:rPr>
      </w:pPr>
      <w:bookmarkStart w:id="182" w:name="_Hlk29399638"/>
      <w:r>
        <w:t>4</w:t>
      </w:r>
      <w:r>
        <w:rPr>
          <w:rFonts w:ascii="宋体" w:hAnsi="宋体"/>
        </w:rPr>
        <w:t>.</w:t>
      </w:r>
      <w:r>
        <w:t>2</w:t>
      </w:r>
      <w:r>
        <w:rPr>
          <w:rFonts w:ascii="宋体" w:hAnsi="宋体"/>
        </w:rPr>
        <w:t>.</w:t>
      </w:r>
      <w:r>
        <w:t>2</w:t>
      </w:r>
      <w:r>
        <w:rPr>
          <w:rFonts w:ascii="宋体" w:hAnsi="宋体"/>
        </w:rPr>
        <w:t xml:space="preserve"> 供应商在响应文件截止时间前可自行、多次撤回修改响应文件，响应文件修改完成后按</w:t>
      </w:r>
      <w:r>
        <w:t>4</w:t>
      </w:r>
      <w:r>
        <w:rPr>
          <w:rFonts w:ascii="宋体" w:hAnsi="宋体"/>
        </w:rPr>
        <w:t>.</w:t>
      </w:r>
      <w:r>
        <w:t>1</w:t>
      </w:r>
      <w:r>
        <w:rPr>
          <w:rFonts w:ascii="宋体" w:hAnsi="宋体"/>
        </w:rPr>
        <w:t>款、</w:t>
      </w:r>
      <w:r>
        <w:t>4</w:t>
      </w:r>
      <w:r>
        <w:rPr>
          <w:rFonts w:ascii="宋体" w:hAnsi="宋体"/>
        </w:rPr>
        <w:t>.</w:t>
      </w:r>
      <w:r>
        <w:t>2</w:t>
      </w:r>
      <w:r>
        <w:rPr>
          <w:rFonts w:ascii="宋体" w:hAnsi="宋体"/>
        </w:rPr>
        <w:t>.</w:t>
      </w:r>
      <w:r>
        <w:t>1</w:t>
      </w:r>
      <w:r>
        <w:rPr>
          <w:rFonts w:ascii="宋体" w:hAnsi="宋体"/>
        </w:rPr>
        <w:t>项重新加密、上传，替换已上传的原响应文件。</w:t>
      </w:r>
      <w:bookmarkEnd w:id="182"/>
    </w:p>
    <w:bookmarkEnd w:id="181"/>
    <w:p w14:paraId="765E7A67">
      <w:pPr>
        <w:widowControl/>
        <w:spacing w:before="100" w:beforeAutospacing="1" w:after="100" w:afterAutospacing="1" w:line="400" w:lineRule="exact"/>
        <w:ind w:left="2" w:leftChars="1"/>
        <w:jc w:val="left"/>
        <w:outlineLvl w:val="2"/>
        <w:rPr>
          <w:rFonts w:eastAsia="黑体"/>
          <w:sz w:val="24"/>
        </w:rPr>
      </w:pPr>
      <w:bookmarkStart w:id="183" w:name="_Toc149140216"/>
      <w:bookmarkStart w:id="184" w:name="_Toc143102160"/>
      <w:r>
        <w:rPr>
          <w:rFonts w:eastAsia="黑体"/>
          <w:sz w:val="24"/>
        </w:rPr>
        <w:t>4.3响应文件的撤回</w:t>
      </w:r>
      <w:bookmarkEnd w:id="183"/>
      <w:bookmarkEnd w:id="184"/>
    </w:p>
    <w:p w14:paraId="3541D93F">
      <w:pPr>
        <w:spacing w:line="400" w:lineRule="exact"/>
        <w:ind w:firstLine="420" w:firstLineChars="200"/>
        <w:rPr>
          <w:rFonts w:ascii="宋体" w:hAnsi="宋体"/>
        </w:rPr>
      </w:pPr>
      <w:bookmarkStart w:id="185" w:name="_Hlk137488964"/>
      <w:r>
        <w:rPr>
          <w:rFonts w:ascii="宋体" w:hAnsi="宋体"/>
        </w:rPr>
        <w:t>在本章第</w:t>
      </w:r>
      <w:r>
        <w:t>4</w:t>
      </w:r>
      <w:r>
        <w:rPr>
          <w:rFonts w:ascii="宋体" w:hAnsi="宋体"/>
        </w:rPr>
        <w:t>.</w:t>
      </w:r>
      <w:r>
        <w:t>2</w:t>
      </w:r>
      <w:r>
        <w:rPr>
          <w:rFonts w:ascii="宋体" w:hAnsi="宋体"/>
        </w:rPr>
        <w:t>.</w:t>
      </w:r>
      <w:r>
        <w:t>1</w:t>
      </w:r>
      <w:r>
        <w:rPr>
          <w:rFonts w:ascii="宋体" w:hAnsi="宋体"/>
        </w:rPr>
        <w:t>项规定的响应文件递交截止时间前供应商若放弃参与采购活动的，可通过“招采平台”自行撤回已上传的响应文件。</w:t>
      </w:r>
    </w:p>
    <w:bookmarkEnd w:id="185"/>
    <w:p w14:paraId="3C401A9E">
      <w:pPr>
        <w:keepNext/>
        <w:keepLines/>
        <w:widowControl/>
        <w:spacing w:before="260" w:after="260"/>
        <w:outlineLvl w:val="1"/>
        <w:rPr>
          <w:rFonts w:eastAsia="黑体"/>
          <w:b/>
          <w:sz w:val="28"/>
          <w:szCs w:val="18"/>
        </w:rPr>
      </w:pPr>
      <w:bookmarkStart w:id="186" w:name="_Toc149140217"/>
      <w:r>
        <w:rPr>
          <w:rFonts w:eastAsia="黑体"/>
          <w:b/>
          <w:sz w:val="28"/>
          <w:szCs w:val="18"/>
        </w:rPr>
        <w:t>5. 开启响应文件</w:t>
      </w:r>
      <w:bookmarkEnd w:id="186"/>
    </w:p>
    <w:p w14:paraId="35CCCBED">
      <w:pPr>
        <w:widowControl/>
        <w:spacing w:before="100" w:beforeAutospacing="1" w:after="100" w:afterAutospacing="1" w:line="400" w:lineRule="exact"/>
        <w:ind w:left="2" w:leftChars="1"/>
        <w:jc w:val="left"/>
        <w:outlineLvl w:val="2"/>
        <w:rPr>
          <w:rFonts w:eastAsia="黑体"/>
          <w:sz w:val="24"/>
        </w:rPr>
      </w:pPr>
      <w:bookmarkStart w:id="187" w:name="_Toc13271"/>
      <w:bookmarkStart w:id="188" w:name="_Toc550"/>
      <w:bookmarkStart w:id="189" w:name="_Toc22015"/>
      <w:bookmarkStart w:id="190" w:name="_Toc2284"/>
      <w:bookmarkStart w:id="191" w:name="_Toc3791"/>
      <w:bookmarkStart w:id="192" w:name="_Toc27419"/>
      <w:r>
        <w:rPr>
          <w:rFonts w:eastAsia="黑体"/>
          <w:sz w:val="24"/>
        </w:rPr>
        <w:fldChar w:fldCharType="begin"/>
      </w:r>
      <w:r>
        <w:rPr>
          <w:rFonts w:eastAsia="黑体"/>
          <w:sz w:val="24"/>
        </w:rPr>
        <w:instrText xml:space="preserve"> HYPERLINK \l "_Toc179632578" </w:instrText>
      </w:r>
      <w:r>
        <w:rPr>
          <w:rFonts w:eastAsia="黑体"/>
          <w:sz w:val="24"/>
        </w:rPr>
        <w:fldChar w:fldCharType="separate"/>
      </w:r>
      <w:bookmarkStart w:id="193" w:name="_Toc143102162"/>
      <w:bookmarkStart w:id="194" w:name="_Toc118805880"/>
      <w:bookmarkStart w:id="195" w:name="_Toc118805126"/>
      <w:bookmarkStart w:id="196" w:name="_Toc118805503"/>
      <w:bookmarkStart w:id="197" w:name="_Toc118806251"/>
      <w:bookmarkStart w:id="198" w:name="_Toc149140218"/>
      <w:bookmarkStart w:id="199" w:name="_Toc118806990"/>
      <w:r>
        <w:rPr>
          <w:rFonts w:eastAsia="黑体"/>
          <w:sz w:val="24"/>
        </w:rPr>
        <w:t>5.1 开启响应文件的时间和地点</w:t>
      </w:r>
      <w:bookmarkEnd w:id="193"/>
      <w:bookmarkEnd w:id="194"/>
      <w:bookmarkEnd w:id="195"/>
      <w:bookmarkEnd w:id="196"/>
      <w:bookmarkEnd w:id="197"/>
      <w:bookmarkEnd w:id="198"/>
      <w:bookmarkEnd w:id="199"/>
      <w:r>
        <w:rPr>
          <w:rFonts w:eastAsia="黑体"/>
          <w:sz w:val="24"/>
        </w:rPr>
        <w:fldChar w:fldCharType="end"/>
      </w:r>
      <w:bookmarkEnd w:id="187"/>
      <w:bookmarkEnd w:id="188"/>
      <w:bookmarkEnd w:id="189"/>
      <w:bookmarkEnd w:id="190"/>
      <w:bookmarkEnd w:id="191"/>
      <w:bookmarkEnd w:id="192"/>
    </w:p>
    <w:p w14:paraId="5BEF3002">
      <w:pPr>
        <w:spacing w:line="400" w:lineRule="exact"/>
        <w:ind w:firstLine="420" w:firstLineChars="200"/>
        <w:rPr>
          <w:rFonts w:ascii="宋体" w:hAnsi="宋体"/>
        </w:rPr>
      </w:pPr>
      <w:bookmarkStart w:id="200" w:name="_Hlk137488994"/>
      <w:r>
        <w:rPr>
          <w:rFonts w:ascii="宋体" w:hAnsi="宋体"/>
        </w:rPr>
        <w:t>采购人在本章第</w:t>
      </w:r>
      <w:r>
        <w:t>4</w:t>
      </w:r>
      <w:r>
        <w:rPr>
          <w:rFonts w:ascii="宋体" w:hAnsi="宋体"/>
        </w:rPr>
        <w:t>.</w:t>
      </w:r>
      <w:r>
        <w:t>2</w:t>
      </w:r>
      <w:r>
        <w:rPr>
          <w:rFonts w:ascii="宋体" w:hAnsi="宋体"/>
        </w:rPr>
        <w:t>.</w:t>
      </w:r>
      <w:r>
        <w:t>1</w:t>
      </w:r>
      <w:r>
        <w:rPr>
          <w:rFonts w:ascii="宋体" w:hAnsi="宋体"/>
        </w:rPr>
        <w:t>项规定的响应文件递交截止时间在河北交投招标与采购服务平台开启响应文件，供应商应派代表登录“招采平台-开标大厅”远程在线参加开启会议。</w:t>
      </w:r>
    </w:p>
    <w:bookmarkEnd w:id="200"/>
    <w:p w14:paraId="5429CC40">
      <w:pPr>
        <w:widowControl/>
        <w:spacing w:before="100" w:beforeAutospacing="1" w:after="100" w:afterAutospacing="1" w:line="400" w:lineRule="exact"/>
        <w:ind w:left="2" w:leftChars="1"/>
        <w:jc w:val="left"/>
        <w:outlineLvl w:val="2"/>
        <w:rPr>
          <w:rFonts w:eastAsia="黑体"/>
          <w:sz w:val="24"/>
        </w:rPr>
      </w:pPr>
      <w:bookmarkStart w:id="201" w:name="_Toc26119"/>
      <w:bookmarkStart w:id="202" w:name="_Toc25994"/>
      <w:bookmarkStart w:id="203" w:name="_Toc13871"/>
      <w:bookmarkStart w:id="204" w:name="_Toc32445"/>
      <w:bookmarkStart w:id="205" w:name="_Toc28588"/>
      <w:bookmarkStart w:id="206" w:name="_Toc27728"/>
      <w:r>
        <w:rPr>
          <w:rFonts w:eastAsia="黑体"/>
          <w:sz w:val="24"/>
        </w:rPr>
        <w:fldChar w:fldCharType="begin"/>
      </w:r>
      <w:r>
        <w:rPr>
          <w:rFonts w:eastAsia="黑体"/>
          <w:sz w:val="24"/>
        </w:rPr>
        <w:instrText xml:space="preserve"> HYPERLINK \l "_Toc179632579" </w:instrText>
      </w:r>
      <w:r>
        <w:rPr>
          <w:rFonts w:eastAsia="黑体"/>
          <w:sz w:val="24"/>
        </w:rPr>
        <w:fldChar w:fldCharType="separate"/>
      </w:r>
      <w:bookmarkStart w:id="207" w:name="_Toc118805881"/>
      <w:bookmarkStart w:id="208" w:name="_Toc118805127"/>
      <w:bookmarkStart w:id="209" w:name="_Toc118806991"/>
      <w:bookmarkStart w:id="210" w:name="_Toc118805504"/>
      <w:bookmarkStart w:id="211" w:name="_Toc143102163"/>
      <w:bookmarkStart w:id="212" w:name="_Toc149140219"/>
      <w:bookmarkStart w:id="213" w:name="_Toc118806252"/>
      <w:r>
        <w:rPr>
          <w:rFonts w:eastAsia="黑体"/>
          <w:sz w:val="24"/>
        </w:rPr>
        <w:t>5.2 开启程序</w:t>
      </w:r>
      <w:bookmarkEnd w:id="207"/>
      <w:bookmarkEnd w:id="208"/>
      <w:bookmarkEnd w:id="209"/>
      <w:bookmarkEnd w:id="210"/>
      <w:bookmarkEnd w:id="211"/>
      <w:bookmarkEnd w:id="212"/>
      <w:bookmarkEnd w:id="213"/>
      <w:r>
        <w:rPr>
          <w:rFonts w:eastAsia="黑体"/>
          <w:sz w:val="24"/>
        </w:rPr>
        <w:fldChar w:fldCharType="end"/>
      </w:r>
      <w:bookmarkEnd w:id="201"/>
      <w:bookmarkEnd w:id="202"/>
      <w:bookmarkEnd w:id="203"/>
      <w:bookmarkEnd w:id="204"/>
      <w:bookmarkEnd w:id="205"/>
      <w:bookmarkEnd w:id="206"/>
    </w:p>
    <w:p w14:paraId="2FFE19D9">
      <w:pPr>
        <w:spacing w:line="400" w:lineRule="exact"/>
        <w:ind w:firstLine="420" w:firstLineChars="200"/>
        <w:rPr>
          <w:rFonts w:ascii="宋体" w:hAnsi="宋体"/>
        </w:rPr>
      </w:pPr>
      <w:bookmarkStart w:id="214" w:name="_Hlk138878404"/>
      <w:bookmarkStart w:id="215" w:name="_Toc118806253"/>
      <w:bookmarkStart w:id="216" w:name="_Toc118805505"/>
      <w:bookmarkStart w:id="217" w:name="_Toc118805128"/>
      <w:bookmarkStart w:id="218" w:name="_Toc118805882"/>
      <w:bookmarkStart w:id="219" w:name="_Toc118806992"/>
      <w:r>
        <w:rPr>
          <w:rFonts w:ascii="宋体" w:hAnsi="宋体"/>
        </w:rPr>
        <w:t>主持人按下列程序公开开启响应文件：</w:t>
      </w:r>
      <w:r>
        <w:rPr>
          <w:rFonts w:ascii="宋体" w:hAnsi="宋体"/>
        </w:rPr>
        <w:tab/>
      </w:r>
    </w:p>
    <w:p w14:paraId="603EE32D">
      <w:pPr>
        <w:spacing w:line="400" w:lineRule="exact"/>
        <w:ind w:firstLine="420" w:firstLineChars="200"/>
        <w:rPr>
          <w:rFonts w:ascii="宋体" w:hAnsi="宋体"/>
        </w:rPr>
      </w:pPr>
      <w:r>
        <w:rPr>
          <w:rFonts w:ascii="宋体" w:hAnsi="宋体"/>
        </w:rPr>
        <w:t>（</w:t>
      </w:r>
      <w:r>
        <w:t>1</w:t>
      </w:r>
      <w:r>
        <w:rPr>
          <w:rFonts w:ascii="宋体" w:hAnsi="宋体"/>
        </w:rPr>
        <w:t>）供应商通过“招采平台-开标大厅”参与开启会议；</w:t>
      </w:r>
    </w:p>
    <w:p w14:paraId="3ED5FF0F">
      <w:pPr>
        <w:spacing w:line="400" w:lineRule="exact"/>
        <w:ind w:firstLine="420" w:firstLineChars="200"/>
        <w:rPr>
          <w:rFonts w:ascii="宋体" w:hAnsi="宋体"/>
        </w:rPr>
      </w:pPr>
      <w:r>
        <w:rPr>
          <w:rFonts w:ascii="宋体" w:hAnsi="宋体"/>
        </w:rPr>
        <w:t>（</w:t>
      </w:r>
      <w:r>
        <w:t>2</w:t>
      </w:r>
      <w:r>
        <w:rPr>
          <w:rFonts w:ascii="宋体" w:hAnsi="宋体"/>
        </w:rPr>
        <w:t>）供应商通过河北交投</w:t>
      </w:r>
      <w:r>
        <w:t>CA</w:t>
      </w:r>
      <w:r>
        <w:rPr>
          <w:rFonts w:ascii="宋体" w:hAnsi="宋体"/>
        </w:rPr>
        <w:t>数字证书对已上传的电子响应文件进行解密，公布供应商名称、项目名称、响应报价（如有）及供应商须知前附表规定的其他内容；</w:t>
      </w:r>
    </w:p>
    <w:p w14:paraId="1BA518C1">
      <w:pPr>
        <w:spacing w:line="400" w:lineRule="exact"/>
        <w:ind w:firstLine="420" w:firstLineChars="200"/>
        <w:rPr>
          <w:rFonts w:ascii="宋体" w:hAnsi="宋体"/>
        </w:rPr>
      </w:pPr>
      <w:r>
        <w:rPr>
          <w:rFonts w:ascii="宋体" w:hAnsi="宋体"/>
        </w:rPr>
        <w:t>（</w:t>
      </w:r>
      <w:r>
        <w:t>3</w:t>
      </w:r>
      <w:r>
        <w:rPr>
          <w:rFonts w:ascii="宋体" w:hAnsi="宋体"/>
        </w:rPr>
        <w:t>）供应商对开启过程有异议的，按照采购文件规定在“河北交投招标与采购服务平台”提出；</w:t>
      </w:r>
    </w:p>
    <w:p w14:paraId="60F4DD60">
      <w:pPr>
        <w:spacing w:line="400" w:lineRule="exact"/>
        <w:ind w:firstLine="420" w:firstLineChars="200"/>
        <w:rPr>
          <w:rFonts w:ascii="宋体" w:hAnsi="宋体"/>
        </w:rPr>
      </w:pPr>
      <w:r>
        <w:rPr>
          <w:rFonts w:ascii="宋体" w:hAnsi="宋体"/>
        </w:rPr>
        <w:t>（</w:t>
      </w:r>
      <w:r>
        <w:t>4</w:t>
      </w:r>
      <w:r>
        <w:rPr>
          <w:rFonts w:ascii="宋体" w:hAnsi="宋体"/>
        </w:rPr>
        <w:t>）开启会议结束。</w:t>
      </w:r>
    </w:p>
    <w:bookmarkEnd w:id="214"/>
    <w:p w14:paraId="1AFDDF3C">
      <w:pPr>
        <w:widowControl/>
        <w:spacing w:before="100" w:beforeAutospacing="1" w:after="100" w:afterAutospacing="1" w:line="400" w:lineRule="exact"/>
        <w:ind w:left="2" w:leftChars="1"/>
        <w:jc w:val="left"/>
        <w:outlineLvl w:val="2"/>
        <w:rPr>
          <w:rFonts w:eastAsia="黑体"/>
          <w:sz w:val="24"/>
        </w:rPr>
      </w:pPr>
      <w:bookmarkStart w:id="220" w:name="_Toc143102164"/>
      <w:bookmarkStart w:id="221" w:name="_Toc149140220"/>
      <w:bookmarkStart w:id="222" w:name="_Hlk138878410"/>
      <w:r>
        <w:rPr>
          <w:rFonts w:eastAsia="黑体"/>
          <w:sz w:val="24"/>
        </w:rPr>
        <w:t>5.3 开启补救措施</w:t>
      </w:r>
      <w:bookmarkEnd w:id="215"/>
      <w:bookmarkEnd w:id="216"/>
      <w:bookmarkEnd w:id="217"/>
      <w:bookmarkEnd w:id="218"/>
      <w:bookmarkEnd w:id="219"/>
      <w:bookmarkEnd w:id="220"/>
      <w:bookmarkEnd w:id="221"/>
    </w:p>
    <w:bookmarkEnd w:id="222"/>
    <w:p w14:paraId="7928E7C5">
      <w:pPr>
        <w:spacing w:line="400" w:lineRule="exact"/>
        <w:ind w:firstLine="420" w:firstLineChars="200"/>
        <w:rPr>
          <w:rFonts w:ascii="宋体" w:hAnsi="宋体"/>
        </w:rPr>
      </w:pPr>
      <w:bookmarkStart w:id="223" w:name="_Hlk138878415"/>
      <w:bookmarkStart w:id="224" w:name="_Toc118806254"/>
      <w:bookmarkStart w:id="225" w:name="_Toc118806993"/>
      <w:bookmarkStart w:id="226" w:name="_Toc118805883"/>
      <w:bookmarkStart w:id="227" w:name="_Toc118805129"/>
      <w:bookmarkStart w:id="228" w:name="_Toc118805506"/>
      <w:r>
        <w:rPr>
          <w:rFonts w:ascii="宋体" w:hAnsi="宋体"/>
        </w:rPr>
        <w:t>如开启解密过程中，供应商因河北交投</w:t>
      </w:r>
      <w:r>
        <w:t>CA</w:t>
      </w:r>
      <w:r>
        <w:rPr>
          <w:rFonts w:ascii="宋体" w:hAnsi="宋体"/>
        </w:rPr>
        <w:t>数字证书出现故障，可在线向开启管理员提出开启补救措施的申请，开启管理员同意后，可开启“密码解密”功能，供应商可输入相应文件编制时设置的保障密码对响应文件进行解密。</w:t>
      </w:r>
    </w:p>
    <w:bookmarkEnd w:id="223"/>
    <w:p w14:paraId="38513F0A">
      <w:pPr>
        <w:widowControl/>
        <w:spacing w:before="100" w:beforeAutospacing="1" w:after="100" w:afterAutospacing="1" w:line="400" w:lineRule="exact"/>
        <w:ind w:left="2" w:leftChars="1"/>
        <w:jc w:val="left"/>
        <w:outlineLvl w:val="2"/>
        <w:rPr>
          <w:rFonts w:eastAsia="黑体"/>
          <w:sz w:val="24"/>
        </w:rPr>
      </w:pPr>
      <w:bookmarkStart w:id="229" w:name="_Toc143102165"/>
      <w:bookmarkStart w:id="230" w:name="_Toc149140221"/>
      <w:bookmarkStart w:id="231" w:name="_Hlk138878419"/>
      <w:r>
        <w:rPr>
          <w:rFonts w:eastAsia="黑体"/>
          <w:sz w:val="24"/>
        </w:rPr>
        <w:t>5.4递交响应文件的供应商不足的处理</w:t>
      </w:r>
      <w:bookmarkEnd w:id="224"/>
      <w:bookmarkEnd w:id="225"/>
      <w:bookmarkEnd w:id="226"/>
      <w:bookmarkEnd w:id="227"/>
      <w:bookmarkEnd w:id="228"/>
      <w:bookmarkEnd w:id="229"/>
      <w:bookmarkEnd w:id="230"/>
    </w:p>
    <w:bookmarkEnd w:id="231"/>
    <w:p w14:paraId="220349E0">
      <w:pPr>
        <w:spacing w:line="400" w:lineRule="exact"/>
        <w:ind w:firstLine="420" w:firstLineChars="200"/>
        <w:rPr>
          <w:rFonts w:ascii="宋体" w:hAnsi="宋体"/>
        </w:rPr>
      </w:pPr>
      <w:bookmarkStart w:id="232" w:name="_Hlk137489202"/>
      <w:r>
        <w:rPr>
          <w:rFonts w:ascii="宋体" w:hAnsi="宋体"/>
        </w:rPr>
        <w:t>采购项目选择一家入围供应商时，递交响应文件的供应商数量不足三家的，或采购项目选择多家入围供应商时，递交响应文件的供应商数量少于供应商须知前附表规定数量的，</w:t>
      </w:r>
      <w:r>
        <w:rPr>
          <w:rFonts w:ascii="宋体" w:hAnsi="宋体"/>
          <w:lang w:bidi="ar"/>
        </w:rPr>
        <w:t>采购人应终止并重新组织采购。</w:t>
      </w:r>
    </w:p>
    <w:bookmarkEnd w:id="232"/>
    <w:p w14:paraId="64B8A89F">
      <w:pPr>
        <w:keepNext/>
        <w:keepLines/>
        <w:widowControl/>
        <w:spacing w:before="260" w:after="260"/>
        <w:outlineLvl w:val="1"/>
        <w:rPr>
          <w:rFonts w:eastAsia="黑体"/>
          <w:b/>
          <w:sz w:val="28"/>
          <w:szCs w:val="18"/>
        </w:rPr>
      </w:pPr>
      <w:bookmarkStart w:id="233" w:name="_Toc149140222"/>
      <w:r>
        <w:rPr>
          <w:rFonts w:eastAsia="黑体"/>
          <w:b/>
          <w:sz w:val="28"/>
          <w:szCs w:val="18"/>
        </w:rPr>
        <w:t>6. 评审</w:t>
      </w:r>
      <w:bookmarkEnd w:id="233"/>
    </w:p>
    <w:p w14:paraId="713A06D7">
      <w:pPr>
        <w:widowControl/>
        <w:spacing w:before="100" w:beforeAutospacing="1" w:after="100" w:afterAutospacing="1" w:line="400" w:lineRule="exact"/>
        <w:ind w:left="2" w:leftChars="1"/>
        <w:jc w:val="left"/>
        <w:outlineLvl w:val="2"/>
        <w:rPr>
          <w:rFonts w:eastAsia="黑体"/>
          <w:sz w:val="24"/>
        </w:rPr>
      </w:pPr>
      <w:bookmarkStart w:id="234" w:name="_Toc149140223"/>
      <w:bookmarkStart w:id="235" w:name="_Toc143102167"/>
      <w:r>
        <w:rPr>
          <w:rFonts w:eastAsia="黑体"/>
          <w:sz w:val="24"/>
        </w:rPr>
        <w:t>6.1评审小组</w:t>
      </w:r>
      <w:bookmarkEnd w:id="234"/>
      <w:bookmarkEnd w:id="235"/>
    </w:p>
    <w:p w14:paraId="6A4379EB">
      <w:pPr>
        <w:spacing w:line="400" w:lineRule="exact"/>
        <w:ind w:firstLine="420" w:firstLineChars="200"/>
        <w:rPr>
          <w:rFonts w:ascii="宋体" w:hAnsi="宋体"/>
        </w:rPr>
      </w:pPr>
      <w:bookmarkStart w:id="236" w:name="_Hlk138878467"/>
      <w:r>
        <w:t>6</w:t>
      </w:r>
      <w:r>
        <w:rPr>
          <w:rFonts w:ascii="宋体" w:hAnsi="宋体"/>
        </w:rPr>
        <w:t>.</w:t>
      </w:r>
      <w:r>
        <w:t>1</w:t>
      </w:r>
      <w:r>
        <w:rPr>
          <w:rFonts w:ascii="宋体" w:hAnsi="宋体"/>
        </w:rPr>
        <w:t>.</w:t>
      </w:r>
      <w:r>
        <w:t>1</w:t>
      </w:r>
      <w:bookmarkStart w:id="237" w:name="_Hlk139441088"/>
      <w:r>
        <w:rPr>
          <w:rFonts w:ascii="宋体" w:hAnsi="宋体"/>
        </w:rPr>
        <w:t>评审由采购人组建的评审小组负责，确定方式见供应商须知前附表。</w:t>
      </w:r>
      <w:bookmarkEnd w:id="237"/>
    </w:p>
    <w:p w14:paraId="4594A71C">
      <w:pPr>
        <w:spacing w:line="400" w:lineRule="exact"/>
        <w:ind w:firstLine="420"/>
        <w:rPr>
          <w:rFonts w:ascii="宋体" w:hAnsi="宋体"/>
        </w:rPr>
      </w:pPr>
      <w:r>
        <w:t>6</w:t>
      </w:r>
      <w:r>
        <w:rPr>
          <w:rFonts w:ascii="宋体" w:hAnsi="宋体"/>
        </w:rPr>
        <w:t>.</w:t>
      </w:r>
      <w:r>
        <w:t>1</w:t>
      </w:r>
      <w:r>
        <w:rPr>
          <w:rFonts w:ascii="宋体" w:hAnsi="宋体"/>
        </w:rPr>
        <w:t>.</w:t>
      </w:r>
      <w:r>
        <w:t>2</w:t>
      </w:r>
      <w:r>
        <w:rPr>
          <w:rFonts w:ascii="宋体" w:hAnsi="宋体"/>
        </w:rPr>
        <w:t xml:space="preserve"> 评审小组成员有下列情形之一的，应当回避：</w:t>
      </w:r>
    </w:p>
    <w:p w14:paraId="7C6157CC">
      <w:pPr>
        <w:spacing w:line="400" w:lineRule="exact"/>
        <w:ind w:firstLine="420"/>
        <w:rPr>
          <w:rFonts w:ascii="宋体" w:hAnsi="宋体"/>
        </w:rPr>
      </w:pPr>
      <w:r>
        <w:rPr>
          <w:rFonts w:ascii="宋体" w:hAnsi="宋体"/>
        </w:rPr>
        <w:t>（</w:t>
      </w:r>
      <w:r>
        <w:t>1</w:t>
      </w:r>
      <w:r>
        <w:rPr>
          <w:rFonts w:ascii="宋体" w:hAnsi="宋体"/>
        </w:rPr>
        <w:t xml:space="preserve">）与供应商法定代表人、供应商主要负责人或者授权参与投标的代理人有近亲属关系的人员； </w:t>
      </w:r>
    </w:p>
    <w:p w14:paraId="50DB5EA0">
      <w:pPr>
        <w:spacing w:line="400" w:lineRule="exact"/>
        <w:ind w:firstLine="420"/>
        <w:rPr>
          <w:rFonts w:ascii="宋体" w:hAnsi="宋体"/>
        </w:rPr>
      </w:pPr>
      <w:r>
        <w:rPr>
          <w:rFonts w:ascii="宋体" w:hAnsi="宋体"/>
        </w:rPr>
        <w:t>（</w:t>
      </w:r>
      <w:r>
        <w:t>2</w:t>
      </w:r>
      <w:r>
        <w:rPr>
          <w:rFonts w:ascii="宋体" w:hAnsi="宋体"/>
        </w:rPr>
        <w:t>）与供应商有经济利益关系或其他利害关系，可能影响公正评审的；</w:t>
      </w:r>
    </w:p>
    <w:p w14:paraId="036AB954">
      <w:pPr>
        <w:spacing w:line="400" w:lineRule="exact"/>
        <w:ind w:firstLine="420"/>
        <w:rPr>
          <w:rFonts w:ascii="宋体" w:hAnsi="宋体"/>
        </w:rPr>
      </w:pPr>
      <w:r>
        <w:rPr>
          <w:rFonts w:ascii="宋体" w:hAnsi="宋体"/>
        </w:rPr>
        <w:t>（</w:t>
      </w:r>
      <w:r>
        <w:t>3</w:t>
      </w:r>
      <w:r>
        <w:rPr>
          <w:rFonts w:ascii="宋体" w:hAnsi="宋体"/>
        </w:rPr>
        <w:t>）供应商的工作人员或者退休人员。</w:t>
      </w:r>
    </w:p>
    <w:p w14:paraId="1A0B6774">
      <w:pPr>
        <w:spacing w:line="400" w:lineRule="exact"/>
        <w:ind w:firstLine="420"/>
        <w:rPr>
          <w:rFonts w:ascii="宋体" w:hAnsi="宋体"/>
        </w:rPr>
      </w:pPr>
      <w:bookmarkStart w:id="238" w:name="_Hlk148687842"/>
      <w:r>
        <w:rPr>
          <w:rFonts w:ascii="宋体" w:hAnsi="宋体"/>
        </w:rPr>
        <w:t>（</w:t>
      </w:r>
      <w:r>
        <w:t>4</w:t>
      </w:r>
      <w:r>
        <w:rPr>
          <w:rFonts w:ascii="宋体" w:hAnsi="宋体"/>
        </w:rPr>
        <w:t>）与采购人法定代表人有近亲属关系的。</w:t>
      </w:r>
    </w:p>
    <w:bookmarkEnd w:id="238"/>
    <w:p w14:paraId="629375C4">
      <w:pPr>
        <w:spacing w:line="400" w:lineRule="exact"/>
        <w:ind w:firstLine="424" w:firstLineChars="202"/>
        <w:rPr>
          <w:rFonts w:ascii="宋体" w:hAnsi="宋体"/>
        </w:rPr>
      </w:pPr>
      <w:r>
        <w:t>6</w:t>
      </w:r>
      <w:r>
        <w:rPr>
          <w:rFonts w:ascii="宋体" w:hAnsi="宋体"/>
        </w:rPr>
        <w:t>.</w:t>
      </w:r>
      <w:r>
        <w:t>1</w:t>
      </w:r>
      <w:r>
        <w:rPr>
          <w:rFonts w:ascii="宋体" w:hAnsi="宋体"/>
        </w:rPr>
        <w:t>.</w:t>
      </w:r>
      <w:r>
        <w:t>3</w:t>
      </w:r>
      <w:r>
        <w:rPr>
          <w:rFonts w:ascii="宋体" w:hAnsi="宋体"/>
        </w:rPr>
        <w:t xml:space="preserve"> 评审小组组建后，评审小组成员共同推选或由采购人指定评审小组组长，评审小组组长负责组织评审工作。</w:t>
      </w:r>
    </w:p>
    <w:p w14:paraId="0CB38FBF">
      <w:pPr>
        <w:spacing w:line="400" w:lineRule="exact"/>
        <w:ind w:firstLine="420" w:firstLineChars="200"/>
        <w:rPr>
          <w:rFonts w:ascii="宋体" w:hAnsi="宋体"/>
        </w:rPr>
      </w:pPr>
      <w:r>
        <w:t>6</w:t>
      </w:r>
      <w:r>
        <w:rPr>
          <w:rFonts w:ascii="宋体" w:hAnsi="宋体"/>
        </w:rPr>
        <w:t>.</w:t>
      </w:r>
      <w:r>
        <w:t>1</w:t>
      </w:r>
      <w:r>
        <w:rPr>
          <w:rFonts w:ascii="宋体" w:hAnsi="宋体"/>
        </w:rPr>
        <w:t>.</w:t>
      </w:r>
      <w:r>
        <w:t>4</w:t>
      </w:r>
      <w:r>
        <w:rPr>
          <w:rFonts w:ascii="宋体" w:hAnsi="宋体"/>
        </w:rPr>
        <w:t xml:space="preserve"> 在评审过程中，评审小组成员对需要共同认定的事项存在争议的，将按照少数服从多数的原则作出结论。持不同意见的评审小组成员应当在评审报告上签署不同意见及理由，否则视为同意评审报告。</w:t>
      </w:r>
    </w:p>
    <w:bookmarkEnd w:id="236"/>
    <w:p w14:paraId="741B3F23">
      <w:pPr>
        <w:widowControl/>
        <w:spacing w:before="100" w:beforeAutospacing="1" w:after="100" w:afterAutospacing="1" w:line="400" w:lineRule="exact"/>
        <w:ind w:left="2" w:leftChars="1"/>
        <w:jc w:val="left"/>
        <w:outlineLvl w:val="2"/>
        <w:rPr>
          <w:rFonts w:eastAsia="黑体"/>
          <w:sz w:val="24"/>
        </w:rPr>
      </w:pPr>
      <w:bookmarkStart w:id="239" w:name="_Toc491883133"/>
      <w:bookmarkStart w:id="240" w:name="_Toc138604655"/>
      <w:bookmarkStart w:id="241" w:name="_Toc143102168"/>
      <w:bookmarkStart w:id="242" w:name="_Toc7141"/>
      <w:bookmarkStart w:id="243" w:name="_Toc118806257"/>
      <w:bookmarkStart w:id="244" w:name="_Toc118805509"/>
      <w:bookmarkStart w:id="245" w:name="_Toc118805886"/>
      <w:bookmarkStart w:id="246" w:name="_Toc3747"/>
      <w:bookmarkStart w:id="247" w:name="_Toc22679"/>
      <w:bookmarkStart w:id="248" w:name="_Toc7379"/>
      <w:bookmarkStart w:id="249" w:name="_Toc149140224"/>
      <w:bookmarkStart w:id="250" w:name="_Toc2185"/>
      <w:bookmarkStart w:id="251" w:name="_Toc118805132"/>
      <w:bookmarkStart w:id="252" w:name="_Toc23580"/>
      <w:r>
        <w:rPr>
          <w:rFonts w:eastAsia="黑体"/>
          <w:sz w:val="24"/>
        </w:rPr>
        <w:t>6.2 评</w:t>
      </w:r>
      <w:bookmarkEnd w:id="239"/>
      <w:r>
        <w:rPr>
          <w:rFonts w:eastAsia="黑体"/>
          <w:sz w:val="24"/>
        </w:rPr>
        <w:t>审</w:t>
      </w:r>
      <w:bookmarkEnd w:id="240"/>
      <w:bookmarkEnd w:id="241"/>
      <w:bookmarkEnd w:id="242"/>
      <w:bookmarkEnd w:id="243"/>
      <w:bookmarkEnd w:id="244"/>
      <w:bookmarkEnd w:id="245"/>
      <w:bookmarkEnd w:id="246"/>
      <w:bookmarkEnd w:id="247"/>
      <w:bookmarkEnd w:id="248"/>
      <w:bookmarkEnd w:id="249"/>
      <w:bookmarkEnd w:id="250"/>
      <w:bookmarkEnd w:id="251"/>
      <w:bookmarkEnd w:id="252"/>
    </w:p>
    <w:p w14:paraId="011C4B3B">
      <w:pPr>
        <w:spacing w:line="400" w:lineRule="exact"/>
        <w:ind w:firstLine="420" w:firstLineChars="200"/>
        <w:rPr>
          <w:rFonts w:ascii="宋体" w:hAnsi="宋体"/>
        </w:rPr>
      </w:pPr>
      <w:bookmarkStart w:id="253" w:name="_Hlk138878487"/>
      <w:r>
        <w:t>6</w:t>
      </w:r>
      <w:r>
        <w:rPr>
          <w:rFonts w:ascii="宋体" w:hAnsi="宋体"/>
        </w:rPr>
        <w:t>.</w:t>
      </w:r>
      <w:r>
        <w:t>2</w:t>
      </w:r>
      <w:r>
        <w:rPr>
          <w:rFonts w:ascii="宋体" w:hAnsi="宋体"/>
        </w:rPr>
        <w:t>.</w:t>
      </w:r>
      <w:r>
        <w:t>1</w:t>
      </w:r>
      <w:r>
        <w:rPr>
          <w:rFonts w:ascii="宋体" w:hAnsi="宋体"/>
        </w:rPr>
        <w:t>评审小组按照第三章“评审办法”规定的评审标准和程序对响应文件进行评审和比较。</w:t>
      </w:r>
    </w:p>
    <w:p w14:paraId="761D6854">
      <w:pPr>
        <w:spacing w:line="400" w:lineRule="exact"/>
        <w:ind w:firstLine="420" w:firstLineChars="200"/>
        <w:rPr>
          <w:rFonts w:ascii="宋体" w:hAnsi="宋体"/>
          <w:szCs w:val="21"/>
        </w:rPr>
      </w:pPr>
      <w:r>
        <w:t>6</w:t>
      </w:r>
      <w:r>
        <w:rPr>
          <w:rFonts w:ascii="宋体" w:hAnsi="宋体"/>
        </w:rPr>
        <w:t>.</w:t>
      </w:r>
      <w:r>
        <w:t>2</w:t>
      </w:r>
      <w:r>
        <w:rPr>
          <w:rFonts w:ascii="宋体" w:hAnsi="宋体"/>
        </w:rPr>
        <w:t>.</w:t>
      </w:r>
      <w:r>
        <w:t>2</w:t>
      </w:r>
      <w:r>
        <w:rPr>
          <w:rFonts w:ascii="宋体" w:hAnsi="宋体"/>
        </w:rPr>
        <w:t>评审完成后，评审小组应当向采购人提交评审报告和候选成交供应商名单。评审小组推荐候选成交供应商的数量要求见</w:t>
      </w:r>
      <w:r>
        <w:rPr>
          <w:rFonts w:ascii="宋体" w:hAnsi="宋体"/>
          <w:szCs w:val="21"/>
        </w:rPr>
        <w:t>供应商须知前附表。</w:t>
      </w:r>
    </w:p>
    <w:bookmarkEnd w:id="253"/>
    <w:p w14:paraId="4DC75B55">
      <w:pPr>
        <w:keepNext/>
        <w:keepLines/>
        <w:widowControl/>
        <w:spacing w:before="260" w:after="260"/>
        <w:outlineLvl w:val="1"/>
        <w:rPr>
          <w:rFonts w:eastAsia="黑体"/>
          <w:b/>
          <w:sz w:val="28"/>
          <w:szCs w:val="18"/>
        </w:rPr>
      </w:pPr>
      <w:bookmarkStart w:id="254" w:name="_Toc149140225"/>
      <w:r>
        <w:rPr>
          <w:rFonts w:eastAsia="黑体"/>
          <w:b/>
          <w:sz w:val="28"/>
          <w:szCs w:val="18"/>
        </w:rPr>
        <w:t>7. 框架协议的订立</w:t>
      </w:r>
      <w:bookmarkEnd w:id="254"/>
    </w:p>
    <w:p w14:paraId="34A0AD4D">
      <w:pPr>
        <w:widowControl/>
        <w:spacing w:before="100" w:beforeAutospacing="1" w:after="100" w:afterAutospacing="1" w:line="400" w:lineRule="exact"/>
        <w:ind w:left="2" w:leftChars="1"/>
        <w:jc w:val="left"/>
        <w:outlineLvl w:val="2"/>
        <w:rPr>
          <w:rFonts w:eastAsia="黑体"/>
          <w:sz w:val="24"/>
        </w:rPr>
      </w:pPr>
      <w:bookmarkStart w:id="255" w:name="_Toc143102170"/>
      <w:bookmarkStart w:id="256" w:name="_Toc149140226"/>
      <w:r>
        <w:rPr>
          <w:rFonts w:eastAsia="黑体"/>
          <w:sz w:val="24"/>
        </w:rPr>
        <w:t>7.1 候选入围供应商履约能力核查</w:t>
      </w:r>
      <w:bookmarkEnd w:id="255"/>
      <w:bookmarkEnd w:id="256"/>
    </w:p>
    <w:p w14:paraId="4EAD9E6C">
      <w:pPr>
        <w:spacing w:line="400" w:lineRule="exact"/>
        <w:ind w:firstLine="420" w:firstLineChars="200"/>
        <w:rPr>
          <w:rFonts w:ascii="宋体" w:hAnsi="宋体"/>
        </w:rPr>
      </w:pPr>
      <w:r>
        <w:rPr>
          <w:rFonts w:ascii="宋体" w:hAnsi="宋体"/>
        </w:rPr>
        <w:t>采购人可对候选入围供应商的相关证明材料原件进行核验或组织现场考察，以确认候选成交供应商的生产经营、财务等实际状况与响应文件是否一致及是否存在其他可能影响供应商履约能力的情况。核查结果将作为采购人选择确定候选成交供应商的签订框架协议的依据之一。</w:t>
      </w:r>
    </w:p>
    <w:p w14:paraId="0E0E8A34">
      <w:pPr>
        <w:widowControl/>
        <w:spacing w:before="100" w:beforeAutospacing="1" w:after="100" w:afterAutospacing="1" w:line="400" w:lineRule="exact"/>
        <w:ind w:left="2" w:leftChars="1"/>
        <w:jc w:val="left"/>
        <w:outlineLvl w:val="2"/>
        <w:rPr>
          <w:rFonts w:eastAsia="黑体"/>
          <w:sz w:val="24"/>
        </w:rPr>
      </w:pPr>
      <w:bookmarkStart w:id="257" w:name="_Toc143102171"/>
      <w:bookmarkStart w:id="258" w:name="_Toc149140227"/>
      <w:r>
        <w:rPr>
          <w:rFonts w:eastAsia="黑体"/>
          <w:sz w:val="24"/>
        </w:rPr>
        <w:t>7.2 候选入围供应商公示</w:t>
      </w:r>
      <w:bookmarkEnd w:id="257"/>
      <w:bookmarkEnd w:id="258"/>
    </w:p>
    <w:p w14:paraId="1A391B7C">
      <w:pPr>
        <w:spacing w:line="400" w:lineRule="exact"/>
        <w:ind w:firstLine="420" w:firstLineChars="200"/>
        <w:rPr>
          <w:rFonts w:ascii="宋体" w:hAnsi="宋体"/>
        </w:rPr>
      </w:pPr>
      <w:bookmarkStart w:id="259" w:name="_Hlk137489742"/>
      <w:r>
        <w:rPr>
          <w:rFonts w:ascii="宋体" w:hAnsi="宋体"/>
        </w:rPr>
        <w:t>候选入围供应商核查后，采购人将在“河北交投招标与采购服务平台”公示候选入围供应商，</w:t>
      </w:r>
      <w:r>
        <w:rPr>
          <w:rFonts w:hint="eastAsia" w:ascii="宋体" w:hAnsi="宋体"/>
        </w:rPr>
        <w:t>具体公示期限在供应商须知前附表约定。</w:t>
      </w:r>
      <w:r>
        <w:rPr>
          <w:rFonts w:ascii="宋体" w:hAnsi="宋体"/>
        </w:rPr>
        <w:t>公示信息包括候选入围供应商名称等内容。</w:t>
      </w:r>
    </w:p>
    <w:p w14:paraId="1E7622FF">
      <w:pPr>
        <w:widowControl/>
        <w:spacing w:before="100" w:beforeAutospacing="1" w:after="100" w:afterAutospacing="1" w:line="400" w:lineRule="exact"/>
        <w:ind w:left="2" w:leftChars="1"/>
        <w:jc w:val="left"/>
        <w:outlineLvl w:val="2"/>
        <w:rPr>
          <w:rFonts w:eastAsia="黑体"/>
          <w:sz w:val="24"/>
        </w:rPr>
      </w:pPr>
      <w:bookmarkStart w:id="260" w:name="_Toc149140228"/>
      <w:bookmarkStart w:id="261" w:name="_Hlk149123719"/>
      <w:r>
        <w:rPr>
          <w:rFonts w:eastAsia="黑体"/>
          <w:sz w:val="24"/>
        </w:rPr>
        <w:t>7.3 定标</w:t>
      </w:r>
      <w:bookmarkEnd w:id="260"/>
    </w:p>
    <w:bookmarkEnd w:id="261"/>
    <w:p w14:paraId="439F2EDC">
      <w:pPr>
        <w:spacing w:line="400" w:lineRule="exact"/>
        <w:ind w:firstLine="420"/>
        <w:rPr>
          <w:rFonts w:ascii="宋体" w:hAnsi="宋体"/>
          <w:szCs w:val="21"/>
        </w:rPr>
      </w:pPr>
      <w:bookmarkStart w:id="262" w:name="_Hlk149123726"/>
      <w:r>
        <w:rPr>
          <w:rFonts w:ascii="宋体" w:hAnsi="宋体"/>
          <w:szCs w:val="21"/>
        </w:rPr>
        <w:t>按照供应商须知前附表的规定，采购人或采购人授权的评审小组确定成交供应商。采购人应按供应商须知前附表规定的定标原则确定成交供应商。</w:t>
      </w:r>
    </w:p>
    <w:bookmarkEnd w:id="259"/>
    <w:bookmarkEnd w:id="262"/>
    <w:p w14:paraId="14D2914E">
      <w:pPr>
        <w:widowControl/>
        <w:spacing w:before="100" w:beforeAutospacing="1" w:after="100" w:afterAutospacing="1" w:line="400" w:lineRule="exact"/>
        <w:ind w:left="2" w:leftChars="1"/>
        <w:jc w:val="left"/>
        <w:outlineLvl w:val="2"/>
        <w:rPr>
          <w:rFonts w:eastAsia="黑体"/>
          <w:sz w:val="24"/>
        </w:rPr>
      </w:pPr>
      <w:bookmarkStart w:id="263" w:name="_Toc143102172"/>
      <w:bookmarkStart w:id="264" w:name="_Toc149140229"/>
      <w:r>
        <w:rPr>
          <w:rFonts w:eastAsia="黑体"/>
          <w:sz w:val="24"/>
        </w:rPr>
        <w:t>7.4 确定入围供应商</w:t>
      </w:r>
      <w:bookmarkEnd w:id="263"/>
      <w:bookmarkEnd w:id="264"/>
    </w:p>
    <w:p w14:paraId="01335016">
      <w:pPr>
        <w:spacing w:line="400" w:lineRule="exact"/>
        <w:ind w:firstLine="420" w:firstLineChars="200"/>
        <w:rPr>
          <w:rFonts w:ascii="宋体" w:hAnsi="宋体"/>
        </w:rPr>
      </w:pPr>
      <w:bookmarkStart w:id="265" w:name="_Hlk137489759"/>
      <w:r>
        <w:rPr>
          <w:rFonts w:ascii="宋体" w:hAnsi="宋体"/>
        </w:rPr>
        <w:t>采购人将根据评审报告及核查结果（如有），对候选入围供应商综合评估后确定入围供应商。</w:t>
      </w:r>
    </w:p>
    <w:p w14:paraId="5FB8D44C">
      <w:pPr>
        <w:widowControl/>
        <w:spacing w:before="100" w:beforeAutospacing="1" w:after="100" w:afterAutospacing="1" w:line="400" w:lineRule="exact"/>
        <w:jc w:val="left"/>
        <w:outlineLvl w:val="2"/>
        <w:rPr>
          <w:rFonts w:ascii="宋体" w:hAnsi="宋体"/>
          <w:sz w:val="24"/>
        </w:rPr>
      </w:pPr>
      <w:bookmarkStart w:id="266" w:name="_Toc149140230"/>
      <w:r>
        <w:rPr>
          <w:sz w:val="24"/>
        </w:rPr>
        <w:t>7</w:t>
      </w:r>
      <w:r>
        <w:rPr>
          <w:rFonts w:ascii="宋体" w:hAnsi="宋体"/>
          <w:sz w:val="24"/>
        </w:rPr>
        <w:t>.</w:t>
      </w:r>
      <w:r>
        <w:rPr>
          <w:sz w:val="24"/>
        </w:rPr>
        <w:t>5</w:t>
      </w:r>
      <w:r>
        <w:rPr>
          <w:rFonts w:ascii="宋体" w:hAnsi="宋体"/>
          <w:sz w:val="24"/>
        </w:rPr>
        <w:t xml:space="preserve"> 发布入围供应商公告</w:t>
      </w:r>
      <w:bookmarkEnd w:id="266"/>
    </w:p>
    <w:p w14:paraId="3D886BEB">
      <w:pPr>
        <w:spacing w:line="400" w:lineRule="exact"/>
        <w:ind w:firstLine="420" w:firstLineChars="200"/>
        <w:rPr>
          <w:rFonts w:ascii="宋体" w:hAnsi="宋体"/>
        </w:rPr>
      </w:pPr>
      <w:r>
        <w:rPr>
          <w:rFonts w:ascii="宋体" w:hAnsi="宋体"/>
        </w:rPr>
        <w:t>采购人将在“河北交投招标与采购服务平台”发布成交（入围）结果公告，公告信息为入围供应商名称。</w:t>
      </w:r>
    </w:p>
    <w:bookmarkEnd w:id="265"/>
    <w:p w14:paraId="4FFF1625">
      <w:pPr>
        <w:widowControl/>
        <w:spacing w:before="100" w:beforeAutospacing="1" w:after="100" w:afterAutospacing="1" w:line="400" w:lineRule="exact"/>
        <w:ind w:left="2" w:leftChars="1"/>
        <w:jc w:val="left"/>
        <w:outlineLvl w:val="2"/>
        <w:rPr>
          <w:rFonts w:eastAsia="黑体"/>
          <w:sz w:val="24"/>
        </w:rPr>
      </w:pPr>
      <w:bookmarkStart w:id="267" w:name="_Toc143102173"/>
      <w:bookmarkStart w:id="268" w:name="_Toc149140231"/>
      <w:r>
        <w:rPr>
          <w:rFonts w:eastAsia="黑体"/>
          <w:sz w:val="24"/>
        </w:rPr>
        <w:t>7.6 发出成交（入围）通知书</w:t>
      </w:r>
      <w:bookmarkEnd w:id="267"/>
      <w:bookmarkEnd w:id="268"/>
    </w:p>
    <w:p w14:paraId="2EA7A34C">
      <w:pPr>
        <w:spacing w:line="400" w:lineRule="exact"/>
        <w:ind w:firstLine="420" w:firstLineChars="200"/>
        <w:rPr>
          <w:rFonts w:ascii="宋体" w:hAnsi="宋体"/>
        </w:rPr>
      </w:pPr>
      <w:bookmarkStart w:id="269" w:name="_Hlk148516436"/>
      <w:bookmarkStart w:id="270" w:name="_Hlk148516676"/>
      <w:bookmarkStart w:id="271" w:name="_Hlk137489790"/>
      <w:r>
        <w:rPr>
          <w:rFonts w:ascii="宋体" w:hAnsi="宋体"/>
        </w:rPr>
        <w:t>发布成交供应商公告后</w:t>
      </w:r>
      <w:bookmarkEnd w:id="269"/>
      <w:r>
        <w:rPr>
          <w:rFonts w:ascii="宋体" w:hAnsi="宋体"/>
        </w:rPr>
        <w:t>，</w:t>
      </w:r>
      <w:bookmarkEnd w:id="270"/>
      <w:r>
        <w:rPr>
          <w:rFonts w:ascii="宋体" w:hAnsi="宋体"/>
        </w:rPr>
        <w:t>在本章第</w:t>
      </w:r>
      <w:r>
        <w:t>3</w:t>
      </w:r>
      <w:r>
        <w:rPr>
          <w:rFonts w:ascii="宋体" w:hAnsi="宋体"/>
        </w:rPr>
        <w:t>.</w:t>
      </w:r>
      <w:r>
        <w:t>3</w:t>
      </w:r>
      <w:r>
        <w:rPr>
          <w:rFonts w:ascii="宋体" w:hAnsi="宋体"/>
        </w:rPr>
        <w:t>款规定的响应文件有效期内，采购人向入围供应商发出</w:t>
      </w:r>
      <w:r>
        <w:rPr>
          <w:rFonts w:ascii="宋体" w:hAnsi="宋体"/>
          <w:bCs/>
        </w:rPr>
        <w:t>成交（入围）通</w:t>
      </w:r>
      <w:r>
        <w:rPr>
          <w:rFonts w:ascii="宋体" w:hAnsi="宋体"/>
        </w:rPr>
        <w:t>知书。</w:t>
      </w:r>
    </w:p>
    <w:bookmarkEnd w:id="271"/>
    <w:p w14:paraId="0F936879">
      <w:pPr>
        <w:widowControl/>
        <w:spacing w:before="100" w:beforeAutospacing="1" w:after="100" w:afterAutospacing="1" w:line="400" w:lineRule="exact"/>
        <w:ind w:left="2" w:leftChars="1"/>
        <w:jc w:val="left"/>
        <w:outlineLvl w:val="2"/>
        <w:rPr>
          <w:rFonts w:eastAsia="黑体"/>
          <w:sz w:val="24"/>
        </w:rPr>
      </w:pPr>
      <w:bookmarkStart w:id="272" w:name="_Toc149140232"/>
      <w:bookmarkStart w:id="273" w:name="_Toc143102175"/>
      <w:r>
        <w:rPr>
          <w:rFonts w:eastAsia="黑体"/>
          <w:sz w:val="24"/>
        </w:rPr>
        <w:t>7.7 履约保证金</w:t>
      </w:r>
      <w:bookmarkEnd w:id="272"/>
      <w:bookmarkEnd w:id="273"/>
    </w:p>
    <w:p w14:paraId="176DE066">
      <w:pPr>
        <w:pStyle w:val="108"/>
        <w:rPr>
          <w:rFonts w:ascii="宋体" w:hAnsi="宋体" w:eastAsia="宋体"/>
        </w:rPr>
      </w:pPr>
      <w:bookmarkStart w:id="274" w:name="_Hlk137489884"/>
      <w:r>
        <w:rPr>
          <w:rFonts w:ascii="宋体" w:hAnsi="宋体" w:eastAsia="宋体"/>
        </w:rPr>
        <w:t>成交供应商应按供应商须知前附表规定的金额、形式、有效期限和递交时间向采购人递交履约保证金。</w:t>
      </w:r>
    </w:p>
    <w:bookmarkEnd w:id="274"/>
    <w:p w14:paraId="13A174A4">
      <w:pPr>
        <w:widowControl/>
        <w:spacing w:before="100" w:beforeAutospacing="1" w:after="100" w:afterAutospacing="1" w:line="400" w:lineRule="exact"/>
        <w:ind w:left="2" w:leftChars="1"/>
        <w:jc w:val="left"/>
        <w:outlineLvl w:val="2"/>
        <w:rPr>
          <w:rFonts w:eastAsia="黑体"/>
          <w:sz w:val="24"/>
        </w:rPr>
      </w:pPr>
      <w:bookmarkStart w:id="275" w:name="_Toc143102176"/>
      <w:bookmarkStart w:id="276" w:name="_Toc149140233"/>
      <w:r>
        <w:rPr>
          <w:rFonts w:eastAsia="黑体"/>
          <w:sz w:val="24"/>
        </w:rPr>
        <w:t>7.8 签订框架协议</w:t>
      </w:r>
      <w:bookmarkEnd w:id="275"/>
      <w:bookmarkEnd w:id="276"/>
    </w:p>
    <w:p w14:paraId="59B21982">
      <w:pPr>
        <w:spacing w:line="400" w:lineRule="exact"/>
        <w:ind w:firstLine="420" w:firstLineChars="200"/>
        <w:rPr>
          <w:rFonts w:ascii="宋体" w:hAnsi="宋体"/>
          <w:szCs w:val="21"/>
        </w:rPr>
      </w:pPr>
      <w:r>
        <w:t>7</w:t>
      </w:r>
      <w:r>
        <w:rPr>
          <w:rFonts w:ascii="宋体" w:hAnsi="宋体"/>
        </w:rPr>
        <w:t>.</w:t>
      </w:r>
      <w:r>
        <w:t>8</w:t>
      </w:r>
      <w:r>
        <w:rPr>
          <w:rFonts w:ascii="宋体" w:hAnsi="宋体"/>
        </w:rPr>
        <w:t>.</w:t>
      </w:r>
      <w:r>
        <w:t>1</w:t>
      </w:r>
      <w:bookmarkStart w:id="277" w:name="_Hlk137489919"/>
      <w:r>
        <w:rPr>
          <w:rFonts w:ascii="宋体" w:hAnsi="宋体"/>
        </w:rPr>
        <w:t>采购人和入围供应商应当在成交（入围）通知书发出后</w:t>
      </w:r>
      <w:r>
        <w:t>30</w:t>
      </w:r>
      <w:r>
        <w:rPr>
          <w:rFonts w:ascii="宋体" w:hAnsi="宋体"/>
        </w:rPr>
        <w:t>日内，根据采购文件和入围供应商</w:t>
      </w:r>
      <w:r>
        <w:rPr>
          <w:rFonts w:ascii="宋体" w:hAnsi="宋体"/>
          <w:szCs w:val="21"/>
        </w:rPr>
        <w:t>的响应文件订立电子框架协议，入围供应商无正当理由拒绝签订框架协议，在签订框架协议时向采购人提出附加条件，或者不按照采购文件要求递交履约保证金的，采购人取消其成交资格，其响应保证金不予退还；给采购人造成的损失超过响应保证金数额的，入围供应商还应当对超过部分予以赔偿。</w:t>
      </w:r>
      <w:bookmarkEnd w:id="277"/>
    </w:p>
    <w:p w14:paraId="59894281">
      <w:pPr>
        <w:spacing w:line="400" w:lineRule="exact"/>
        <w:ind w:firstLine="420" w:firstLineChars="200"/>
        <w:rPr>
          <w:rFonts w:ascii="宋体" w:hAnsi="宋体"/>
          <w:szCs w:val="21"/>
        </w:rPr>
      </w:pPr>
      <w:r>
        <w:rPr>
          <w:szCs w:val="21"/>
        </w:rPr>
        <w:t>7</w:t>
      </w:r>
      <w:r>
        <w:rPr>
          <w:rFonts w:ascii="宋体" w:hAnsi="宋体"/>
          <w:szCs w:val="21"/>
        </w:rPr>
        <w:t>.</w:t>
      </w:r>
      <w:r>
        <w:rPr>
          <w:szCs w:val="21"/>
        </w:rPr>
        <w:t>8</w:t>
      </w:r>
      <w:r>
        <w:rPr>
          <w:rFonts w:ascii="宋体" w:hAnsi="宋体"/>
          <w:szCs w:val="21"/>
        </w:rPr>
        <w:t>.</w:t>
      </w:r>
      <w:r>
        <w:rPr>
          <w:szCs w:val="21"/>
        </w:rPr>
        <w:t>2</w:t>
      </w:r>
      <w:bookmarkStart w:id="278" w:name="_Hlk137489937"/>
      <w:r>
        <w:rPr>
          <w:rFonts w:ascii="宋体" w:hAnsi="宋体"/>
          <w:szCs w:val="21"/>
        </w:rPr>
        <w:t>发出成交（入围）通知书后，采购人无正当理由拒绝签订框架协议，或者在签订框架协议时向入围供应商提出附加条件的，采购人向入围供应商退还响应保证金；给入围供应商造成损失的，还应当赔偿损失。</w:t>
      </w:r>
      <w:bookmarkEnd w:id="278"/>
    </w:p>
    <w:p w14:paraId="73BA00DC">
      <w:pPr>
        <w:spacing w:line="400" w:lineRule="exact"/>
        <w:ind w:firstLine="420" w:firstLineChars="200"/>
        <w:rPr>
          <w:rFonts w:ascii="宋体" w:hAnsi="宋体"/>
        </w:rPr>
      </w:pPr>
      <w:r>
        <w:rPr>
          <w:szCs w:val="21"/>
        </w:rPr>
        <w:t>7</w:t>
      </w:r>
      <w:r>
        <w:rPr>
          <w:rFonts w:ascii="宋体" w:hAnsi="宋体"/>
          <w:szCs w:val="21"/>
        </w:rPr>
        <w:t>.</w:t>
      </w:r>
      <w:r>
        <w:rPr>
          <w:szCs w:val="21"/>
        </w:rPr>
        <w:t>8</w:t>
      </w:r>
      <w:r>
        <w:rPr>
          <w:rFonts w:ascii="宋体" w:hAnsi="宋体"/>
          <w:szCs w:val="21"/>
        </w:rPr>
        <w:t>.</w:t>
      </w:r>
      <w:r>
        <w:rPr>
          <w:szCs w:val="21"/>
        </w:rPr>
        <w:t>3</w:t>
      </w:r>
      <w:r>
        <w:rPr>
          <w:rFonts w:ascii="宋体" w:hAnsi="宋体"/>
          <w:szCs w:val="21"/>
        </w:rPr>
        <w:t xml:space="preserve"> 联合体成交的，联合体各方应当共同与采购人签订框架协议，</w:t>
      </w:r>
      <w:r>
        <w:rPr>
          <w:rFonts w:ascii="宋体" w:hAnsi="宋体"/>
        </w:rPr>
        <w:t>就成交项目向采购人承担连带责任。</w:t>
      </w:r>
    </w:p>
    <w:p w14:paraId="782AFA28">
      <w:pPr>
        <w:spacing w:line="400" w:lineRule="exact"/>
        <w:ind w:firstLine="420" w:firstLineChars="200"/>
        <w:rPr>
          <w:rFonts w:ascii="宋体" w:hAnsi="宋体"/>
        </w:rPr>
      </w:pPr>
      <w:r>
        <w:t>7</w:t>
      </w:r>
      <w:r>
        <w:rPr>
          <w:rFonts w:ascii="宋体" w:hAnsi="宋体"/>
        </w:rPr>
        <w:t>.</w:t>
      </w:r>
      <w:r>
        <w:t>8</w:t>
      </w:r>
      <w:r>
        <w:rPr>
          <w:rFonts w:ascii="宋体" w:hAnsi="宋体"/>
        </w:rPr>
        <w:t>.</w:t>
      </w:r>
      <w:r>
        <w:t>4</w:t>
      </w:r>
      <w:r>
        <w:rPr>
          <w:rFonts w:ascii="宋体" w:hAnsi="宋体"/>
        </w:rPr>
        <w:t xml:space="preserve"> 除供应商须知前附表另有规定外，按照第三章“评审办法”第</w:t>
      </w:r>
      <w:r>
        <w:t>2</w:t>
      </w:r>
      <w:r>
        <w:rPr>
          <w:rFonts w:ascii="宋体" w:hAnsi="宋体"/>
        </w:rPr>
        <w:t>.</w:t>
      </w:r>
      <w:r>
        <w:t>2</w:t>
      </w:r>
      <w:r>
        <w:rPr>
          <w:rFonts w:ascii="宋体" w:hAnsi="宋体"/>
        </w:rPr>
        <w:t>.</w:t>
      </w:r>
      <w:r>
        <w:t>3</w:t>
      </w:r>
      <w:r>
        <w:rPr>
          <w:rFonts w:ascii="宋体" w:hAnsi="宋体"/>
        </w:rPr>
        <w:t>项规定对响应报价进行修正后，若修正后的响应报价小于按照第三章“评审办法”第</w:t>
      </w:r>
      <w:r>
        <w:t>2</w:t>
      </w:r>
      <w:r>
        <w:rPr>
          <w:rFonts w:ascii="宋体" w:hAnsi="宋体"/>
        </w:rPr>
        <w:t>.</w:t>
      </w:r>
      <w:r>
        <w:t>2</w:t>
      </w:r>
      <w:r>
        <w:rPr>
          <w:rFonts w:ascii="宋体" w:hAnsi="宋体"/>
        </w:rPr>
        <w:t>.</w:t>
      </w:r>
      <w:r>
        <w:t>2</w:t>
      </w:r>
      <w:r>
        <w:rPr>
          <w:rFonts w:ascii="宋体" w:hAnsi="宋体"/>
        </w:rPr>
        <w:t>项规定确定的评审价格，则签订框架协议时以修正后的响应报价为准；若修正后的响应报价大于评审价格，则签订框架协议时以评审价格为准，同时按比例修正相应子目的单价或合价（采购文件不允许调整的费率和金额除外）。</w:t>
      </w:r>
    </w:p>
    <w:p w14:paraId="68251ED6">
      <w:pPr>
        <w:widowControl/>
        <w:spacing w:before="100" w:beforeAutospacing="1" w:after="100" w:afterAutospacing="1" w:line="400" w:lineRule="exact"/>
        <w:ind w:left="2" w:leftChars="1"/>
        <w:jc w:val="left"/>
        <w:outlineLvl w:val="2"/>
        <w:rPr>
          <w:rFonts w:eastAsia="黑体"/>
          <w:sz w:val="24"/>
        </w:rPr>
      </w:pPr>
      <w:bookmarkStart w:id="279" w:name="_Toc143102177"/>
      <w:bookmarkStart w:id="280" w:name="_Toc149140234"/>
      <w:r>
        <w:rPr>
          <w:rFonts w:eastAsia="黑体"/>
          <w:sz w:val="24"/>
        </w:rPr>
        <w:t>7.9 特殊情形处理</w:t>
      </w:r>
      <w:bookmarkEnd w:id="279"/>
      <w:bookmarkEnd w:id="280"/>
    </w:p>
    <w:p w14:paraId="636CF6CC">
      <w:pPr>
        <w:spacing w:line="400" w:lineRule="exact"/>
        <w:ind w:firstLine="420" w:firstLineChars="200"/>
        <w:rPr>
          <w:rFonts w:ascii="宋体" w:hAnsi="宋体"/>
        </w:rPr>
      </w:pPr>
      <w:bookmarkStart w:id="281" w:name="_Hlk137490009"/>
      <w:r>
        <w:rPr>
          <w:rFonts w:ascii="宋体" w:hAnsi="宋体"/>
        </w:rPr>
        <w:t>因供应商对成交（入围）结果提出异议、入围供应商无正当理由拒绝签订框架协议、入围供应商在签订框架协议时向采购人提出附加条件或者不按照采购文件要求递交履约保证金等导致采购人变更成交结果的，采购人应按照本条规定的程序取消入围供应商入选资格。</w:t>
      </w:r>
    </w:p>
    <w:bookmarkEnd w:id="281"/>
    <w:p w14:paraId="4174A2A8">
      <w:pPr>
        <w:keepNext/>
        <w:keepLines/>
        <w:widowControl/>
        <w:spacing w:before="260" w:after="260"/>
        <w:outlineLvl w:val="1"/>
        <w:rPr>
          <w:rFonts w:eastAsia="黑体"/>
          <w:b/>
          <w:sz w:val="28"/>
          <w:szCs w:val="18"/>
        </w:rPr>
      </w:pPr>
      <w:bookmarkStart w:id="282" w:name="_Toc149140235"/>
      <w:r>
        <w:rPr>
          <w:rFonts w:eastAsia="黑体"/>
          <w:b/>
          <w:sz w:val="28"/>
          <w:szCs w:val="18"/>
        </w:rPr>
        <w:t>8. 异议</w:t>
      </w:r>
      <w:bookmarkEnd w:id="282"/>
    </w:p>
    <w:p w14:paraId="0A656D19">
      <w:pPr>
        <w:widowControl/>
        <w:spacing w:before="100" w:beforeAutospacing="1" w:after="100" w:afterAutospacing="1" w:line="400" w:lineRule="exact"/>
        <w:ind w:left="2" w:leftChars="1"/>
        <w:jc w:val="left"/>
        <w:outlineLvl w:val="2"/>
        <w:rPr>
          <w:rFonts w:eastAsia="黑体"/>
          <w:sz w:val="24"/>
        </w:rPr>
      </w:pPr>
      <w:bookmarkStart w:id="283" w:name="_Toc143102179"/>
      <w:bookmarkStart w:id="284" w:name="_Toc149140236"/>
      <w:r>
        <w:rPr>
          <w:rFonts w:eastAsia="黑体"/>
          <w:sz w:val="24"/>
        </w:rPr>
        <w:t>8.1 提出异议</w:t>
      </w:r>
      <w:bookmarkEnd w:id="283"/>
      <w:bookmarkEnd w:id="284"/>
    </w:p>
    <w:p w14:paraId="036FEF67">
      <w:pPr>
        <w:spacing w:line="400" w:lineRule="exact"/>
        <w:ind w:firstLine="420" w:firstLineChars="200"/>
        <w:rPr>
          <w:rFonts w:ascii="宋体" w:hAnsi="宋体"/>
        </w:rPr>
      </w:pPr>
      <w:bookmarkStart w:id="285" w:name="_Toc19422"/>
      <w:bookmarkStart w:id="286" w:name="_Hlk137490038"/>
      <w:r>
        <w:rPr>
          <w:rFonts w:ascii="宋体" w:hAnsi="宋体"/>
        </w:rPr>
        <w:t>供应商</w:t>
      </w:r>
      <w:bookmarkEnd w:id="285"/>
      <w:r>
        <w:rPr>
          <w:rFonts w:ascii="宋体" w:hAnsi="宋体"/>
        </w:rPr>
        <w:t>认为采购活动中存在不合法或违反民事活动中平等自愿、公平诚信原则情形的，可以按照本款规定的时间和要求提出异议：</w:t>
      </w:r>
    </w:p>
    <w:p w14:paraId="4ED5E6B9">
      <w:pPr>
        <w:spacing w:line="400" w:lineRule="exact"/>
        <w:ind w:firstLine="420" w:firstLineChars="200"/>
        <w:rPr>
          <w:rFonts w:ascii="宋体" w:hAnsi="宋体"/>
        </w:rPr>
      </w:pPr>
      <w:r>
        <w:rPr>
          <w:rFonts w:ascii="宋体" w:hAnsi="宋体"/>
        </w:rPr>
        <w:t>（</w:t>
      </w:r>
      <w:r>
        <w:t>1</w:t>
      </w:r>
      <w:r>
        <w:rPr>
          <w:rFonts w:ascii="宋体" w:hAnsi="宋体"/>
        </w:rPr>
        <w:t>）对采购文件的异议，应根据供应商须知前附表的规定时间提出；</w:t>
      </w:r>
    </w:p>
    <w:p w14:paraId="4A07AF73">
      <w:pPr>
        <w:spacing w:line="400" w:lineRule="exact"/>
        <w:ind w:firstLine="420" w:firstLineChars="200"/>
        <w:rPr>
          <w:rFonts w:ascii="宋体" w:hAnsi="宋体"/>
        </w:rPr>
      </w:pPr>
      <w:r>
        <w:rPr>
          <w:rFonts w:ascii="宋体" w:hAnsi="宋体"/>
        </w:rPr>
        <w:t>（</w:t>
      </w:r>
      <w:r>
        <w:t>2</w:t>
      </w:r>
      <w:r>
        <w:rPr>
          <w:rFonts w:ascii="宋体" w:hAnsi="宋体"/>
        </w:rPr>
        <w:t>）对开启过程有异议的，应当在解密完成后在“河北交投招标与采购服务平台-开标大厅”的“异议”菜单中在线提出。</w:t>
      </w:r>
      <w:bookmarkStart w:id="287" w:name="_Hlk148687911"/>
      <w:r>
        <w:rPr>
          <w:rFonts w:ascii="宋体" w:hAnsi="宋体"/>
        </w:rPr>
        <w:t>异议提出程序为：</w:t>
      </w:r>
      <w:bookmarkEnd w:id="287"/>
      <w:r>
        <w:rPr>
          <w:rFonts w:ascii="宋体" w:hAnsi="宋体"/>
        </w:rPr>
        <w:t>采购人发起异议征询，所有供应商对开启情况进行确认，供应商在</w:t>
      </w:r>
      <w:r>
        <w:t>60s</w:t>
      </w:r>
      <w:r>
        <w:rPr>
          <w:rFonts w:ascii="宋体" w:hAnsi="宋体"/>
        </w:rPr>
        <w:t>内确认是否有异议，确认有异议后可以发起异议。若</w:t>
      </w:r>
      <w:r>
        <w:t>60s</w:t>
      </w:r>
      <w:r>
        <w:rPr>
          <w:rFonts w:ascii="宋体" w:hAnsi="宋体"/>
        </w:rPr>
        <w:t>未明确表示有无异议的，截止时间到时，将默认为无异议，不能发起异议。采购人可根据实际情况再次确认供应商有无异议，所有供应商均无异议后，采购人将结束异议环节。</w:t>
      </w:r>
    </w:p>
    <w:p w14:paraId="1D1EC004">
      <w:pPr>
        <w:pStyle w:val="154"/>
        <w:ind w:firstLine="420"/>
        <w:rPr>
          <w:rFonts w:ascii="宋体" w:hAnsi="宋体" w:eastAsia="宋体"/>
        </w:rPr>
      </w:pPr>
      <w:r>
        <w:rPr>
          <w:rFonts w:ascii="宋体" w:hAnsi="宋体" w:eastAsia="宋体"/>
        </w:rPr>
        <w:t>（</w:t>
      </w:r>
      <w:r>
        <w:rPr>
          <w:rFonts w:eastAsia="宋体"/>
        </w:rPr>
        <w:t>3</w:t>
      </w:r>
      <w:r>
        <w:rPr>
          <w:rFonts w:ascii="宋体" w:hAnsi="宋体" w:eastAsia="宋体"/>
        </w:rPr>
        <w:t>）对评审结果的异议，应当在</w:t>
      </w:r>
      <w:r>
        <w:rPr>
          <w:rFonts w:hint="eastAsia" w:ascii="宋体" w:hAnsi="宋体" w:eastAsia="宋体"/>
        </w:rPr>
        <w:t>候选</w:t>
      </w:r>
      <w:r>
        <w:rPr>
          <w:rFonts w:ascii="宋体" w:hAnsi="宋体" w:eastAsia="宋体"/>
        </w:rPr>
        <w:t>成交供应商公示期间提出。</w:t>
      </w:r>
    </w:p>
    <w:p w14:paraId="1AAFC962">
      <w:pPr>
        <w:spacing w:line="400" w:lineRule="exact"/>
        <w:ind w:firstLine="420" w:firstLineChars="200"/>
        <w:rPr>
          <w:rFonts w:ascii="宋体" w:hAnsi="宋体"/>
        </w:rPr>
      </w:pPr>
      <w:r>
        <w:rPr>
          <w:rFonts w:ascii="宋体" w:hAnsi="宋体"/>
        </w:rPr>
        <w:t>除对开启过程的异议外，供应商提出异议应在“河北交投招标与采购服务平台-我的项目-项目流程”中点击“异议”按钮，递交加盖单位电子印章的异议函和必要的证明材料。异议函包括但不限于下列内容：</w:t>
      </w:r>
    </w:p>
    <w:bookmarkEnd w:id="286"/>
    <w:p w14:paraId="3F12632B">
      <w:pPr>
        <w:pStyle w:val="154"/>
        <w:ind w:firstLine="420"/>
        <w:rPr>
          <w:rFonts w:ascii="宋体" w:hAnsi="宋体" w:eastAsia="宋体"/>
        </w:rPr>
      </w:pPr>
      <w:r>
        <w:rPr>
          <w:rFonts w:ascii="宋体" w:hAnsi="宋体" w:eastAsia="宋体"/>
        </w:rPr>
        <w:t>（</w:t>
      </w:r>
      <w:r>
        <w:rPr>
          <w:rFonts w:eastAsia="宋体"/>
        </w:rPr>
        <w:t>1</w:t>
      </w:r>
      <w:r>
        <w:rPr>
          <w:rFonts w:ascii="宋体" w:hAnsi="宋体" w:eastAsia="宋体"/>
        </w:rPr>
        <w:t>）异议人名称、联系人及联系电话；</w:t>
      </w:r>
    </w:p>
    <w:p w14:paraId="01A79E64">
      <w:pPr>
        <w:spacing w:line="400" w:lineRule="exact"/>
        <w:ind w:firstLine="420" w:firstLineChars="200"/>
        <w:rPr>
          <w:rFonts w:ascii="宋体" w:hAnsi="宋体"/>
        </w:rPr>
      </w:pPr>
      <w:r>
        <w:rPr>
          <w:rFonts w:ascii="宋体" w:hAnsi="宋体"/>
        </w:rPr>
        <w:t>（</w:t>
      </w:r>
      <w:r>
        <w:t>2</w:t>
      </w:r>
      <w:r>
        <w:rPr>
          <w:rFonts w:ascii="宋体" w:hAnsi="宋体"/>
        </w:rPr>
        <w:t>）具体明确的异议事项、事实依据及与异议事项相关的请求。</w:t>
      </w:r>
    </w:p>
    <w:p w14:paraId="7BCF5D5C">
      <w:pPr>
        <w:widowControl/>
        <w:spacing w:before="100" w:beforeAutospacing="1" w:after="100" w:afterAutospacing="1" w:line="400" w:lineRule="exact"/>
        <w:ind w:left="2" w:leftChars="1"/>
        <w:jc w:val="left"/>
        <w:outlineLvl w:val="2"/>
        <w:rPr>
          <w:rFonts w:eastAsia="黑体"/>
          <w:sz w:val="24"/>
        </w:rPr>
      </w:pPr>
      <w:bookmarkStart w:id="288" w:name="_Toc149140237"/>
      <w:bookmarkStart w:id="289" w:name="_Toc143102180"/>
      <w:r>
        <w:rPr>
          <w:rFonts w:eastAsia="黑体"/>
          <w:sz w:val="24"/>
        </w:rPr>
        <w:t>8.2 异议处理</w:t>
      </w:r>
      <w:bookmarkEnd w:id="288"/>
      <w:bookmarkEnd w:id="289"/>
    </w:p>
    <w:p w14:paraId="21D8BCA2">
      <w:pPr>
        <w:spacing w:line="400" w:lineRule="exact"/>
        <w:ind w:firstLine="420" w:firstLineChars="200"/>
        <w:rPr>
          <w:rFonts w:ascii="宋体" w:hAnsi="宋体"/>
        </w:rPr>
      </w:pPr>
      <w:bookmarkStart w:id="290" w:name="_Hlk137490076"/>
      <w:r>
        <w:rPr>
          <w:rFonts w:ascii="宋体" w:hAnsi="宋体"/>
        </w:rPr>
        <w:t>采购人</w:t>
      </w:r>
      <w:r>
        <w:rPr>
          <w:rFonts w:hint="eastAsia" w:ascii="宋体" w:hAnsi="宋体"/>
        </w:rPr>
        <w:t>或代理机构</w:t>
      </w:r>
      <w:r>
        <w:rPr>
          <w:rFonts w:ascii="宋体" w:hAnsi="宋体"/>
        </w:rPr>
        <w:t>将针对异议事项进行核查，经过核查，发现异议人对相关问题理解有误的，应作出解释；发现采购活动中确实存在错误或不当行为的，应及时予以改正或补救。</w:t>
      </w:r>
    </w:p>
    <w:p w14:paraId="0E3188D0">
      <w:pPr>
        <w:spacing w:line="400" w:lineRule="exact"/>
        <w:ind w:firstLine="420"/>
        <w:rPr>
          <w:rFonts w:ascii="宋体" w:hAnsi="宋体"/>
          <w:szCs w:val="21"/>
        </w:rPr>
      </w:pPr>
      <w:r>
        <w:rPr>
          <w:rFonts w:ascii="宋体" w:hAnsi="宋体"/>
          <w:szCs w:val="21"/>
        </w:rPr>
        <w:t>供应商或其他利害关系人对采购文件有异议的，</w:t>
      </w:r>
      <w:r>
        <w:rPr>
          <w:rFonts w:ascii="宋体" w:hAnsi="宋体"/>
        </w:rPr>
        <w:t>采购人</w:t>
      </w:r>
      <w:r>
        <w:rPr>
          <w:rFonts w:hint="eastAsia" w:ascii="宋体" w:hAnsi="宋体"/>
        </w:rPr>
        <w:t>或代理机构</w:t>
      </w:r>
      <w:r>
        <w:rPr>
          <w:rFonts w:ascii="宋体" w:hAnsi="宋体"/>
          <w:szCs w:val="21"/>
        </w:rPr>
        <w:t>将在收到异议之日起</w:t>
      </w:r>
      <w:r>
        <w:rPr>
          <w:szCs w:val="21"/>
        </w:rPr>
        <w:t>3</w:t>
      </w:r>
      <w:r>
        <w:rPr>
          <w:rFonts w:ascii="宋体" w:hAnsi="宋体"/>
          <w:szCs w:val="21"/>
        </w:rPr>
        <w:t>日内在“异议与答复”菜单作出答复；作出答复前，将暂停采购活动。</w:t>
      </w:r>
    </w:p>
    <w:p w14:paraId="5E97DE30">
      <w:pPr>
        <w:spacing w:line="400" w:lineRule="exact"/>
        <w:ind w:firstLine="420"/>
        <w:rPr>
          <w:rFonts w:ascii="宋体" w:hAnsi="宋体"/>
          <w:szCs w:val="21"/>
        </w:rPr>
      </w:pPr>
      <w:r>
        <w:rPr>
          <w:rFonts w:hint="eastAsia" w:ascii="宋体" w:hAnsi="宋体"/>
          <w:szCs w:val="21"/>
        </w:rPr>
        <w:t>供应商</w:t>
      </w:r>
      <w:r>
        <w:rPr>
          <w:rFonts w:ascii="宋体" w:hAnsi="宋体"/>
          <w:szCs w:val="21"/>
        </w:rPr>
        <w:t>对开启有异议的，采购人在线作出公开答复，“河北交投招标与采购服务平台-开标大厅”自动记录。</w:t>
      </w:r>
    </w:p>
    <w:p w14:paraId="5B32ABDE">
      <w:pPr>
        <w:spacing w:line="400" w:lineRule="exact"/>
        <w:ind w:firstLine="420"/>
        <w:rPr>
          <w:rFonts w:ascii="宋体" w:hAnsi="宋体"/>
          <w:szCs w:val="21"/>
        </w:rPr>
      </w:pPr>
      <w:r>
        <w:rPr>
          <w:rFonts w:ascii="宋体" w:hAnsi="宋体"/>
          <w:szCs w:val="21"/>
        </w:rPr>
        <w:t>供应商或其他利害关系人对评审结果有异议的，</w:t>
      </w:r>
      <w:r>
        <w:rPr>
          <w:rFonts w:ascii="宋体" w:hAnsi="宋体"/>
        </w:rPr>
        <w:t>采购人</w:t>
      </w:r>
      <w:r>
        <w:rPr>
          <w:rFonts w:hint="eastAsia" w:ascii="宋体" w:hAnsi="宋体"/>
        </w:rPr>
        <w:t>或代理机构</w:t>
      </w:r>
      <w:r>
        <w:rPr>
          <w:rFonts w:ascii="宋体" w:hAnsi="宋体"/>
          <w:szCs w:val="21"/>
        </w:rPr>
        <w:t>将在收到异议之日起</w:t>
      </w:r>
      <w:r>
        <w:rPr>
          <w:szCs w:val="21"/>
        </w:rPr>
        <w:t>3</w:t>
      </w:r>
      <w:r>
        <w:rPr>
          <w:rFonts w:ascii="宋体" w:hAnsi="宋体"/>
          <w:szCs w:val="21"/>
        </w:rPr>
        <w:t>日内通过“招采平台”“异议与答复”菜单作出答复；作出答复前，将暂停采购活动。</w:t>
      </w:r>
    </w:p>
    <w:p w14:paraId="58CDB8D3">
      <w:pPr>
        <w:spacing w:line="400" w:lineRule="exact"/>
        <w:ind w:firstLine="420" w:firstLineChars="200"/>
        <w:rPr>
          <w:rFonts w:ascii="宋体" w:hAnsi="宋体"/>
        </w:rPr>
      </w:pPr>
      <w:r>
        <w:rPr>
          <w:rFonts w:ascii="宋体" w:hAnsi="宋体"/>
        </w:rPr>
        <w:t>异议人与采购人对异议事项无法达成一致的，异议人可向供应商须知前附表规定的行业组织或专业咨询机构申请调解或进行反映。</w:t>
      </w:r>
    </w:p>
    <w:p w14:paraId="084CBD19">
      <w:pPr>
        <w:spacing w:line="400" w:lineRule="exact"/>
        <w:ind w:firstLine="420" w:firstLineChars="200"/>
        <w:rPr>
          <w:rFonts w:ascii="宋体" w:hAnsi="宋体"/>
        </w:rPr>
      </w:pPr>
      <w:r>
        <w:rPr>
          <w:rFonts w:ascii="宋体" w:hAnsi="宋体"/>
        </w:rPr>
        <w:t>采购人</w:t>
      </w:r>
      <w:r>
        <w:rPr>
          <w:rFonts w:hint="eastAsia" w:ascii="宋体" w:hAnsi="宋体"/>
        </w:rPr>
        <w:t>或代理机构</w:t>
      </w:r>
      <w:r>
        <w:rPr>
          <w:rFonts w:ascii="宋体" w:hAnsi="宋体"/>
        </w:rPr>
        <w:t>认为异议不成立或不影响采购结果的，可以继续进行采购活动。</w:t>
      </w:r>
    </w:p>
    <w:bookmarkEnd w:id="290"/>
    <w:p w14:paraId="77374D69">
      <w:pPr>
        <w:keepNext/>
        <w:keepLines/>
        <w:widowControl/>
        <w:spacing w:before="260" w:after="260"/>
        <w:outlineLvl w:val="1"/>
        <w:rPr>
          <w:rFonts w:eastAsia="黑体"/>
          <w:b/>
          <w:sz w:val="28"/>
          <w:szCs w:val="18"/>
        </w:rPr>
      </w:pPr>
      <w:bookmarkStart w:id="291" w:name="_Toc149140238"/>
      <w:r>
        <w:rPr>
          <w:rFonts w:eastAsia="黑体"/>
          <w:b/>
          <w:sz w:val="28"/>
          <w:szCs w:val="18"/>
        </w:rPr>
        <w:t>9. 纪律要求</w:t>
      </w:r>
      <w:bookmarkEnd w:id="291"/>
    </w:p>
    <w:p w14:paraId="0C023C90">
      <w:pPr>
        <w:widowControl/>
        <w:spacing w:before="100" w:beforeAutospacing="1" w:after="100" w:afterAutospacing="1" w:line="400" w:lineRule="exact"/>
        <w:ind w:left="2" w:leftChars="1"/>
        <w:jc w:val="left"/>
        <w:outlineLvl w:val="2"/>
        <w:rPr>
          <w:rFonts w:eastAsia="黑体"/>
          <w:sz w:val="24"/>
        </w:rPr>
      </w:pPr>
      <w:bookmarkStart w:id="292" w:name="_Toc149140239"/>
      <w:bookmarkStart w:id="293" w:name="_Toc143102182"/>
      <w:r>
        <w:rPr>
          <w:rFonts w:eastAsia="黑体"/>
          <w:sz w:val="24"/>
        </w:rPr>
        <w:t>9.1 对采购人的纪律要求</w:t>
      </w:r>
      <w:bookmarkEnd w:id="292"/>
      <w:bookmarkEnd w:id="293"/>
    </w:p>
    <w:p w14:paraId="474D6721">
      <w:pPr>
        <w:spacing w:line="400" w:lineRule="exact"/>
        <w:ind w:firstLine="420" w:firstLineChars="200"/>
        <w:rPr>
          <w:rFonts w:ascii="宋体" w:hAnsi="宋体"/>
        </w:rPr>
      </w:pPr>
      <w:r>
        <w:rPr>
          <w:rFonts w:ascii="宋体" w:hAnsi="宋体"/>
        </w:rPr>
        <w:t>采购人不得泄露采购活动中应当保密的情况和资料，不得与供应商串通损害国家利益、社会公共利益或者他人合法权益。</w:t>
      </w:r>
    </w:p>
    <w:p w14:paraId="35584DF1">
      <w:pPr>
        <w:widowControl/>
        <w:spacing w:before="100" w:beforeAutospacing="1" w:after="100" w:afterAutospacing="1" w:line="400" w:lineRule="exact"/>
        <w:ind w:left="2" w:leftChars="1"/>
        <w:jc w:val="left"/>
        <w:outlineLvl w:val="2"/>
        <w:rPr>
          <w:rFonts w:eastAsia="黑体"/>
          <w:sz w:val="24"/>
        </w:rPr>
      </w:pPr>
      <w:bookmarkStart w:id="294" w:name="_Toc149140240"/>
      <w:bookmarkStart w:id="295" w:name="_Toc143102183"/>
      <w:r>
        <w:rPr>
          <w:rFonts w:eastAsia="黑体"/>
          <w:sz w:val="24"/>
        </w:rPr>
        <w:t>9.2 对供应商的纪律要求</w:t>
      </w:r>
      <w:bookmarkEnd w:id="294"/>
      <w:bookmarkEnd w:id="295"/>
    </w:p>
    <w:p w14:paraId="14546DEA">
      <w:pPr>
        <w:spacing w:line="400" w:lineRule="exact"/>
        <w:ind w:firstLine="420" w:firstLineChars="200"/>
        <w:rPr>
          <w:rFonts w:ascii="宋体" w:hAnsi="宋体"/>
        </w:rPr>
      </w:pPr>
      <w:r>
        <w:rPr>
          <w:rFonts w:ascii="宋体" w:hAnsi="宋体"/>
        </w:rPr>
        <w:t>供应商不得相互串通或者与采购人串通，不得向采购人、评审小组成员</w:t>
      </w:r>
      <w:bookmarkStart w:id="296" w:name="_Hlk148687936"/>
      <w:r>
        <w:rPr>
          <w:rFonts w:ascii="宋体" w:hAnsi="宋体"/>
        </w:rPr>
        <w:t>、采购代理机构和电子采购交易平台的运营机构</w:t>
      </w:r>
      <w:bookmarkEnd w:id="296"/>
      <w:r>
        <w:rPr>
          <w:rFonts w:ascii="宋体" w:hAnsi="宋体"/>
        </w:rPr>
        <w:t>行贿谋取成交，不得以他人名义参加采购活动或者以其他方式弄虚作假骗取成交；供应商不得以任何方式干扰、影响评审工作。</w:t>
      </w:r>
    </w:p>
    <w:p w14:paraId="03AC97AD">
      <w:pPr>
        <w:widowControl/>
        <w:spacing w:before="100" w:beforeAutospacing="1" w:after="100" w:afterAutospacing="1" w:line="400" w:lineRule="exact"/>
        <w:ind w:left="2" w:leftChars="1"/>
        <w:jc w:val="left"/>
        <w:outlineLvl w:val="2"/>
        <w:rPr>
          <w:rFonts w:eastAsia="黑体"/>
          <w:sz w:val="24"/>
        </w:rPr>
      </w:pPr>
      <w:bookmarkStart w:id="297" w:name="_Toc143102184"/>
      <w:bookmarkStart w:id="298" w:name="_Toc149140241"/>
      <w:r>
        <w:rPr>
          <w:rFonts w:eastAsia="黑体"/>
          <w:sz w:val="24"/>
        </w:rPr>
        <w:t>9.3 对评审小组成员的纪律要求</w:t>
      </w:r>
      <w:bookmarkEnd w:id="297"/>
      <w:bookmarkEnd w:id="298"/>
    </w:p>
    <w:p w14:paraId="1A0BCDEF">
      <w:pPr>
        <w:spacing w:line="400" w:lineRule="exact"/>
        <w:ind w:firstLine="420" w:firstLineChars="200"/>
        <w:rPr>
          <w:rFonts w:ascii="宋体" w:hAnsi="宋体"/>
        </w:rPr>
      </w:pPr>
      <w:r>
        <w:rPr>
          <w:rFonts w:ascii="宋体" w:hAnsi="宋体"/>
        </w:rPr>
        <w:t>评审小组成员不得收受他人的财物或者其他好处，不得向他人透露对响应文件的评审和比较、候选入围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14:paraId="599D89AA">
      <w:pPr>
        <w:widowControl/>
        <w:spacing w:before="100" w:beforeAutospacing="1" w:after="100" w:afterAutospacing="1" w:line="400" w:lineRule="exact"/>
        <w:ind w:left="2" w:leftChars="1"/>
        <w:jc w:val="left"/>
        <w:outlineLvl w:val="2"/>
        <w:rPr>
          <w:rFonts w:eastAsia="黑体"/>
          <w:sz w:val="24"/>
        </w:rPr>
      </w:pPr>
      <w:bookmarkStart w:id="299" w:name="_Toc143102185"/>
      <w:bookmarkStart w:id="300" w:name="_Toc149140242"/>
      <w:r>
        <w:rPr>
          <w:rFonts w:eastAsia="黑体"/>
          <w:sz w:val="24"/>
        </w:rPr>
        <w:t>9.4 对与采购活动有关的工作人员的纪律要求</w:t>
      </w:r>
      <w:bookmarkEnd w:id="299"/>
      <w:bookmarkEnd w:id="300"/>
    </w:p>
    <w:p w14:paraId="3D1E403E">
      <w:pPr>
        <w:spacing w:line="400" w:lineRule="exact"/>
        <w:ind w:firstLine="420" w:firstLineChars="200"/>
        <w:rPr>
          <w:rFonts w:ascii="宋体" w:hAnsi="宋体"/>
        </w:rPr>
      </w:pPr>
      <w:r>
        <w:rPr>
          <w:rFonts w:ascii="宋体" w:hAnsi="宋体"/>
        </w:rPr>
        <w:t>与采购活动有关的工作人员不得收受他人的财物或者其他好处，不得向他人透露对响应文件的评审和比较、候选入围供应商的推荐情况以及有关的其他情况。在采购活动中，与采购活动有关的工作人员不得擅离职守，影响评审工作正常进行。</w:t>
      </w:r>
    </w:p>
    <w:p w14:paraId="577DDC06">
      <w:pPr>
        <w:keepNext/>
        <w:keepLines/>
        <w:widowControl/>
        <w:spacing w:before="260" w:after="260"/>
        <w:outlineLvl w:val="1"/>
        <w:rPr>
          <w:rFonts w:eastAsia="黑体"/>
          <w:b/>
          <w:sz w:val="28"/>
          <w:szCs w:val="18"/>
        </w:rPr>
      </w:pPr>
      <w:bookmarkStart w:id="301" w:name="_Toc149140243"/>
      <w:r>
        <w:rPr>
          <w:rFonts w:eastAsia="黑体"/>
          <w:b/>
          <w:sz w:val="28"/>
          <w:szCs w:val="18"/>
        </w:rPr>
        <w:t>10. 需要补充的其他内容</w:t>
      </w:r>
      <w:bookmarkEnd w:id="301"/>
    </w:p>
    <w:p w14:paraId="1AEC9E32">
      <w:pPr>
        <w:widowControl/>
        <w:spacing w:before="100" w:beforeAutospacing="1" w:after="100" w:afterAutospacing="1" w:line="400" w:lineRule="exact"/>
        <w:ind w:left="2" w:leftChars="1"/>
        <w:jc w:val="left"/>
        <w:outlineLvl w:val="2"/>
        <w:rPr>
          <w:rFonts w:eastAsia="黑体"/>
          <w:sz w:val="24"/>
        </w:rPr>
      </w:pPr>
      <w:bookmarkStart w:id="302" w:name="_Toc149140244"/>
      <w:bookmarkStart w:id="303" w:name="_Toc143102187"/>
      <w:r>
        <w:rPr>
          <w:rFonts w:eastAsia="黑体"/>
          <w:sz w:val="24"/>
        </w:rPr>
        <w:t>10.1取消入围供应商资格</w:t>
      </w:r>
      <w:bookmarkEnd w:id="302"/>
    </w:p>
    <w:p w14:paraId="094DEE1C">
      <w:pPr>
        <w:spacing w:line="400" w:lineRule="exact"/>
        <w:ind w:firstLine="420" w:firstLineChars="200"/>
        <w:rPr>
          <w:rFonts w:ascii="宋体" w:hAnsi="宋体"/>
        </w:rPr>
      </w:pPr>
      <w:r>
        <w:rPr>
          <w:rFonts w:ascii="宋体" w:hAnsi="宋体"/>
        </w:rPr>
        <w:t>采购人可在框架协议采购文件中约定，入围供应商在框架协议有效期内出现以下情形的，采购人可以取消其入围供应商资格：</w:t>
      </w:r>
    </w:p>
    <w:p w14:paraId="55209777">
      <w:pPr>
        <w:spacing w:line="400" w:lineRule="exact"/>
        <w:ind w:firstLine="420" w:firstLineChars="200"/>
        <w:rPr>
          <w:rFonts w:ascii="宋体" w:hAnsi="宋体"/>
        </w:rPr>
      </w:pPr>
      <w:r>
        <w:rPr>
          <w:rFonts w:ascii="宋体" w:hAnsi="宋体"/>
        </w:rPr>
        <w:t>（</w:t>
      </w:r>
      <w:r>
        <w:t>1</w:t>
      </w:r>
      <w:r>
        <w:rPr>
          <w:rFonts w:ascii="宋体" w:hAnsi="宋体"/>
        </w:rPr>
        <w:t>）在本项目采购交易中，有串通、违法交易或弄虚作假行为的；</w:t>
      </w:r>
    </w:p>
    <w:p w14:paraId="755025F9">
      <w:pPr>
        <w:spacing w:line="400" w:lineRule="exact"/>
        <w:ind w:firstLine="420" w:firstLineChars="200"/>
        <w:rPr>
          <w:rFonts w:ascii="宋体" w:hAnsi="宋体"/>
        </w:rPr>
      </w:pPr>
      <w:r>
        <w:rPr>
          <w:rFonts w:ascii="宋体" w:hAnsi="宋体"/>
        </w:rPr>
        <w:t>（</w:t>
      </w:r>
      <w:r>
        <w:t>2</w:t>
      </w:r>
      <w:r>
        <w:rPr>
          <w:rFonts w:ascii="宋体" w:hAnsi="宋体"/>
        </w:rPr>
        <w:t>）处于被责令停产停业、暂扣或者吊销执照、暂扣或者吊销许可证、吊销资质证书状态的；</w:t>
      </w:r>
    </w:p>
    <w:p w14:paraId="2394C4FA">
      <w:pPr>
        <w:spacing w:line="400" w:lineRule="exact"/>
        <w:ind w:firstLine="420" w:firstLineChars="200"/>
        <w:rPr>
          <w:rFonts w:ascii="宋体" w:hAnsi="宋体"/>
        </w:rPr>
      </w:pPr>
      <w:r>
        <w:rPr>
          <w:rFonts w:ascii="宋体" w:hAnsi="宋体"/>
        </w:rPr>
        <w:t>（</w:t>
      </w:r>
      <w:r>
        <w:t>3</w:t>
      </w:r>
      <w:r>
        <w:rPr>
          <w:rFonts w:ascii="宋体" w:hAnsi="宋体"/>
        </w:rPr>
        <w:t>）进入清算程序、或被宣告破产</w:t>
      </w:r>
      <w:r>
        <w:rPr>
          <w:rFonts w:hint="eastAsia" w:ascii="宋体" w:hAnsi="宋体"/>
        </w:rPr>
        <w:t>、或被列入失信人名单，</w:t>
      </w:r>
      <w:r>
        <w:rPr>
          <w:rFonts w:ascii="宋体" w:hAnsi="宋体"/>
        </w:rPr>
        <w:t>以及其他丧失履约能力的情形的。</w:t>
      </w:r>
    </w:p>
    <w:p w14:paraId="04F0C359">
      <w:pPr>
        <w:widowControl/>
        <w:spacing w:before="100" w:beforeAutospacing="1" w:after="100" w:afterAutospacing="1" w:line="400" w:lineRule="exact"/>
        <w:ind w:left="2" w:leftChars="1"/>
        <w:jc w:val="left"/>
        <w:outlineLvl w:val="2"/>
        <w:rPr>
          <w:rFonts w:eastAsia="黑体"/>
          <w:sz w:val="24"/>
        </w:rPr>
      </w:pPr>
      <w:bookmarkStart w:id="304" w:name="_Toc149140245"/>
      <w:r>
        <w:rPr>
          <w:rFonts w:eastAsia="黑体"/>
          <w:sz w:val="24"/>
        </w:rPr>
        <w:t>10.2补充入围供应商</w:t>
      </w:r>
      <w:bookmarkEnd w:id="304"/>
    </w:p>
    <w:p w14:paraId="76CFB7CC">
      <w:pPr>
        <w:spacing w:line="400" w:lineRule="exact"/>
        <w:ind w:firstLine="420" w:firstLineChars="200"/>
        <w:rPr>
          <w:rFonts w:ascii="宋体" w:hAnsi="宋体"/>
        </w:rPr>
      </w:pPr>
      <w:r>
        <w:rPr>
          <w:rFonts w:ascii="宋体" w:hAnsi="宋体"/>
        </w:rPr>
        <w:t>框架协议入围供应商数量如果没有达到采购文件规定的入围供应商数量，或者在框架协议有效期内入围供应商单方中止框架协议，或者被采购人按照规定条件取消入围供应商资格的，采购人可以针对入围供应商数量不足部分，按照原供应商入围竞争结果，按采购文件约定选择递补符合要求的入围供应商，或者再次组织框架协议采购、竞争选择补充入围供应商。</w:t>
      </w:r>
    </w:p>
    <w:p w14:paraId="3BF09946">
      <w:pPr>
        <w:widowControl/>
        <w:spacing w:before="100" w:beforeAutospacing="1" w:after="100" w:afterAutospacing="1" w:line="400" w:lineRule="exact"/>
        <w:ind w:left="2" w:leftChars="1"/>
        <w:jc w:val="left"/>
        <w:outlineLvl w:val="2"/>
        <w:rPr>
          <w:rFonts w:eastAsia="黑体"/>
          <w:sz w:val="24"/>
        </w:rPr>
      </w:pPr>
      <w:bookmarkStart w:id="305" w:name="_Toc149140246"/>
      <w:r>
        <w:rPr>
          <w:rFonts w:eastAsia="黑体"/>
          <w:sz w:val="24"/>
        </w:rPr>
        <w:t>10.3采购代理服务费</w:t>
      </w:r>
      <w:bookmarkEnd w:id="303"/>
      <w:bookmarkEnd w:id="305"/>
    </w:p>
    <w:p w14:paraId="333B7135">
      <w:pPr>
        <w:spacing w:line="400" w:lineRule="exact"/>
        <w:ind w:firstLine="420" w:firstLineChars="200"/>
        <w:rPr>
          <w:rFonts w:ascii="宋体" w:hAnsi="宋体"/>
        </w:rPr>
      </w:pPr>
      <w:r>
        <w:rPr>
          <w:rFonts w:ascii="宋体" w:hAnsi="宋体"/>
        </w:rPr>
        <w:t>供应商须知前附表规定由供应商承担采购代理服务费的，供应商应按照供应商须知前附表规定的费用标准或金额、交费时间和方式向采购代理机构支付代理服务费。</w:t>
      </w:r>
    </w:p>
    <w:p w14:paraId="0B1519C5">
      <w:pPr>
        <w:widowControl/>
        <w:spacing w:before="100" w:beforeAutospacing="1" w:after="100" w:afterAutospacing="1" w:line="400" w:lineRule="exact"/>
        <w:ind w:left="2" w:leftChars="1"/>
        <w:jc w:val="left"/>
        <w:outlineLvl w:val="2"/>
        <w:rPr>
          <w:rFonts w:eastAsia="黑体"/>
          <w:sz w:val="24"/>
        </w:rPr>
      </w:pPr>
      <w:bookmarkStart w:id="306" w:name="_Toc149140247"/>
      <w:bookmarkStart w:id="307" w:name="_Toc143102188"/>
      <w:r>
        <w:rPr>
          <w:rFonts w:eastAsia="黑体"/>
          <w:sz w:val="24"/>
        </w:rPr>
        <w:t>10.4其他</w:t>
      </w:r>
      <w:bookmarkEnd w:id="306"/>
      <w:bookmarkEnd w:id="307"/>
    </w:p>
    <w:p w14:paraId="6D4298CF">
      <w:pPr>
        <w:spacing w:line="400" w:lineRule="exact"/>
        <w:ind w:firstLine="420" w:firstLineChars="200"/>
        <w:rPr>
          <w:rFonts w:ascii="宋体" w:hAnsi="宋体"/>
        </w:rPr>
      </w:pPr>
      <w:bookmarkStart w:id="308" w:name="_Hlk137490162"/>
      <w:r>
        <w:rPr>
          <w:rFonts w:ascii="宋体" w:hAnsi="宋体"/>
        </w:rPr>
        <w:t>需要补充的其他内容：见供应商须知前附表。</w:t>
      </w:r>
    </w:p>
    <w:p w14:paraId="5F060E0D">
      <w:pPr>
        <w:widowControl/>
        <w:jc w:val="left"/>
        <w:rPr>
          <w:rFonts w:ascii="宋体" w:hAnsi="宋体"/>
          <w:kern w:val="0"/>
          <w:szCs w:val="21"/>
        </w:rPr>
      </w:pPr>
      <w:bookmarkStart w:id="309" w:name="_Toc143018519"/>
      <w:r>
        <w:rPr>
          <w:rFonts w:ascii="宋体" w:hAnsi="宋体"/>
        </w:rPr>
        <w:br w:type="page"/>
      </w:r>
    </w:p>
    <w:bookmarkEnd w:id="308"/>
    <w:bookmarkEnd w:id="309"/>
    <w:p w14:paraId="53EB2351">
      <w:pPr>
        <w:widowControl/>
        <w:spacing w:before="100" w:beforeAutospacing="1" w:after="100" w:afterAutospacing="1" w:line="400" w:lineRule="exact"/>
        <w:ind w:left="2" w:leftChars="1"/>
        <w:jc w:val="left"/>
        <w:outlineLvl w:val="2"/>
        <w:rPr>
          <w:rFonts w:eastAsia="黑体"/>
          <w:sz w:val="24"/>
        </w:rPr>
      </w:pPr>
      <w:bookmarkStart w:id="310" w:name="_Toc149140248"/>
      <w:bookmarkStart w:id="311" w:name="_Toc143102245"/>
      <w:bookmarkStart w:id="312" w:name="_Hlk137490191"/>
      <w:bookmarkStart w:id="313" w:name="_Hlk138878685"/>
      <w:bookmarkStart w:id="314" w:name="_Hlk138874438"/>
      <w:r>
        <w:rPr>
          <w:rFonts w:eastAsia="黑体"/>
          <w:sz w:val="24"/>
        </w:rPr>
        <w:t>附件1开启记录表</w:t>
      </w:r>
      <w:bookmarkEnd w:id="310"/>
      <w:bookmarkEnd w:id="311"/>
    </w:p>
    <w:p w14:paraId="2B6D81BE">
      <w:pPr>
        <w:spacing w:line="360" w:lineRule="auto"/>
        <w:jc w:val="center"/>
        <w:rPr>
          <w:rFonts w:ascii="宋体" w:hAnsi="宋体"/>
          <w:b/>
          <w:bCs/>
          <w:sz w:val="30"/>
          <w:szCs w:val="30"/>
        </w:rPr>
      </w:pPr>
      <w:r>
        <w:rPr>
          <w:rFonts w:ascii="宋体" w:hAnsi="宋体"/>
          <w:b/>
          <w:bCs/>
          <w:sz w:val="30"/>
          <w:szCs w:val="30"/>
        </w:rPr>
        <w:t>开启记录表</w:t>
      </w:r>
    </w:p>
    <w:bookmarkEnd w:id="312"/>
    <w:p w14:paraId="53DB1777">
      <w:pPr>
        <w:spacing w:line="360" w:lineRule="auto"/>
        <w:rPr>
          <w:rFonts w:ascii="宋体" w:hAnsi="宋体"/>
          <w:sz w:val="24"/>
          <w:u w:val="single"/>
        </w:rPr>
      </w:pPr>
      <w:r>
        <w:rPr>
          <w:rFonts w:ascii="宋体" w:hAnsi="宋体"/>
          <w:sz w:val="24"/>
        </w:rPr>
        <w:t>项目名称：</w:t>
      </w:r>
      <w:r>
        <w:rPr>
          <w:rFonts w:ascii="宋体" w:hAnsi="宋体"/>
          <w:sz w:val="24"/>
          <w:u w:val="single"/>
        </w:rPr>
        <w:t xml:space="preserve">                  </w:t>
      </w:r>
      <w:r>
        <w:rPr>
          <w:rFonts w:ascii="宋体" w:hAnsi="宋体"/>
          <w:sz w:val="24"/>
        </w:rPr>
        <w:t>标段：</w:t>
      </w:r>
      <w:r>
        <w:rPr>
          <w:rFonts w:ascii="宋体" w:hAnsi="宋体"/>
          <w:sz w:val="24"/>
          <w:u w:val="single"/>
        </w:rPr>
        <w:t xml:space="preserve">               </w:t>
      </w:r>
    </w:p>
    <w:p w14:paraId="412DE118">
      <w:pPr>
        <w:spacing w:line="360" w:lineRule="auto"/>
        <w:rPr>
          <w:rFonts w:ascii="宋体" w:hAnsi="宋体"/>
          <w:sz w:val="24"/>
        </w:rPr>
      </w:pPr>
      <w:r>
        <w:rPr>
          <w:rFonts w:ascii="宋体" w:hAnsi="宋体"/>
          <w:sz w:val="24"/>
        </w:rPr>
        <w:t>开启时间：    年  月  日  时  分</w:t>
      </w:r>
    </w:p>
    <w:tbl>
      <w:tblPr>
        <w:tblStyle w:val="155"/>
        <w:tblW w:w="51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1833"/>
        <w:gridCol w:w="1472"/>
        <w:gridCol w:w="1503"/>
        <w:gridCol w:w="1209"/>
        <w:gridCol w:w="2221"/>
      </w:tblGrid>
      <w:tr w14:paraId="6E6BF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pct"/>
            <w:vAlign w:val="center"/>
          </w:tcPr>
          <w:p w14:paraId="6ED27184">
            <w:pPr>
              <w:spacing w:line="360" w:lineRule="auto"/>
              <w:jc w:val="center"/>
              <w:rPr>
                <w:rFonts w:ascii="宋体" w:hAnsi="宋体"/>
                <w:kern w:val="0"/>
                <w:szCs w:val="21"/>
              </w:rPr>
            </w:pPr>
            <w:bookmarkStart w:id="315" w:name="_Hlk29450639"/>
            <w:r>
              <w:rPr>
                <w:rFonts w:ascii="宋体" w:hAnsi="宋体"/>
                <w:kern w:val="0"/>
                <w:szCs w:val="21"/>
              </w:rPr>
              <w:t>供应商</w:t>
            </w:r>
          </w:p>
        </w:tc>
        <w:tc>
          <w:tcPr>
            <w:tcW w:w="949" w:type="pct"/>
            <w:vAlign w:val="center"/>
          </w:tcPr>
          <w:p w14:paraId="167B15E8">
            <w:pPr>
              <w:spacing w:line="360" w:lineRule="auto"/>
              <w:jc w:val="center"/>
              <w:rPr>
                <w:rFonts w:ascii="宋体" w:hAnsi="宋体"/>
                <w:kern w:val="0"/>
                <w:szCs w:val="21"/>
              </w:rPr>
            </w:pPr>
            <w:r>
              <w:rPr>
                <w:rFonts w:ascii="宋体" w:hAnsi="宋体"/>
                <w:kern w:val="0"/>
                <w:szCs w:val="21"/>
              </w:rPr>
              <w:t>响应报价（元）</w:t>
            </w:r>
          </w:p>
        </w:tc>
        <w:tc>
          <w:tcPr>
            <w:tcW w:w="762" w:type="pct"/>
            <w:vAlign w:val="center"/>
          </w:tcPr>
          <w:p w14:paraId="35F39506">
            <w:pPr>
              <w:spacing w:line="360" w:lineRule="auto"/>
              <w:jc w:val="center"/>
              <w:rPr>
                <w:rFonts w:hint="eastAsia" w:ascii="宋体" w:hAnsi="宋体" w:eastAsia="宋体"/>
                <w:kern w:val="0"/>
                <w:szCs w:val="21"/>
                <w:lang w:eastAsia="zh-CN"/>
              </w:rPr>
            </w:pPr>
            <w:r>
              <w:rPr>
                <w:rFonts w:hint="eastAsia"/>
                <w:kern w:val="0"/>
                <w:szCs w:val="21"/>
                <w:lang w:eastAsia="zh-CN"/>
              </w:rPr>
              <w:t>服务期限</w:t>
            </w:r>
          </w:p>
        </w:tc>
        <w:tc>
          <w:tcPr>
            <w:tcW w:w="778" w:type="pct"/>
            <w:vAlign w:val="center"/>
          </w:tcPr>
          <w:p w14:paraId="63B26A16">
            <w:pPr>
              <w:spacing w:line="360" w:lineRule="auto"/>
              <w:jc w:val="center"/>
              <w:rPr>
                <w:rFonts w:ascii="宋体" w:hAnsi="宋体"/>
                <w:kern w:val="0"/>
                <w:szCs w:val="21"/>
              </w:rPr>
            </w:pPr>
            <w:r>
              <w:rPr>
                <w:rFonts w:hint="eastAsia"/>
                <w:kern w:val="0"/>
                <w:szCs w:val="21"/>
                <w:lang w:val="en-US" w:eastAsia="zh-CN"/>
              </w:rPr>
              <w:t>服务</w:t>
            </w:r>
            <w:r>
              <w:rPr>
                <w:rFonts w:hint="eastAsia"/>
                <w:kern w:val="0"/>
                <w:szCs w:val="21"/>
              </w:rPr>
              <w:t>地点</w:t>
            </w:r>
          </w:p>
        </w:tc>
        <w:tc>
          <w:tcPr>
            <w:tcW w:w="626" w:type="pct"/>
            <w:vAlign w:val="center"/>
          </w:tcPr>
          <w:p w14:paraId="4BF6C346">
            <w:pPr>
              <w:spacing w:line="360" w:lineRule="auto"/>
              <w:jc w:val="center"/>
              <w:rPr>
                <w:rFonts w:ascii="宋体" w:hAnsi="宋体"/>
                <w:kern w:val="0"/>
                <w:szCs w:val="21"/>
              </w:rPr>
            </w:pPr>
            <w:r>
              <w:rPr>
                <w:rFonts w:hint="eastAsia"/>
                <w:kern w:val="0"/>
                <w:szCs w:val="21"/>
                <w:lang w:val="en-US" w:eastAsia="zh-CN"/>
              </w:rPr>
              <w:t>服务</w:t>
            </w:r>
            <w:r>
              <w:rPr>
                <w:rFonts w:hint="eastAsia"/>
                <w:kern w:val="0"/>
                <w:szCs w:val="21"/>
              </w:rPr>
              <w:t>标准</w:t>
            </w:r>
          </w:p>
        </w:tc>
        <w:tc>
          <w:tcPr>
            <w:tcW w:w="1149" w:type="pct"/>
            <w:vAlign w:val="center"/>
          </w:tcPr>
          <w:p w14:paraId="058484B0">
            <w:pPr>
              <w:spacing w:line="360" w:lineRule="auto"/>
              <w:jc w:val="center"/>
              <w:rPr>
                <w:kern w:val="0"/>
                <w:szCs w:val="21"/>
              </w:rPr>
            </w:pPr>
            <w:r>
              <w:rPr>
                <w:rFonts w:hint="eastAsia"/>
                <w:kern w:val="0"/>
                <w:szCs w:val="21"/>
              </w:rPr>
              <w:t>是否存在采</w:t>
            </w:r>
          </w:p>
          <w:p w14:paraId="7958ECE6">
            <w:pPr>
              <w:spacing w:line="360" w:lineRule="auto"/>
              <w:jc w:val="center"/>
              <w:rPr>
                <w:kern w:val="0"/>
                <w:szCs w:val="21"/>
              </w:rPr>
            </w:pPr>
            <w:r>
              <w:rPr>
                <w:rFonts w:hint="eastAsia"/>
                <w:kern w:val="0"/>
                <w:szCs w:val="21"/>
              </w:rPr>
              <w:t>购公告3.2款</w:t>
            </w:r>
          </w:p>
          <w:p w14:paraId="2F903658">
            <w:pPr>
              <w:spacing w:line="360" w:lineRule="auto"/>
              <w:jc w:val="center"/>
              <w:rPr>
                <w:rFonts w:ascii="宋体" w:hAnsi="宋体"/>
                <w:b/>
                <w:bCs/>
                <w:kern w:val="0"/>
                <w:szCs w:val="21"/>
              </w:rPr>
            </w:pPr>
            <w:r>
              <w:rPr>
                <w:rFonts w:hint="eastAsia"/>
                <w:kern w:val="0"/>
                <w:szCs w:val="21"/>
              </w:rPr>
              <w:t>中的情形</w:t>
            </w:r>
          </w:p>
        </w:tc>
      </w:tr>
      <w:bookmarkEnd w:id="315"/>
      <w:tr w14:paraId="69430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33" w:type="pct"/>
            <w:vAlign w:val="center"/>
          </w:tcPr>
          <w:p w14:paraId="68F5DB53">
            <w:pPr>
              <w:spacing w:line="360" w:lineRule="auto"/>
              <w:jc w:val="center"/>
              <w:rPr>
                <w:rFonts w:ascii="宋体" w:hAnsi="宋体"/>
                <w:kern w:val="0"/>
                <w:szCs w:val="21"/>
              </w:rPr>
            </w:pPr>
          </w:p>
        </w:tc>
        <w:tc>
          <w:tcPr>
            <w:tcW w:w="949" w:type="pct"/>
            <w:vAlign w:val="center"/>
          </w:tcPr>
          <w:p w14:paraId="791AA9B7">
            <w:pPr>
              <w:spacing w:line="360" w:lineRule="auto"/>
              <w:jc w:val="center"/>
              <w:rPr>
                <w:rFonts w:ascii="宋体" w:hAnsi="宋体"/>
                <w:kern w:val="0"/>
                <w:szCs w:val="21"/>
              </w:rPr>
            </w:pPr>
          </w:p>
        </w:tc>
        <w:tc>
          <w:tcPr>
            <w:tcW w:w="762" w:type="pct"/>
            <w:vAlign w:val="center"/>
          </w:tcPr>
          <w:p w14:paraId="266CEAF4">
            <w:pPr>
              <w:spacing w:line="360" w:lineRule="auto"/>
              <w:jc w:val="center"/>
              <w:rPr>
                <w:rFonts w:ascii="宋体" w:hAnsi="宋体"/>
                <w:kern w:val="0"/>
                <w:szCs w:val="21"/>
              </w:rPr>
            </w:pPr>
          </w:p>
        </w:tc>
        <w:tc>
          <w:tcPr>
            <w:tcW w:w="778" w:type="pct"/>
            <w:vAlign w:val="center"/>
          </w:tcPr>
          <w:p w14:paraId="1A4AE215">
            <w:pPr>
              <w:spacing w:line="360" w:lineRule="auto"/>
              <w:jc w:val="center"/>
              <w:rPr>
                <w:rFonts w:ascii="宋体" w:hAnsi="宋体"/>
                <w:kern w:val="0"/>
                <w:szCs w:val="21"/>
              </w:rPr>
            </w:pPr>
          </w:p>
        </w:tc>
        <w:tc>
          <w:tcPr>
            <w:tcW w:w="626" w:type="pct"/>
            <w:vAlign w:val="center"/>
          </w:tcPr>
          <w:p w14:paraId="38BF6020">
            <w:pPr>
              <w:spacing w:line="360" w:lineRule="auto"/>
              <w:jc w:val="center"/>
              <w:rPr>
                <w:rFonts w:ascii="宋体" w:hAnsi="宋体"/>
                <w:kern w:val="0"/>
                <w:szCs w:val="21"/>
              </w:rPr>
            </w:pPr>
          </w:p>
        </w:tc>
        <w:tc>
          <w:tcPr>
            <w:tcW w:w="1149" w:type="pct"/>
            <w:vAlign w:val="center"/>
          </w:tcPr>
          <w:p w14:paraId="1ADDE966">
            <w:pPr>
              <w:spacing w:line="360" w:lineRule="auto"/>
              <w:jc w:val="center"/>
              <w:rPr>
                <w:rFonts w:ascii="宋体" w:hAnsi="宋体"/>
                <w:kern w:val="0"/>
                <w:szCs w:val="21"/>
              </w:rPr>
            </w:pPr>
          </w:p>
        </w:tc>
      </w:tr>
      <w:tr w14:paraId="2EC21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33" w:type="pct"/>
            <w:vAlign w:val="center"/>
          </w:tcPr>
          <w:p w14:paraId="5DF66D64">
            <w:pPr>
              <w:spacing w:line="360" w:lineRule="auto"/>
              <w:jc w:val="center"/>
              <w:rPr>
                <w:rFonts w:ascii="宋体" w:hAnsi="宋体"/>
                <w:kern w:val="0"/>
                <w:szCs w:val="21"/>
              </w:rPr>
            </w:pPr>
          </w:p>
        </w:tc>
        <w:tc>
          <w:tcPr>
            <w:tcW w:w="949" w:type="pct"/>
            <w:vAlign w:val="center"/>
          </w:tcPr>
          <w:p w14:paraId="755E9FFC">
            <w:pPr>
              <w:spacing w:line="360" w:lineRule="auto"/>
              <w:jc w:val="center"/>
              <w:rPr>
                <w:rFonts w:ascii="宋体" w:hAnsi="宋体"/>
                <w:kern w:val="0"/>
                <w:szCs w:val="21"/>
              </w:rPr>
            </w:pPr>
          </w:p>
        </w:tc>
        <w:tc>
          <w:tcPr>
            <w:tcW w:w="762" w:type="pct"/>
            <w:vAlign w:val="center"/>
          </w:tcPr>
          <w:p w14:paraId="6F8039F7">
            <w:pPr>
              <w:spacing w:line="360" w:lineRule="auto"/>
              <w:jc w:val="center"/>
              <w:rPr>
                <w:rFonts w:ascii="宋体" w:hAnsi="宋体"/>
                <w:kern w:val="0"/>
                <w:szCs w:val="21"/>
              </w:rPr>
            </w:pPr>
          </w:p>
        </w:tc>
        <w:tc>
          <w:tcPr>
            <w:tcW w:w="778" w:type="pct"/>
            <w:vAlign w:val="center"/>
          </w:tcPr>
          <w:p w14:paraId="5C5A9623">
            <w:pPr>
              <w:spacing w:line="360" w:lineRule="auto"/>
              <w:jc w:val="center"/>
              <w:rPr>
                <w:rFonts w:ascii="宋体" w:hAnsi="宋体"/>
                <w:kern w:val="0"/>
                <w:szCs w:val="21"/>
              </w:rPr>
            </w:pPr>
          </w:p>
        </w:tc>
        <w:tc>
          <w:tcPr>
            <w:tcW w:w="626" w:type="pct"/>
            <w:vAlign w:val="center"/>
          </w:tcPr>
          <w:p w14:paraId="446109D5">
            <w:pPr>
              <w:spacing w:line="360" w:lineRule="auto"/>
              <w:jc w:val="center"/>
              <w:rPr>
                <w:rFonts w:ascii="宋体" w:hAnsi="宋体"/>
                <w:kern w:val="0"/>
                <w:szCs w:val="21"/>
              </w:rPr>
            </w:pPr>
          </w:p>
        </w:tc>
        <w:tc>
          <w:tcPr>
            <w:tcW w:w="1149" w:type="pct"/>
            <w:vAlign w:val="center"/>
          </w:tcPr>
          <w:p w14:paraId="701329B6">
            <w:pPr>
              <w:spacing w:line="360" w:lineRule="auto"/>
              <w:jc w:val="center"/>
              <w:rPr>
                <w:rFonts w:ascii="宋体" w:hAnsi="宋体"/>
                <w:kern w:val="0"/>
                <w:szCs w:val="21"/>
              </w:rPr>
            </w:pPr>
          </w:p>
        </w:tc>
      </w:tr>
      <w:tr w14:paraId="02C5E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0" w:hRule="atLeast"/>
          <w:jc w:val="center"/>
        </w:trPr>
        <w:tc>
          <w:tcPr>
            <w:tcW w:w="733" w:type="pct"/>
            <w:vAlign w:val="center"/>
          </w:tcPr>
          <w:p w14:paraId="1399E0AF">
            <w:pPr>
              <w:spacing w:line="360" w:lineRule="auto"/>
              <w:jc w:val="center"/>
              <w:rPr>
                <w:rFonts w:ascii="宋体" w:hAnsi="宋体"/>
                <w:kern w:val="0"/>
                <w:szCs w:val="21"/>
              </w:rPr>
            </w:pPr>
            <w:r>
              <w:rPr>
                <w:rFonts w:ascii="宋体" w:hAnsi="宋体"/>
                <w:kern w:val="0"/>
                <w:szCs w:val="21"/>
              </w:rPr>
              <w:t>……</w:t>
            </w:r>
          </w:p>
        </w:tc>
        <w:tc>
          <w:tcPr>
            <w:tcW w:w="949" w:type="pct"/>
            <w:vAlign w:val="center"/>
          </w:tcPr>
          <w:p w14:paraId="1ABD64C9">
            <w:pPr>
              <w:spacing w:line="360" w:lineRule="auto"/>
              <w:jc w:val="center"/>
              <w:rPr>
                <w:rFonts w:ascii="宋体" w:hAnsi="宋体"/>
                <w:kern w:val="0"/>
                <w:szCs w:val="21"/>
              </w:rPr>
            </w:pPr>
          </w:p>
        </w:tc>
        <w:tc>
          <w:tcPr>
            <w:tcW w:w="762" w:type="pct"/>
            <w:vAlign w:val="center"/>
          </w:tcPr>
          <w:p w14:paraId="0832000E">
            <w:pPr>
              <w:spacing w:line="360" w:lineRule="auto"/>
              <w:jc w:val="center"/>
              <w:rPr>
                <w:rFonts w:ascii="宋体" w:hAnsi="宋体"/>
                <w:kern w:val="0"/>
                <w:szCs w:val="21"/>
              </w:rPr>
            </w:pPr>
          </w:p>
        </w:tc>
        <w:tc>
          <w:tcPr>
            <w:tcW w:w="778" w:type="pct"/>
            <w:vAlign w:val="center"/>
          </w:tcPr>
          <w:p w14:paraId="201A4C1B">
            <w:pPr>
              <w:spacing w:line="360" w:lineRule="auto"/>
              <w:jc w:val="center"/>
              <w:rPr>
                <w:rFonts w:ascii="宋体" w:hAnsi="宋体"/>
                <w:kern w:val="0"/>
                <w:szCs w:val="21"/>
              </w:rPr>
            </w:pPr>
          </w:p>
        </w:tc>
        <w:tc>
          <w:tcPr>
            <w:tcW w:w="626" w:type="pct"/>
            <w:vAlign w:val="center"/>
          </w:tcPr>
          <w:p w14:paraId="044C2BE9">
            <w:pPr>
              <w:spacing w:line="360" w:lineRule="auto"/>
              <w:jc w:val="center"/>
              <w:rPr>
                <w:rFonts w:ascii="宋体" w:hAnsi="宋体"/>
                <w:kern w:val="0"/>
                <w:szCs w:val="21"/>
              </w:rPr>
            </w:pPr>
          </w:p>
        </w:tc>
        <w:tc>
          <w:tcPr>
            <w:tcW w:w="1149" w:type="pct"/>
            <w:vAlign w:val="center"/>
          </w:tcPr>
          <w:p w14:paraId="0EC2A44C">
            <w:pPr>
              <w:spacing w:line="360" w:lineRule="auto"/>
              <w:jc w:val="center"/>
              <w:rPr>
                <w:rFonts w:ascii="宋体" w:hAnsi="宋体"/>
                <w:kern w:val="0"/>
                <w:szCs w:val="21"/>
              </w:rPr>
            </w:pPr>
          </w:p>
        </w:tc>
      </w:tr>
    </w:tbl>
    <w:p w14:paraId="2A343A4C">
      <w:pPr>
        <w:spacing w:line="360" w:lineRule="auto"/>
        <w:ind w:firstLine="640"/>
        <w:rPr>
          <w:rFonts w:ascii="宋体" w:hAnsi="宋体"/>
          <w:sz w:val="24"/>
        </w:rPr>
      </w:pPr>
    </w:p>
    <w:bookmarkEnd w:id="313"/>
    <w:p w14:paraId="160605D8">
      <w:pPr>
        <w:rPr>
          <w:rFonts w:ascii="宋体" w:hAnsi="宋体"/>
        </w:rPr>
      </w:pPr>
      <w:r>
        <w:rPr>
          <w:rFonts w:ascii="宋体" w:hAnsi="宋体"/>
        </w:rPr>
        <w:br w:type="page"/>
      </w:r>
    </w:p>
    <w:bookmarkEnd w:id="314"/>
    <w:p w14:paraId="276D1F33">
      <w:pPr>
        <w:widowControl/>
        <w:spacing w:before="100" w:beforeAutospacing="1" w:after="100" w:afterAutospacing="1" w:line="400" w:lineRule="exact"/>
        <w:ind w:left="2" w:leftChars="1"/>
        <w:jc w:val="left"/>
        <w:outlineLvl w:val="2"/>
        <w:rPr>
          <w:rFonts w:eastAsia="黑体"/>
          <w:sz w:val="24"/>
        </w:rPr>
      </w:pPr>
      <w:bookmarkStart w:id="316" w:name="_Toc143102246"/>
      <w:bookmarkStart w:id="317" w:name="_Toc149140249"/>
      <w:bookmarkStart w:id="318" w:name="_Hlk138878705"/>
      <w:r>
        <w:rPr>
          <w:rFonts w:eastAsia="黑体"/>
          <w:sz w:val="24"/>
        </w:rPr>
        <w:t>附件2问题澄清</w:t>
      </w:r>
      <w:bookmarkEnd w:id="316"/>
      <w:bookmarkEnd w:id="317"/>
    </w:p>
    <w:p w14:paraId="5F1046D7">
      <w:pPr>
        <w:spacing w:line="360" w:lineRule="auto"/>
        <w:jc w:val="center"/>
        <w:rPr>
          <w:rFonts w:ascii="宋体" w:hAnsi="宋体"/>
          <w:b/>
          <w:bCs/>
          <w:sz w:val="30"/>
          <w:szCs w:val="30"/>
        </w:rPr>
      </w:pPr>
      <w:r>
        <w:rPr>
          <w:rFonts w:ascii="宋体" w:hAnsi="宋体"/>
          <w:b/>
          <w:bCs/>
          <w:sz w:val="30"/>
          <w:szCs w:val="30"/>
        </w:rPr>
        <w:t>问题澄清（供参考）</w:t>
      </w:r>
    </w:p>
    <w:p w14:paraId="0B6A7635">
      <w:pPr>
        <w:autoSpaceDE w:val="0"/>
        <w:autoSpaceDN w:val="0"/>
        <w:spacing w:line="360" w:lineRule="auto"/>
        <w:ind w:right="1680"/>
        <w:jc w:val="left"/>
        <w:rPr>
          <w:rFonts w:ascii="宋体" w:hAnsi="宋体"/>
          <w:kern w:val="0"/>
          <w:szCs w:val="21"/>
        </w:rPr>
      </w:pPr>
      <w:r>
        <w:rPr>
          <w:rFonts w:ascii="宋体" w:hAnsi="宋体"/>
          <w:kern w:val="0"/>
          <w:szCs w:val="21"/>
        </w:rPr>
        <w:t>评审小组：</w:t>
      </w:r>
    </w:p>
    <w:p w14:paraId="2D30300A">
      <w:pPr>
        <w:autoSpaceDE w:val="0"/>
        <w:autoSpaceDN w:val="0"/>
        <w:spacing w:line="360" w:lineRule="auto"/>
        <w:ind w:right="-58" w:firstLine="420" w:firstLineChars="200"/>
        <w:rPr>
          <w:rFonts w:ascii="宋体" w:hAnsi="宋体"/>
          <w:kern w:val="0"/>
          <w:szCs w:val="21"/>
        </w:rPr>
      </w:pPr>
      <w:r>
        <w:rPr>
          <w:rFonts w:ascii="宋体" w:hAnsi="宋体"/>
          <w:kern w:val="0"/>
          <w:szCs w:val="21"/>
        </w:rPr>
        <w:t xml:space="preserve">问题澄清通知已收悉，现澄清、说明和补正如下：               </w:t>
      </w:r>
    </w:p>
    <w:p w14:paraId="62304FD3">
      <w:pPr>
        <w:autoSpaceDE w:val="0"/>
        <w:autoSpaceDN w:val="0"/>
        <w:spacing w:line="360" w:lineRule="auto"/>
        <w:ind w:right="-58" w:firstLine="420" w:firstLineChars="200"/>
        <w:rPr>
          <w:rFonts w:ascii="宋体" w:hAnsi="宋体"/>
          <w:kern w:val="0"/>
          <w:szCs w:val="21"/>
        </w:rPr>
      </w:pPr>
      <w:r>
        <w:rPr>
          <w:kern w:val="0"/>
          <w:szCs w:val="21"/>
        </w:rPr>
        <w:t>1</w:t>
      </w:r>
      <w:r>
        <w:rPr>
          <w:rFonts w:ascii="宋体" w:hAnsi="宋体"/>
          <w:kern w:val="0"/>
          <w:szCs w:val="21"/>
        </w:rPr>
        <w:t>.</w:t>
      </w:r>
    </w:p>
    <w:p w14:paraId="0878D3B6">
      <w:pPr>
        <w:autoSpaceDE w:val="0"/>
        <w:autoSpaceDN w:val="0"/>
        <w:spacing w:line="360" w:lineRule="auto"/>
        <w:ind w:right="1680" w:firstLine="420" w:firstLineChars="200"/>
        <w:rPr>
          <w:rFonts w:ascii="宋体" w:hAnsi="宋体"/>
          <w:kern w:val="0"/>
          <w:szCs w:val="21"/>
        </w:rPr>
      </w:pPr>
      <w:r>
        <w:rPr>
          <w:kern w:val="0"/>
          <w:szCs w:val="21"/>
        </w:rPr>
        <w:t>2</w:t>
      </w:r>
      <w:r>
        <w:rPr>
          <w:rFonts w:ascii="宋体" w:hAnsi="宋体"/>
          <w:kern w:val="0"/>
          <w:szCs w:val="21"/>
        </w:rPr>
        <w:t>.</w:t>
      </w:r>
    </w:p>
    <w:p w14:paraId="56317061">
      <w:pPr>
        <w:autoSpaceDE w:val="0"/>
        <w:autoSpaceDN w:val="0"/>
        <w:spacing w:line="360" w:lineRule="auto"/>
        <w:ind w:right="1680" w:firstLine="420" w:firstLineChars="200"/>
        <w:rPr>
          <w:rFonts w:ascii="宋体" w:hAnsi="宋体"/>
          <w:kern w:val="0"/>
          <w:szCs w:val="21"/>
        </w:rPr>
      </w:pPr>
      <w:r>
        <w:rPr>
          <w:rFonts w:ascii="宋体" w:hAnsi="宋体"/>
          <w:kern w:val="0"/>
          <w:szCs w:val="21"/>
        </w:rPr>
        <w:t>……</w:t>
      </w:r>
    </w:p>
    <w:p w14:paraId="63BF5408">
      <w:pPr>
        <w:autoSpaceDE w:val="0"/>
        <w:autoSpaceDN w:val="0"/>
        <w:spacing w:line="360" w:lineRule="auto"/>
        <w:ind w:right="84" w:firstLine="420" w:firstLineChars="200"/>
        <w:rPr>
          <w:rFonts w:ascii="宋体" w:hAnsi="宋体"/>
          <w:kern w:val="0"/>
          <w:szCs w:val="21"/>
        </w:rPr>
      </w:pPr>
      <w:r>
        <w:rPr>
          <w:rFonts w:ascii="宋体" w:hAnsi="宋体"/>
          <w:kern w:val="0"/>
          <w:szCs w:val="21"/>
        </w:rPr>
        <w:t>上述问题澄清、说明和补正，不改变我方响应文件的实质性内容，构成我方响应文件的组成部分。</w:t>
      </w:r>
    </w:p>
    <w:p w14:paraId="5E3AADC8">
      <w:pPr>
        <w:autoSpaceDE w:val="0"/>
        <w:autoSpaceDN w:val="0"/>
        <w:spacing w:line="360" w:lineRule="auto"/>
        <w:ind w:right="1680"/>
        <w:jc w:val="left"/>
        <w:rPr>
          <w:rFonts w:ascii="宋体" w:hAnsi="宋体"/>
          <w:kern w:val="0"/>
          <w:szCs w:val="21"/>
        </w:rPr>
      </w:pPr>
    </w:p>
    <w:p w14:paraId="47B00950">
      <w:pPr>
        <w:autoSpaceDE w:val="0"/>
        <w:autoSpaceDN w:val="0"/>
        <w:spacing w:line="360" w:lineRule="auto"/>
        <w:ind w:right="84"/>
        <w:jc w:val="left"/>
        <w:rPr>
          <w:rFonts w:ascii="宋体" w:hAnsi="宋体"/>
          <w:kern w:val="0"/>
          <w:szCs w:val="21"/>
        </w:rPr>
      </w:pPr>
    </w:p>
    <w:p w14:paraId="5B2B96A2">
      <w:pPr>
        <w:autoSpaceDE w:val="0"/>
        <w:autoSpaceDN w:val="0"/>
        <w:spacing w:line="360" w:lineRule="auto"/>
        <w:ind w:right="1680"/>
        <w:jc w:val="left"/>
        <w:rPr>
          <w:rFonts w:ascii="宋体" w:hAnsi="宋体"/>
          <w:kern w:val="0"/>
          <w:szCs w:val="21"/>
        </w:rPr>
      </w:pPr>
    </w:p>
    <w:p w14:paraId="4F9B2192">
      <w:pPr>
        <w:autoSpaceDE w:val="0"/>
        <w:autoSpaceDN w:val="0"/>
        <w:spacing w:line="360" w:lineRule="auto"/>
        <w:ind w:right="1680"/>
        <w:jc w:val="right"/>
        <w:rPr>
          <w:rFonts w:ascii="宋体" w:hAnsi="宋体"/>
          <w:kern w:val="0"/>
          <w:szCs w:val="21"/>
        </w:rPr>
      </w:pPr>
      <w:r>
        <w:rPr>
          <w:rFonts w:ascii="宋体" w:hAnsi="宋体"/>
          <w:kern w:val="0"/>
          <w:szCs w:val="21"/>
        </w:rPr>
        <w:t>供应商名称（加盖公章）</w:t>
      </w:r>
    </w:p>
    <w:p w14:paraId="40B0BDB7">
      <w:pPr>
        <w:autoSpaceDE w:val="0"/>
        <w:autoSpaceDN w:val="0"/>
        <w:spacing w:line="360" w:lineRule="auto"/>
        <w:ind w:right="84"/>
        <w:jc w:val="center"/>
        <w:rPr>
          <w:rFonts w:ascii="宋体" w:hAnsi="宋体"/>
          <w:kern w:val="0"/>
          <w:szCs w:val="21"/>
        </w:rPr>
      </w:pPr>
      <w:r>
        <w:rPr>
          <w:rFonts w:ascii="宋体" w:hAnsi="宋体"/>
          <w:kern w:val="0"/>
          <w:szCs w:val="21"/>
        </w:rPr>
        <w:t xml:space="preserve">                               年   月   日</w:t>
      </w:r>
    </w:p>
    <w:bookmarkEnd w:id="318"/>
    <w:p w14:paraId="0264015B">
      <w:pPr>
        <w:pStyle w:val="15"/>
        <w:rPr>
          <w:rFonts w:cs="Times New Roman"/>
          <w:lang w:eastAsia="zh-CN"/>
        </w:rPr>
      </w:pPr>
      <w:r>
        <w:rPr>
          <w:rFonts w:cs="Times New Roman"/>
          <w:lang w:eastAsia="zh-CN"/>
        </w:rPr>
        <w:br w:type="page"/>
      </w:r>
    </w:p>
    <w:p w14:paraId="021EFC78">
      <w:pPr>
        <w:pStyle w:val="15"/>
        <w:spacing w:line="360" w:lineRule="auto"/>
        <w:ind w:right="84"/>
        <w:jc w:val="right"/>
        <w:rPr>
          <w:rFonts w:cs="Times New Roman"/>
          <w:sz w:val="21"/>
          <w:szCs w:val="21"/>
          <w:lang w:eastAsia="zh-CN"/>
        </w:rPr>
      </w:pPr>
    </w:p>
    <w:p w14:paraId="34547251">
      <w:pPr>
        <w:ind w:right="226"/>
        <w:jc w:val="right"/>
        <w:rPr>
          <w:rFonts w:ascii="宋体" w:hAnsi="宋体"/>
        </w:rPr>
      </w:pPr>
    </w:p>
    <w:p w14:paraId="6EAAA3BA">
      <w:pPr>
        <w:pStyle w:val="15"/>
        <w:spacing w:line="360" w:lineRule="auto"/>
        <w:ind w:right="924"/>
        <w:rPr>
          <w:rFonts w:cs="Times New Roman"/>
          <w:sz w:val="21"/>
          <w:szCs w:val="21"/>
          <w:lang w:eastAsia="zh-CN"/>
        </w:rPr>
      </w:pPr>
    </w:p>
    <w:p w14:paraId="18374C71">
      <w:pPr>
        <w:pStyle w:val="15"/>
        <w:spacing w:line="360" w:lineRule="auto"/>
        <w:ind w:right="924"/>
        <w:rPr>
          <w:rFonts w:cs="Times New Roman"/>
          <w:sz w:val="21"/>
          <w:szCs w:val="21"/>
          <w:lang w:eastAsia="zh-CN"/>
        </w:rPr>
      </w:pPr>
    </w:p>
    <w:p w14:paraId="38097788">
      <w:pPr>
        <w:pStyle w:val="15"/>
        <w:spacing w:line="360" w:lineRule="auto"/>
        <w:ind w:right="924"/>
        <w:rPr>
          <w:rFonts w:cs="Times New Roman"/>
          <w:sz w:val="21"/>
          <w:szCs w:val="21"/>
          <w:lang w:eastAsia="zh-CN"/>
        </w:rPr>
      </w:pPr>
    </w:p>
    <w:p w14:paraId="7DC20FD0">
      <w:pPr>
        <w:pStyle w:val="15"/>
        <w:spacing w:line="360" w:lineRule="auto"/>
        <w:ind w:right="924"/>
        <w:rPr>
          <w:rFonts w:cs="Times New Roman"/>
          <w:sz w:val="21"/>
          <w:szCs w:val="21"/>
          <w:lang w:eastAsia="zh-CN"/>
        </w:rPr>
      </w:pPr>
    </w:p>
    <w:p w14:paraId="6BE73331">
      <w:pPr>
        <w:tabs>
          <w:tab w:val="left" w:pos="1914"/>
        </w:tabs>
        <w:spacing w:before="38"/>
        <w:ind w:right="268"/>
        <w:jc w:val="center"/>
        <w:rPr>
          <w:rFonts w:ascii="宋体" w:hAnsi="宋体"/>
          <w:sz w:val="45"/>
        </w:rPr>
      </w:pPr>
    </w:p>
    <w:p w14:paraId="6507176D">
      <w:pPr>
        <w:tabs>
          <w:tab w:val="left" w:pos="1914"/>
        </w:tabs>
        <w:spacing w:before="38"/>
        <w:ind w:right="268"/>
        <w:rPr>
          <w:rFonts w:ascii="宋体" w:hAnsi="宋体"/>
          <w:sz w:val="45"/>
        </w:rPr>
      </w:pPr>
    </w:p>
    <w:p w14:paraId="26E2771A">
      <w:pPr>
        <w:tabs>
          <w:tab w:val="left" w:pos="1914"/>
        </w:tabs>
        <w:spacing w:before="38"/>
        <w:ind w:right="268"/>
        <w:jc w:val="center"/>
        <w:rPr>
          <w:rFonts w:ascii="宋体" w:hAnsi="宋体"/>
          <w:sz w:val="45"/>
        </w:rPr>
      </w:pPr>
    </w:p>
    <w:p w14:paraId="250868A6">
      <w:pPr>
        <w:tabs>
          <w:tab w:val="left" w:pos="1914"/>
        </w:tabs>
        <w:spacing w:before="38"/>
        <w:ind w:right="268"/>
        <w:jc w:val="center"/>
        <w:rPr>
          <w:rFonts w:ascii="宋体" w:hAnsi="宋体"/>
          <w:sz w:val="45"/>
        </w:rPr>
      </w:pPr>
    </w:p>
    <w:p w14:paraId="06F68478">
      <w:pPr>
        <w:pStyle w:val="2"/>
        <w:jc w:val="center"/>
        <w:rPr>
          <w:rFonts w:ascii="宋体" w:hAnsi="宋体"/>
        </w:rPr>
      </w:pPr>
      <w:bookmarkStart w:id="319" w:name="_Toc149140250"/>
      <w:bookmarkStart w:id="320" w:name="_Toc48146150"/>
      <w:bookmarkStart w:id="321" w:name="_第三章_评审办法"/>
      <w:r>
        <w:rPr>
          <w:rFonts w:ascii="宋体" w:hAnsi="宋体"/>
        </w:rPr>
        <w:t>第三章 评审办法</w:t>
      </w:r>
      <w:bookmarkEnd w:id="319"/>
      <w:bookmarkEnd w:id="320"/>
    </w:p>
    <w:bookmarkEnd w:id="321"/>
    <w:p w14:paraId="5F9A53B8">
      <w:pPr>
        <w:tabs>
          <w:tab w:val="left" w:pos="1914"/>
        </w:tabs>
        <w:spacing w:before="38"/>
        <w:ind w:right="268"/>
        <w:jc w:val="center"/>
        <w:rPr>
          <w:rFonts w:ascii="宋体" w:hAnsi="宋体"/>
          <w:sz w:val="45"/>
        </w:rPr>
      </w:pPr>
    </w:p>
    <w:p w14:paraId="7EEC42AA">
      <w:pPr>
        <w:tabs>
          <w:tab w:val="left" w:pos="1914"/>
        </w:tabs>
        <w:spacing w:before="38"/>
        <w:ind w:right="268"/>
        <w:jc w:val="center"/>
        <w:rPr>
          <w:rFonts w:ascii="宋体" w:hAnsi="宋体"/>
          <w:sz w:val="45"/>
        </w:rPr>
      </w:pPr>
    </w:p>
    <w:p w14:paraId="31A4D9BC">
      <w:pPr>
        <w:rPr>
          <w:rFonts w:ascii="宋体" w:hAnsi="宋体"/>
        </w:rPr>
      </w:pPr>
      <w:r>
        <w:rPr>
          <w:rFonts w:ascii="宋体" w:hAnsi="宋体"/>
          <w:b/>
          <w:bCs/>
          <w:sz w:val="33"/>
        </w:rPr>
        <w:br w:type="page"/>
      </w:r>
      <w:bookmarkStart w:id="322" w:name="_Toc48146151"/>
    </w:p>
    <w:p w14:paraId="1E3F3DE0">
      <w:pPr>
        <w:keepNext/>
        <w:keepLines/>
        <w:spacing w:before="260" w:after="260" w:line="413" w:lineRule="auto"/>
        <w:jc w:val="center"/>
        <w:outlineLvl w:val="1"/>
        <w:rPr>
          <w:rFonts w:ascii="宋体" w:hAnsi="宋体"/>
          <w:b/>
          <w:sz w:val="32"/>
          <w:szCs w:val="20"/>
        </w:rPr>
      </w:pPr>
      <w:bookmarkStart w:id="323" w:name="_Toc118805531"/>
      <w:bookmarkStart w:id="324" w:name="_Toc118805908"/>
      <w:bookmarkStart w:id="325" w:name="_Toc11644"/>
      <w:bookmarkStart w:id="326" w:name="_Toc21940_WPSOffice_Level1"/>
      <w:bookmarkStart w:id="327" w:name="_Toc149140251"/>
      <w:bookmarkStart w:id="328" w:name="_Toc2978"/>
      <w:bookmarkStart w:id="329" w:name="_Toc14439"/>
      <w:bookmarkStart w:id="330" w:name="_Toc118805154"/>
      <w:bookmarkStart w:id="331" w:name="_Toc19645"/>
      <w:bookmarkStart w:id="332" w:name="_Toc32577"/>
      <w:bookmarkStart w:id="333" w:name="_Toc138604677"/>
      <w:bookmarkStart w:id="334" w:name="_Toc118806279"/>
      <w:bookmarkStart w:id="335" w:name="_Toc11946"/>
      <w:r>
        <w:rPr>
          <w:rFonts w:ascii="宋体" w:hAnsi="宋体"/>
          <w:b/>
          <w:sz w:val="32"/>
          <w:szCs w:val="20"/>
        </w:rPr>
        <w:t>评审办法前附表</w:t>
      </w:r>
      <w:bookmarkEnd w:id="323"/>
      <w:bookmarkEnd w:id="324"/>
      <w:bookmarkEnd w:id="325"/>
      <w:bookmarkEnd w:id="326"/>
      <w:bookmarkEnd w:id="327"/>
      <w:bookmarkEnd w:id="328"/>
      <w:bookmarkEnd w:id="329"/>
      <w:bookmarkEnd w:id="330"/>
      <w:bookmarkEnd w:id="331"/>
      <w:bookmarkEnd w:id="332"/>
      <w:bookmarkEnd w:id="333"/>
      <w:bookmarkEnd w:id="334"/>
      <w:bookmarkEnd w:id="335"/>
    </w:p>
    <w:tbl>
      <w:tblPr>
        <w:tblStyle w:val="40"/>
        <w:tblW w:w="938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13"/>
        <w:gridCol w:w="1447"/>
        <w:gridCol w:w="2178"/>
        <w:gridCol w:w="4747"/>
      </w:tblGrid>
      <w:tr w14:paraId="129CC4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460" w:type="dxa"/>
            <w:gridSpan w:val="2"/>
            <w:tcBorders>
              <w:top w:val="single" w:color="auto" w:sz="4" w:space="0"/>
              <w:bottom w:val="single" w:color="auto" w:sz="4" w:space="0"/>
              <w:right w:val="single" w:color="auto" w:sz="4" w:space="0"/>
            </w:tcBorders>
            <w:vAlign w:val="center"/>
          </w:tcPr>
          <w:p w14:paraId="480AAD03">
            <w:pPr>
              <w:spacing w:line="440" w:lineRule="exact"/>
              <w:jc w:val="center"/>
              <w:rPr>
                <w:rFonts w:ascii="宋体" w:hAnsi="宋体"/>
                <w:b/>
              </w:rPr>
            </w:pPr>
            <w:r>
              <w:rPr>
                <w:rFonts w:ascii="宋体" w:hAnsi="宋体"/>
                <w:b/>
              </w:rPr>
              <w:t>条款号及名称</w:t>
            </w:r>
          </w:p>
        </w:tc>
        <w:tc>
          <w:tcPr>
            <w:tcW w:w="2178" w:type="dxa"/>
            <w:tcBorders>
              <w:top w:val="single" w:color="auto" w:sz="4" w:space="0"/>
              <w:left w:val="single" w:color="auto" w:sz="4" w:space="0"/>
              <w:bottom w:val="single" w:color="auto" w:sz="4" w:space="0"/>
              <w:right w:val="single" w:color="auto" w:sz="4" w:space="0"/>
            </w:tcBorders>
            <w:vAlign w:val="center"/>
          </w:tcPr>
          <w:p w14:paraId="7C3F4EAC">
            <w:pPr>
              <w:spacing w:line="440" w:lineRule="exact"/>
              <w:jc w:val="center"/>
              <w:rPr>
                <w:rFonts w:ascii="宋体" w:hAnsi="宋体"/>
                <w:b/>
              </w:rPr>
            </w:pPr>
            <w:r>
              <w:rPr>
                <w:rFonts w:ascii="宋体" w:hAnsi="宋体"/>
                <w:b/>
              </w:rPr>
              <w:t>评审因素</w:t>
            </w:r>
          </w:p>
        </w:tc>
        <w:tc>
          <w:tcPr>
            <w:tcW w:w="4747" w:type="dxa"/>
            <w:tcBorders>
              <w:top w:val="single" w:color="auto" w:sz="4" w:space="0"/>
              <w:left w:val="single" w:color="auto" w:sz="4" w:space="0"/>
              <w:bottom w:val="single" w:color="auto" w:sz="4" w:space="0"/>
              <w:right w:val="single" w:color="auto" w:sz="4" w:space="0"/>
            </w:tcBorders>
            <w:vAlign w:val="center"/>
          </w:tcPr>
          <w:p w14:paraId="42E3AEF5">
            <w:pPr>
              <w:spacing w:line="440" w:lineRule="exact"/>
              <w:jc w:val="center"/>
              <w:rPr>
                <w:rFonts w:ascii="宋体" w:hAnsi="宋体"/>
                <w:b/>
              </w:rPr>
            </w:pPr>
            <w:r>
              <w:rPr>
                <w:rFonts w:ascii="宋体" w:hAnsi="宋体"/>
                <w:b/>
              </w:rPr>
              <w:t>评审标准</w:t>
            </w:r>
          </w:p>
        </w:tc>
      </w:tr>
      <w:tr w14:paraId="0CC231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1013" w:type="dxa"/>
            <w:tcBorders>
              <w:top w:val="single" w:color="auto" w:sz="4" w:space="0"/>
              <w:bottom w:val="single" w:color="auto" w:sz="4" w:space="0"/>
              <w:right w:val="single" w:color="auto" w:sz="4" w:space="0"/>
            </w:tcBorders>
            <w:vAlign w:val="center"/>
          </w:tcPr>
          <w:p w14:paraId="2D7D080F">
            <w:pPr>
              <w:spacing w:line="440" w:lineRule="exact"/>
              <w:jc w:val="center"/>
              <w:rPr>
                <w:rFonts w:ascii="宋体" w:hAnsi="宋体"/>
                <w:b/>
              </w:rPr>
            </w:pPr>
            <w:r>
              <w:t>1</w:t>
            </w:r>
          </w:p>
        </w:tc>
        <w:tc>
          <w:tcPr>
            <w:tcW w:w="1447" w:type="dxa"/>
            <w:tcBorders>
              <w:top w:val="single" w:color="auto" w:sz="4" w:space="0"/>
              <w:left w:val="single" w:color="auto" w:sz="4" w:space="0"/>
              <w:bottom w:val="single" w:color="auto" w:sz="4" w:space="0"/>
              <w:right w:val="single" w:color="auto" w:sz="4" w:space="0"/>
            </w:tcBorders>
            <w:vAlign w:val="center"/>
          </w:tcPr>
          <w:p w14:paraId="67F55A8D">
            <w:pPr>
              <w:spacing w:line="440" w:lineRule="exact"/>
              <w:jc w:val="center"/>
              <w:rPr>
                <w:rFonts w:ascii="宋体" w:hAnsi="宋体"/>
                <w:b/>
              </w:rPr>
            </w:pPr>
            <w:r>
              <w:rPr>
                <w:rFonts w:ascii="宋体" w:hAnsi="宋体"/>
              </w:rPr>
              <w:t>评审方法</w:t>
            </w:r>
          </w:p>
        </w:tc>
        <w:tc>
          <w:tcPr>
            <w:tcW w:w="2178" w:type="dxa"/>
            <w:tcBorders>
              <w:top w:val="single" w:color="auto" w:sz="4" w:space="0"/>
              <w:left w:val="single" w:color="auto" w:sz="4" w:space="0"/>
              <w:bottom w:val="single" w:color="auto" w:sz="4" w:space="0"/>
              <w:right w:val="single" w:color="auto" w:sz="4" w:space="0"/>
            </w:tcBorders>
            <w:vAlign w:val="center"/>
          </w:tcPr>
          <w:p w14:paraId="3381666C">
            <w:pPr>
              <w:spacing w:line="440" w:lineRule="exact"/>
              <w:jc w:val="center"/>
              <w:rPr>
                <w:rFonts w:ascii="宋体" w:hAnsi="宋体"/>
                <w:b/>
              </w:rPr>
            </w:pPr>
            <w:r>
              <w:rPr>
                <w:rFonts w:ascii="宋体" w:hAnsi="宋体"/>
              </w:rPr>
              <w:t>评审方法</w:t>
            </w:r>
          </w:p>
        </w:tc>
        <w:tc>
          <w:tcPr>
            <w:tcW w:w="4747" w:type="dxa"/>
            <w:tcBorders>
              <w:top w:val="single" w:color="auto" w:sz="4" w:space="0"/>
              <w:left w:val="single" w:color="auto" w:sz="4" w:space="0"/>
              <w:bottom w:val="single" w:color="auto" w:sz="4" w:space="0"/>
              <w:right w:val="single" w:color="auto" w:sz="4" w:space="0"/>
            </w:tcBorders>
            <w:vAlign w:val="center"/>
          </w:tcPr>
          <w:p w14:paraId="1259CE54">
            <w:pPr>
              <w:spacing w:line="440" w:lineRule="exact"/>
              <w:jc w:val="left"/>
              <w:rPr>
                <w:rFonts w:ascii="宋体" w:hAnsi="宋体"/>
              </w:rPr>
            </w:pPr>
            <w:r>
              <w:rPr>
                <w:rFonts w:ascii="宋体" w:hAnsi="宋体"/>
              </w:rPr>
              <w:sym w:font="Wingdings 2" w:char="00A3"/>
            </w:r>
            <w:r>
              <w:rPr>
                <w:rFonts w:ascii="宋体" w:hAnsi="宋体"/>
              </w:rPr>
              <w:t>经评审的最低价法</w:t>
            </w:r>
          </w:p>
          <w:p w14:paraId="3B53E88A">
            <w:pPr>
              <w:spacing w:line="440" w:lineRule="exact"/>
              <w:jc w:val="left"/>
              <w:rPr>
                <w:rFonts w:ascii="宋体" w:hAnsi="宋体"/>
              </w:rPr>
            </w:pPr>
            <w:r>
              <w:rPr>
                <w:rFonts w:ascii="宋体" w:hAnsi="宋体"/>
              </w:rPr>
              <w:sym w:font="Wingdings 2" w:char="0052"/>
            </w:r>
            <w:r>
              <w:rPr>
                <w:rFonts w:ascii="宋体" w:hAnsi="宋体"/>
              </w:rPr>
              <w:t>综合评分法</w:t>
            </w:r>
          </w:p>
        </w:tc>
      </w:tr>
      <w:tr w14:paraId="1EE407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13" w:type="dxa"/>
            <w:vMerge w:val="restart"/>
            <w:tcBorders>
              <w:top w:val="single" w:color="auto" w:sz="4" w:space="0"/>
              <w:bottom w:val="single" w:color="auto" w:sz="4" w:space="0"/>
              <w:right w:val="single" w:color="auto" w:sz="4" w:space="0"/>
            </w:tcBorders>
            <w:vAlign w:val="center"/>
          </w:tcPr>
          <w:p w14:paraId="4991AD6D">
            <w:pPr>
              <w:spacing w:line="440" w:lineRule="exact"/>
              <w:jc w:val="center"/>
              <w:rPr>
                <w:rFonts w:ascii="宋体" w:hAnsi="宋体"/>
              </w:rPr>
            </w:pPr>
            <w:r>
              <w:t>2</w:t>
            </w:r>
            <w:r>
              <w:rPr>
                <w:rFonts w:ascii="宋体" w:hAnsi="宋体"/>
              </w:rPr>
              <w:t>.</w:t>
            </w:r>
            <w:r>
              <w:t>1</w:t>
            </w:r>
            <w:r>
              <w:rPr>
                <w:rFonts w:ascii="宋体" w:hAnsi="宋体"/>
              </w:rPr>
              <w:t>.</w:t>
            </w:r>
            <w:r>
              <w:t>1</w:t>
            </w:r>
          </w:p>
        </w:tc>
        <w:tc>
          <w:tcPr>
            <w:tcW w:w="1447" w:type="dxa"/>
            <w:vMerge w:val="restart"/>
            <w:tcBorders>
              <w:top w:val="single" w:color="auto" w:sz="4" w:space="0"/>
              <w:right w:val="single" w:color="auto" w:sz="4" w:space="0"/>
            </w:tcBorders>
            <w:vAlign w:val="center"/>
          </w:tcPr>
          <w:p w14:paraId="2C8088B0">
            <w:pPr>
              <w:spacing w:line="440" w:lineRule="exact"/>
              <w:jc w:val="center"/>
              <w:rPr>
                <w:rFonts w:ascii="宋体" w:hAnsi="宋体"/>
              </w:rPr>
            </w:pPr>
            <w:r>
              <w:rPr>
                <w:rFonts w:ascii="宋体" w:hAnsi="宋体"/>
              </w:rPr>
              <w:t>形式评审标准</w:t>
            </w:r>
          </w:p>
        </w:tc>
        <w:tc>
          <w:tcPr>
            <w:tcW w:w="2178" w:type="dxa"/>
            <w:tcBorders>
              <w:top w:val="single" w:color="auto" w:sz="4" w:space="0"/>
              <w:left w:val="single" w:color="auto" w:sz="4" w:space="0"/>
              <w:bottom w:val="single" w:color="auto" w:sz="4" w:space="0"/>
              <w:right w:val="single" w:color="auto" w:sz="4" w:space="0"/>
            </w:tcBorders>
            <w:vAlign w:val="center"/>
          </w:tcPr>
          <w:p w14:paraId="6FC600DB">
            <w:pPr>
              <w:spacing w:line="440" w:lineRule="exact"/>
              <w:jc w:val="center"/>
              <w:rPr>
                <w:rFonts w:ascii="宋体" w:hAnsi="宋体"/>
              </w:rPr>
            </w:pPr>
            <w:r>
              <w:rPr>
                <w:rFonts w:ascii="宋体" w:hAnsi="宋体"/>
              </w:rPr>
              <w:t>供应商名称</w:t>
            </w:r>
          </w:p>
        </w:tc>
        <w:tc>
          <w:tcPr>
            <w:tcW w:w="4747" w:type="dxa"/>
            <w:tcBorders>
              <w:top w:val="single" w:color="auto" w:sz="4" w:space="0"/>
              <w:left w:val="single" w:color="auto" w:sz="4" w:space="0"/>
              <w:bottom w:val="single" w:color="auto" w:sz="4" w:space="0"/>
              <w:right w:val="single" w:color="auto" w:sz="4" w:space="0"/>
            </w:tcBorders>
            <w:vAlign w:val="center"/>
          </w:tcPr>
          <w:p w14:paraId="043C5FE2">
            <w:pPr>
              <w:spacing w:line="440" w:lineRule="exact"/>
              <w:rPr>
                <w:rFonts w:ascii="宋体" w:hAnsi="宋体"/>
              </w:rPr>
            </w:pPr>
            <w:r>
              <w:rPr>
                <w:rFonts w:ascii="宋体" w:hAnsi="宋体"/>
              </w:rPr>
              <w:t>与供应商须知</w:t>
            </w:r>
            <w:r>
              <w:t>3</w:t>
            </w:r>
            <w:r>
              <w:rPr>
                <w:rFonts w:ascii="宋体" w:hAnsi="宋体"/>
              </w:rPr>
              <w:t>.</w:t>
            </w:r>
            <w:r>
              <w:t>5</w:t>
            </w:r>
            <w:r>
              <w:rPr>
                <w:rFonts w:ascii="宋体" w:hAnsi="宋体"/>
              </w:rPr>
              <w:t>.</w:t>
            </w:r>
            <w:r>
              <w:t>1</w:t>
            </w:r>
            <w:r>
              <w:rPr>
                <w:rFonts w:ascii="宋体" w:hAnsi="宋体"/>
              </w:rPr>
              <w:t>款依法设立提供的证明材料一致。</w:t>
            </w:r>
          </w:p>
        </w:tc>
      </w:tr>
      <w:tr w14:paraId="0DD36C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13" w:type="dxa"/>
            <w:vMerge w:val="continue"/>
            <w:tcBorders>
              <w:top w:val="nil"/>
              <w:bottom w:val="single" w:color="auto" w:sz="4" w:space="0"/>
              <w:right w:val="single" w:color="auto" w:sz="4" w:space="0"/>
            </w:tcBorders>
            <w:vAlign w:val="center"/>
          </w:tcPr>
          <w:p w14:paraId="68E1661F">
            <w:pPr>
              <w:rPr>
                <w:rFonts w:ascii="宋体" w:hAnsi="宋体"/>
              </w:rPr>
            </w:pPr>
          </w:p>
        </w:tc>
        <w:tc>
          <w:tcPr>
            <w:tcW w:w="1447" w:type="dxa"/>
            <w:vMerge w:val="continue"/>
            <w:tcBorders>
              <w:right w:val="single" w:color="auto" w:sz="4" w:space="0"/>
            </w:tcBorders>
            <w:vAlign w:val="center"/>
          </w:tcPr>
          <w:p w14:paraId="3DFC88E9">
            <w:pPr>
              <w:rPr>
                <w:rFonts w:ascii="宋体" w:hAnsi="宋体"/>
              </w:rPr>
            </w:pPr>
          </w:p>
        </w:tc>
        <w:tc>
          <w:tcPr>
            <w:tcW w:w="2178" w:type="dxa"/>
            <w:tcBorders>
              <w:top w:val="single" w:color="auto" w:sz="4" w:space="0"/>
              <w:left w:val="single" w:color="auto" w:sz="4" w:space="0"/>
              <w:bottom w:val="single" w:color="auto" w:sz="4" w:space="0"/>
              <w:right w:val="single" w:color="auto" w:sz="4" w:space="0"/>
            </w:tcBorders>
            <w:vAlign w:val="center"/>
          </w:tcPr>
          <w:p w14:paraId="66CBA545">
            <w:pPr>
              <w:spacing w:line="440" w:lineRule="exact"/>
              <w:jc w:val="center"/>
              <w:rPr>
                <w:rFonts w:ascii="宋体" w:hAnsi="宋体"/>
              </w:rPr>
            </w:pPr>
            <w:r>
              <w:rPr>
                <w:rFonts w:ascii="宋体" w:hAnsi="宋体"/>
              </w:rPr>
              <w:t>响应文件签字盖章</w:t>
            </w:r>
          </w:p>
        </w:tc>
        <w:tc>
          <w:tcPr>
            <w:tcW w:w="4747" w:type="dxa"/>
            <w:tcBorders>
              <w:top w:val="single" w:color="auto" w:sz="4" w:space="0"/>
              <w:left w:val="single" w:color="auto" w:sz="4" w:space="0"/>
              <w:bottom w:val="single" w:color="auto" w:sz="4" w:space="0"/>
              <w:right w:val="single" w:color="auto" w:sz="4" w:space="0"/>
            </w:tcBorders>
            <w:vAlign w:val="center"/>
          </w:tcPr>
          <w:p w14:paraId="64A54134">
            <w:pPr>
              <w:spacing w:line="440" w:lineRule="exact"/>
              <w:rPr>
                <w:rFonts w:ascii="宋体" w:hAnsi="宋体"/>
              </w:rPr>
            </w:pPr>
            <w:r>
              <w:rPr>
                <w:rFonts w:ascii="宋体" w:hAnsi="宋体"/>
              </w:rPr>
              <w:t>符合第二章第</w:t>
            </w:r>
            <w:r>
              <w:t>3</w:t>
            </w:r>
            <w:r>
              <w:rPr>
                <w:rFonts w:ascii="宋体" w:hAnsi="宋体"/>
              </w:rPr>
              <w:t>.</w:t>
            </w:r>
            <w:r>
              <w:t>7</w:t>
            </w:r>
            <w:r>
              <w:rPr>
                <w:rFonts w:ascii="宋体" w:hAnsi="宋体"/>
              </w:rPr>
              <w:t>.</w:t>
            </w:r>
            <w:r>
              <w:t>4</w:t>
            </w:r>
            <w:r>
              <w:rPr>
                <w:rFonts w:ascii="宋体" w:hAnsi="宋体"/>
              </w:rPr>
              <w:t>项的规定</w:t>
            </w:r>
          </w:p>
        </w:tc>
      </w:tr>
      <w:tr w14:paraId="6D66A3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2" w:hRule="atLeast"/>
        </w:trPr>
        <w:tc>
          <w:tcPr>
            <w:tcW w:w="1013" w:type="dxa"/>
            <w:vMerge w:val="continue"/>
            <w:tcBorders>
              <w:top w:val="nil"/>
              <w:bottom w:val="single" w:color="auto" w:sz="4" w:space="0"/>
              <w:right w:val="single" w:color="auto" w:sz="4" w:space="0"/>
            </w:tcBorders>
            <w:vAlign w:val="center"/>
          </w:tcPr>
          <w:p w14:paraId="4F041899">
            <w:pPr>
              <w:rPr>
                <w:rFonts w:ascii="宋体" w:hAnsi="宋体"/>
              </w:rPr>
            </w:pPr>
          </w:p>
        </w:tc>
        <w:tc>
          <w:tcPr>
            <w:tcW w:w="1447" w:type="dxa"/>
            <w:vMerge w:val="continue"/>
            <w:tcBorders>
              <w:right w:val="single" w:color="auto" w:sz="4" w:space="0"/>
            </w:tcBorders>
            <w:vAlign w:val="center"/>
          </w:tcPr>
          <w:p w14:paraId="1914B007">
            <w:pPr>
              <w:rPr>
                <w:rFonts w:ascii="宋体" w:hAnsi="宋体"/>
              </w:rPr>
            </w:pPr>
          </w:p>
        </w:tc>
        <w:tc>
          <w:tcPr>
            <w:tcW w:w="2178" w:type="dxa"/>
            <w:tcBorders>
              <w:top w:val="single" w:color="auto" w:sz="4" w:space="0"/>
              <w:left w:val="single" w:color="auto" w:sz="4" w:space="0"/>
              <w:bottom w:val="single" w:color="auto" w:sz="4" w:space="0"/>
              <w:right w:val="single" w:color="auto" w:sz="4" w:space="0"/>
            </w:tcBorders>
            <w:vAlign w:val="center"/>
          </w:tcPr>
          <w:p w14:paraId="128A6F88">
            <w:pPr>
              <w:spacing w:line="440" w:lineRule="exact"/>
              <w:jc w:val="center"/>
              <w:rPr>
                <w:rFonts w:ascii="宋体" w:hAnsi="宋体"/>
              </w:rPr>
            </w:pPr>
            <w:r>
              <w:rPr>
                <w:rFonts w:ascii="宋体" w:hAnsi="宋体"/>
              </w:rPr>
              <w:t>联合体协议书</w:t>
            </w:r>
          </w:p>
        </w:tc>
        <w:tc>
          <w:tcPr>
            <w:tcW w:w="4747" w:type="dxa"/>
            <w:tcBorders>
              <w:top w:val="single" w:color="auto" w:sz="4" w:space="0"/>
              <w:left w:val="single" w:color="auto" w:sz="4" w:space="0"/>
              <w:bottom w:val="single" w:color="auto" w:sz="4" w:space="0"/>
              <w:right w:val="single" w:color="auto" w:sz="4" w:space="0"/>
            </w:tcBorders>
            <w:vAlign w:val="center"/>
          </w:tcPr>
          <w:p w14:paraId="3EF915EF">
            <w:pPr>
              <w:rPr>
                <w:rFonts w:ascii="宋体" w:hAnsi="宋体"/>
              </w:rPr>
            </w:pPr>
            <w:r>
              <w:rPr>
                <w:rFonts w:hint="eastAsia" w:ascii="宋体" w:hAnsi="宋体"/>
              </w:rPr>
              <w:t>供应商未以联合体形式申请</w:t>
            </w:r>
          </w:p>
        </w:tc>
      </w:tr>
      <w:tr w14:paraId="5185BF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13" w:type="dxa"/>
            <w:vMerge w:val="continue"/>
            <w:tcBorders>
              <w:top w:val="nil"/>
              <w:bottom w:val="single" w:color="auto" w:sz="4" w:space="0"/>
              <w:right w:val="single" w:color="auto" w:sz="4" w:space="0"/>
            </w:tcBorders>
            <w:vAlign w:val="center"/>
          </w:tcPr>
          <w:p w14:paraId="60FCAA9F">
            <w:pPr>
              <w:rPr>
                <w:rFonts w:ascii="宋体" w:hAnsi="宋体"/>
              </w:rPr>
            </w:pPr>
          </w:p>
        </w:tc>
        <w:tc>
          <w:tcPr>
            <w:tcW w:w="1447" w:type="dxa"/>
            <w:vMerge w:val="continue"/>
            <w:tcBorders>
              <w:right w:val="single" w:color="auto" w:sz="4" w:space="0"/>
            </w:tcBorders>
            <w:vAlign w:val="center"/>
          </w:tcPr>
          <w:p w14:paraId="64354E00">
            <w:pPr>
              <w:rPr>
                <w:rFonts w:ascii="宋体" w:hAnsi="宋体"/>
              </w:rPr>
            </w:pPr>
          </w:p>
        </w:tc>
        <w:tc>
          <w:tcPr>
            <w:tcW w:w="2178" w:type="dxa"/>
            <w:tcBorders>
              <w:top w:val="single" w:color="auto" w:sz="4" w:space="0"/>
              <w:left w:val="single" w:color="auto" w:sz="4" w:space="0"/>
              <w:bottom w:val="single" w:color="auto" w:sz="4" w:space="0"/>
              <w:right w:val="single" w:color="auto" w:sz="4" w:space="0"/>
            </w:tcBorders>
            <w:vAlign w:val="center"/>
          </w:tcPr>
          <w:p w14:paraId="40CF5F15">
            <w:pPr>
              <w:spacing w:line="440" w:lineRule="exact"/>
              <w:jc w:val="center"/>
              <w:rPr>
                <w:rFonts w:ascii="宋体" w:hAnsi="宋体"/>
              </w:rPr>
            </w:pPr>
            <w:r>
              <w:rPr>
                <w:rFonts w:ascii="宋体" w:hAnsi="宋体"/>
              </w:rPr>
              <w:t>响应函中实质性内容</w:t>
            </w:r>
          </w:p>
        </w:tc>
        <w:tc>
          <w:tcPr>
            <w:tcW w:w="4747" w:type="dxa"/>
            <w:tcBorders>
              <w:top w:val="single" w:color="auto" w:sz="4" w:space="0"/>
              <w:left w:val="single" w:color="auto" w:sz="4" w:space="0"/>
              <w:bottom w:val="single" w:color="auto" w:sz="4" w:space="0"/>
              <w:right w:val="single" w:color="auto" w:sz="4" w:space="0"/>
            </w:tcBorders>
            <w:vAlign w:val="center"/>
          </w:tcPr>
          <w:p w14:paraId="2B4F2236">
            <w:pPr>
              <w:spacing w:line="440" w:lineRule="exact"/>
              <w:rPr>
                <w:rFonts w:hint="default" w:ascii="宋体" w:hAnsi="宋体" w:eastAsia="宋体"/>
                <w:lang w:val="en-US" w:eastAsia="zh-CN"/>
              </w:rPr>
            </w:pPr>
            <w:r>
              <w:rPr>
                <w:rFonts w:hint="eastAsia" w:ascii="宋体" w:hAnsi="宋体"/>
                <w:color w:val="000000"/>
                <w:szCs w:val="21"/>
              </w:rPr>
              <w:t>按采购文件规定填报了项目名称、补遗书编号（如有）、</w:t>
            </w:r>
            <w:r>
              <w:rPr>
                <w:rFonts w:hint="eastAsia" w:ascii="宋体" w:hAnsi="宋体"/>
                <w:color w:val="000000"/>
                <w:szCs w:val="21"/>
                <w:lang w:eastAsia="zh-CN"/>
              </w:rPr>
              <w:t>服务期限</w:t>
            </w:r>
            <w:r>
              <w:rPr>
                <w:rFonts w:hint="eastAsia" w:ascii="宋体" w:hAnsi="宋体"/>
                <w:color w:val="000000"/>
                <w:szCs w:val="21"/>
              </w:rPr>
              <w:t>、</w:t>
            </w:r>
            <w:r>
              <w:rPr>
                <w:rFonts w:hint="eastAsia" w:ascii="宋体" w:hAnsi="宋体"/>
                <w:color w:val="000000"/>
                <w:szCs w:val="21"/>
                <w:lang w:val="en-US" w:eastAsia="zh-CN"/>
              </w:rPr>
              <w:t>服务</w:t>
            </w:r>
            <w:r>
              <w:rPr>
                <w:rFonts w:hint="eastAsia" w:ascii="宋体" w:hAnsi="宋体"/>
                <w:color w:val="000000"/>
                <w:szCs w:val="21"/>
              </w:rPr>
              <w:t>地点、</w:t>
            </w:r>
            <w:r>
              <w:rPr>
                <w:rFonts w:hint="eastAsia" w:ascii="宋体" w:hAnsi="宋体"/>
                <w:color w:val="000000"/>
                <w:szCs w:val="21"/>
                <w:lang w:val="en-US" w:eastAsia="zh-CN"/>
              </w:rPr>
              <w:t>服务</w:t>
            </w:r>
            <w:r>
              <w:rPr>
                <w:rFonts w:hint="eastAsia" w:ascii="宋体" w:hAnsi="宋体"/>
                <w:color w:val="000000"/>
                <w:szCs w:val="21"/>
              </w:rPr>
              <w:t>标准</w:t>
            </w:r>
            <w:r>
              <w:rPr>
                <w:rFonts w:hint="eastAsia" w:ascii="宋体" w:hAnsi="宋体"/>
                <w:color w:val="000000"/>
                <w:szCs w:val="21"/>
                <w:lang w:val="en-US" w:eastAsia="zh-CN"/>
              </w:rPr>
              <w:t>等内容</w:t>
            </w:r>
          </w:p>
        </w:tc>
      </w:tr>
      <w:tr w14:paraId="3DD220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3" w:hRule="atLeast"/>
        </w:trPr>
        <w:tc>
          <w:tcPr>
            <w:tcW w:w="1013" w:type="dxa"/>
            <w:vMerge w:val="continue"/>
            <w:tcBorders>
              <w:top w:val="nil"/>
              <w:bottom w:val="single" w:color="auto" w:sz="4" w:space="0"/>
              <w:right w:val="single" w:color="auto" w:sz="4" w:space="0"/>
            </w:tcBorders>
          </w:tcPr>
          <w:p w14:paraId="030D67EF">
            <w:pPr>
              <w:rPr>
                <w:rFonts w:ascii="宋体" w:hAnsi="宋体"/>
              </w:rPr>
            </w:pPr>
          </w:p>
        </w:tc>
        <w:tc>
          <w:tcPr>
            <w:tcW w:w="1447" w:type="dxa"/>
            <w:vMerge w:val="continue"/>
            <w:tcBorders>
              <w:left w:val="single" w:color="auto" w:sz="4" w:space="0"/>
              <w:right w:val="single" w:color="auto" w:sz="4" w:space="0"/>
            </w:tcBorders>
          </w:tcPr>
          <w:p w14:paraId="2D0DBDCB">
            <w:pPr>
              <w:rPr>
                <w:rFonts w:ascii="宋体" w:hAnsi="宋体"/>
              </w:rPr>
            </w:pPr>
          </w:p>
        </w:tc>
        <w:tc>
          <w:tcPr>
            <w:tcW w:w="2178" w:type="dxa"/>
            <w:tcBorders>
              <w:top w:val="single" w:color="auto" w:sz="4" w:space="0"/>
              <w:left w:val="single" w:color="auto" w:sz="4" w:space="0"/>
              <w:right w:val="single" w:color="auto" w:sz="4" w:space="0"/>
            </w:tcBorders>
            <w:vAlign w:val="center"/>
          </w:tcPr>
          <w:p w14:paraId="208811CF">
            <w:pPr>
              <w:spacing w:line="440" w:lineRule="exact"/>
              <w:jc w:val="center"/>
              <w:rPr>
                <w:rFonts w:ascii="宋体" w:hAnsi="宋体"/>
              </w:rPr>
            </w:pPr>
            <w:r>
              <w:rPr>
                <w:rFonts w:hint="eastAsia" w:ascii="宋体" w:hAnsi="宋体"/>
              </w:rPr>
              <w:t>格式、内容</w:t>
            </w:r>
          </w:p>
        </w:tc>
        <w:tc>
          <w:tcPr>
            <w:tcW w:w="4747" w:type="dxa"/>
            <w:tcBorders>
              <w:left w:val="single" w:color="auto" w:sz="4" w:space="0"/>
            </w:tcBorders>
            <w:vAlign w:val="center"/>
          </w:tcPr>
          <w:p w14:paraId="79E9C021">
            <w:pPr>
              <w:spacing w:line="440" w:lineRule="exact"/>
              <w:rPr>
                <w:rFonts w:ascii="宋体" w:hAnsi="宋体"/>
              </w:rPr>
            </w:pPr>
            <w:r>
              <w:rPr>
                <w:rFonts w:hint="eastAsia" w:ascii="宋体" w:hAnsi="宋体"/>
              </w:rPr>
              <w:t>响应文件按照采购文件规定的格式、内容填写，字迹清晰可辨：</w:t>
            </w:r>
          </w:p>
          <w:p w14:paraId="039FF151">
            <w:pPr>
              <w:spacing w:line="440" w:lineRule="exact"/>
              <w:rPr>
                <w:rFonts w:ascii="宋体" w:hAnsi="宋体"/>
              </w:rPr>
            </w:pPr>
            <w:r>
              <w:rPr>
                <w:rFonts w:hint="eastAsia" w:ascii="宋体" w:hAnsi="宋体"/>
              </w:rPr>
              <w:t>a</w:t>
            </w:r>
            <w:r>
              <w:rPr>
                <w:rFonts w:ascii="宋体" w:hAnsi="宋体"/>
              </w:rPr>
              <w:t>.</w:t>
            </w:r>
            <w:r>
              <w:rPr>
                <w:rFonts w:hint="eastAsia" w:ascii="宋体" w:hAnsi="宋体"/>
              </w:rPr>
              <w:t>响应函内容均符合采购文件规定；</w:t>
            </w:r>
          </w:p>
          <w:p w14:paraId="01AB535F">
            <w:pPr>
              <w:spacing w:line="440" w:lineRule="exact"/>
              <w:rPr>
                <w:rFonts w:ascii="宋体" w:hAnsi="宋体"/>
              </w:rPr>
            </w:pPr>
            <w:r>
              <w:rPr>
                <w:rFonts w:hint="eastAsia" w:ascii="宋体" w:hAnsi="宋体"/>
              </w:rPr>
              <w:t>b.响应文件组成齐全完整，内容均按规定填写。</w:t>
            </w:r>
          </w:p>
        </w:tc>
      </w:tr>
      <w:tr w14:paraId="26C11F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13" w:type="dxa"/>
            <w:vMerge w:val="restart"/>
            <w:tcBorders>
              <w:top w:val="single" w:color="auto" w:sz="4" w:space="0"/>
              <w:bottom w:val="single" w:color="auto" w:sz="4" w:space="0"/>
              <w:right w:val="single" w:color="auto" w:sz="4" w:space="0"/>
            </w:tcBorders>
            <w:vAlign w:val="center"/>
          </w:tcPr>
          <w:p w14:paraId="076D591A">
            <w:pPr>
              <w:spacing w:line="440" w:lineRule="exact"/>
              <w:jc w:val="center"/>
              <w:rPr>
                <w:rFonts w:ascii="宋体" w:hAnsi="宋体"/>
              </w:rPr>
            </w:pPr>
            <w:r>
              <w:t>2</w:t>
            </w:r>
            <w:r>
              <w:rPr>
                <w:rFonts w:ascii="宋体" w:hAnsi="宋体"/>
              </w:rPr>
              <w:t>.</w:t>
            </w:r>
            <w:r>
              <w:t>1</w:t>
            </w:r>
            <w:r>
              <w:rPr>
                <w:rFonts w:ascii="宋体" w:hAnsi="宋体"/>
              </w:rPr>
              <w:t>.</w:t>
            </w:r>
            <w:r>
              <w:t>2</w:t>
            </w:r>
          </w:p>
        </w:tc>
        <w:tc>
          <w:tcPr>
            <w:tcW w:w="1447" w:type="dxa"/>
            <w:vMerge w:val="restart"/>
            <w:tcBorders>
              <w:top w:val="single" w:color="auto" w:sz="4" w:space="0"/>
              <w:left w:val="single" w:color="auto" w:sz="4" w:space="0"/>
              <w:bottom w:val="single" w:color="auto" w:sz="4" w:space="0"/>
              <w:right w:val="single" w:color="auto" w:sz="4" w:space="0"/>
            </w:tcBorders>
            <w:vAlign w:val="center"/>
          </w:tcPr>
          <w:p w14:paraId="5A0280DF">
            <w:pPr>
              <w:spacing w:line="440" w:lineRule="exact"/>
              <w:jc w:val="center"/>
              <w:rPr>
                <w:rFonts w:ascii="宋体" w:hAnsi="宋体"/>
              </w:rPr>
            </w:pPr>
            <w:r>
              <w:rPr>
                <w:rFonts w:ascii="宋体" w:hAnsi="宋体"/>
              </w:rPr>
              <w:t>资格评审标准</w:t>
            </w:r>
          </w:p>
        </w:tc>
        <w:tc>
          <w:tcPr>
            <w:tcW w:w="2178" w:type="dxa"/>
            <w:tcBorders>
              <w:top w:val="single" w:color="auto" w:sz="4" w:space="0"/>
              <w:left w:val="single" w:color="auto" w:sz="4" w:space="0"/>
              <w:bottom w:val="single" w:color="auto" w:sz="4" w:space="0"/>
              <w:right w:val="single" w:color="auto" w:sz="4" w:space="0"/>
            </w:tcBorders>
            <w:vAlign w:val="center"/>
          </w:tcPr>
          <w:p w14:paraId="5B071112">
            <w:pPr>
              <w:spacing w:line="440" w:lineRule="exact"/>
              <w:jc w:val="center"/>
              <w:rPr>
                <w:rFonts w:ascii="宋体" w:hAnsi="宋体"/>
              </w:rPr>
            </w:pPr>
            <w:r>
              <w:rPr>
                <w:rFonts w:ascii="宋体" w:hAnsi="宋体"/>
              </w:rPr>
              <w:t>依法设立</w:t>
            </w:r>
          </w:p>
        </w:tc>
        <w:tc>
          <w:tcPr>
            <w:tcW w:w="4747" w:type="dxa"/>
            <w:tcBorders>
              <w:top w:val="single" w:color="auto" w:sz="4" w:space="0"/>
              <w:left w:val="single" w:color="auto" w:sz="4" w:space="0"/>
              <w:bottom w:val="single" w:color="auto" w:sz="4" w:space="0"/>
              <w:right w:val="single" w:color="auto" w:sz="4" w:space="0"/>
            </w:tcBorders>
            <w:vAlign w:val="center"/>
          </w:tcPr>
          <w:p w14:paraId="37E42CE1">
            <w:pPr>
              <w:spacing w:line="440" w:lineRule="exact"/>
              <w:rPr>
                <w:rFonts w:ascii="宋体" w:hAnsi="宋体"/>
              </w:rPr>
            </w:pPr>
            <w:r>
              <w:rPr>
                <w:rFonts w:ascii="宋体" w:hAnsi="宋体"/>
              </w:rPr>
              <w:t>符合第一章第</w:t>
            </w:r>
            <w:r>
              <w:t>3</w:t>
            </w:r>
            <w:r>
              <w:rPr>
                <w:rFonts w:ascii="宋体" w:hAnsi="宋体"/>
              </w:rPr>
              <w:t>.</w:t>
            </w:r>
            <w:r>
              <w:t>1</w:t>
            </w:r>
            <w:r>
              <w:rPr>
                <w:rFonts w:ascii="宋体" w:hAnsi="宋体"/>
              </w:rPr>
              <w:t>款及供应商须知第</w:t>
            </w:r>
            <w:r>
              <w:t>3</w:t>
            </w:r>
            <w:r>
              <w:rPr>
                <w:rFonts w:ascii="宋体" w:hAnsi="宋体"/>
              </w:rPr>
              <w:t>.</w:t>
            </w:r>
            <w:r>
              <w:t>5</w:t>
            </w:r>
            <w:r>
              <w:rPr>
                <w:rFonts w:ascii="宋体" w:hAnsi="宋体"/>
              </w:rPr>
              <w:t>.</w:t>
            </w:r>
            <w:r>
              <w:t>1</w:t>
            </w:r>
            <w:r>
              <w:rPr>
                <w:rFonts w:ascii="宋体" w:hAnsi="宋体"/>
              </w:rPr>
              <w:t>款规定</w:t>
            </w:r>
          </w:p>
        </w:tc>
      </w:tr>
      <w:tr w14:paraId="56CC11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13" w:type="dxa"/>
            <w:vMerge w:val="continue"/>
            <w:tcBorders>
              <w:top w:val="single" w:color="auto" w:sz="4" w:space="0"/>
              <w:bottom w:val="single" w:color="auto" w:sz="4" w:space="0"/>
              <w:right w:val="single" w:color="auto" w:sz="4" w:space="0"/>
            </w:tcBorders>
            <w:vAlign w:val="center"/>
          </w:tcPr>
          <w:p w14:paraId="39DD26FA">
            <w:pPr>
              <w:rPr>
                <w:rFonts w:ascii="宋体" w:hAnsi="宋体"/>
              </w:rPr>
            </w:pPr>
          </w:p>
        </w:tc>
        <w:tc>
          <w:tcPr>
            <w:tcW w:w="1447" w:type="dxa"/>
            <w:vMerge w:val="continue"/>
            <w:tcBorders>
              <w:top w:val="single" w:color="auto" w:sz="4" w:space="0"/>
              <w:left w:val="single" w:color="auto" w:sz="4" w:space="0"/>
              <w:bottom w:val="single" w:color="auto" w:sz="4" w:space="0"/>
              <w:right w:val="single" w:color="auto" w:sz="4" w:space="0"/>
            </w:tcBorders>
            <w:vAlign w:val="center"/>
          </w:tcPr>
          <w:p w14:paraId="4ECEAF2E">
            <w:pPr>
              <w:rPr>
                <w:rFonts w:ascii="宋体" w:hAnsi="宋体"/>
              </w:rPr>
            </w:pPr>
          </w:p>
        </w:tc>
        <w:tc>
          <w:tcPr>
            <w:tcW w:w="2178" w:type="dxa"/>
            <w:tcBorders>
              <w:top w:val="single" w:color="auto" w:sz="4" w:space="0"/>
              <w:left w:val="single" w:color="auto" w:sz="4" w:space="0"/>
              <w:bottom w:val="single" w:color="auto" w:sz="4" w:space="0"/>
              <w:right w:val="single" w:color="auto" w:sz="4" w:space="0"/>
            </w:tcBorders>
            <w:vAlign w:val="center"/>
          </w:tcPr>
          <w:p w14:paraId="46C2B137">
            <w:pPr>
              <w:spacing w:line="440" w:lineRule="exact"/>
              <w:jc w:val="center"/>
              <w:rPr>
                <w:rFonts w:ascii="宋体" w:hAnsi="宋体"/>
              </w:rPr>
            </w:pPr>
            <w:r>
              <w:rPr>
                <w:rFonts w:ascii="宋体" w:hAnsi="宋体"/>
              </w:rPr>
              <w:t>资质要求</w:t>
            </w:r>
          </w:p>
        </w:tc>
        <w:tc>
          <w:tcPr>
            <w:tcW w:w="4747" w:type="dxa"/>
            <w:tcBorders>
              <w:top w:val="single" w:color="auto" w:sz="4" w:space="0"/>
              <w:left w:val="single" w:color="auto" w:sz="4" w:space="0"/>
              <w:bottom w:val="single" w:color="auto" w:sz="4" w:space="0"/>
              <w:right w:val="single" w:color="auto" w:sz="4" w:space="0"/>
            </w:tcBorders>
            <w:vAlign w:val="center"/>
          </w:tcPr>
          <w:p w14:paraId="7EDB0822">
            <w:pPr>
              <w:spacing w:line="440" w:lineRule="exact"/>
              <w:rPr>
                <w:rFonts w:ascii="宋体" w:hAnsi="宋体"/>
              </w:rPr>
            </w:pPr>
            <w:r>
              <w:rPr>
                <w:rFonts w:ascii="宋体" w:hAnsi="宋体"/>
              </w:rPr>
              <w:t>符合第一章第</w:t>
            </w:r>
            <w:r>
              <w:t>3</w:t>
            </w:r>
            <w:r>
              <w:rPr>
                <w:rFonts w:ascii="宋体" w:hAnsi="宋体"/>
              </w:rPr>
              <w:t>.</w:t>
            </w:r>
            <w:r>
              <w:t>1</w:t>
            </w:r>
            <w:r>
              <w:rPr>
                <w:rFonts w:ascii="宋体" w:hAnsi="宋体"/>
              </w:rPr>
              <w:t>款及供应商须知第</w:t>
            </w:r>
            <w:r>
              <w:t>3</w:t>
            </w:r>
            <w:r>
              <w:rPr>
                <w:rFonts w:ascii="宋体" w:hAnsi="宋体"/>
              </w:rPr>
              <w:t>.</w:t>
            </w:r>
            <w:r>
              <w:t>5</w:t>
            </w:r>
            <w:r>
              <w:rPr>
                <w:rFonts w:ascii="宋体" w:hAnsi="宋体"/>
              </w:rPr>
              <w:t>.</w:t>
            </w:r>
            <w:r>
              <w:t>2</w:t>
            </w:r>
            <w:r>
              <w:rPr>
                <w:rFonts w:ascii="宋体" w:hAnsi="宋体"/>
              </w:rPr>
              <w:t>款规定</w:t>
            </w:r>
          </w:p>
        </w:tc>
      </w:tr>
      <w:tr w14:paraId="383BA3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13" w:type="dxa"/>
            <w:vMerge w:val="continue"/>
            <w:tcBorders>
              <w:top w:val="single" w:color="auto" w:sz="4" w:space="0"/>
              <w:bottom w:val="single" w:color="auto" w:sz="4" w:space="0"/>
              <w:right w:val="single" w:color="auto" w:sz="4" w:space="0"/>
            </w:tcBorders>
            <w:vAlign w:val="center"/>
          </w:tcPr>
          <w:p w14:paraId="1ADADD4A">
            <w:pPr>
              <w:rPr>
                <w:rFonts w:ascii="宋体" w:hAnsi="宋体"/>
              </w:rPr>
            </w:pPr>
          </w:p>
        </w:tc>
        <w:tc>
          <w:tcPr>
            <w:tcW w:w="1447" w:type="dxa"/>
            <w:vMerge w:val="continue"/>
            <w:tcBorders>
              <w:top w:val="single" w:color="auto" w:sz="4" w:space="0"/>
              <w:left w:val="single" w:color="auto" w:sz="4" w:space="0"/>
              <w:bottom w:val="single" w:color="auto" w:sz="4" w:space="0"/>
              <w:right w:val="single" w:color="auto" w:sz="4" w:space="0"/>
            </w:tcBorders>
            <w:vAlign w:val="center"/>
          </w:tcPr>
          <w:p w14:paraId="415F2289">
            <w:pPr>
              <w:rPr>
                <w:rFonts w:ascii="宋体" w:hAnsi="宋体"/>
              </w:rPr>
            </w:pPr>
          </w:p>
        </w:tc>
        <w:tc>
          <w:tcPr>
            <w:tcW w:w="2178" w:type="dxa"/>
            <w:tcBorders>
              <w:top w:val="single" w:color="auto" w:sz="4" w:space="0"/>
              <w:left w:val="single" w:color="auto" w:sz="4" w:space="0"/>
              <w:bottom w:val="single" w:color="auto" w:sz="4" w:space="0"/>
              <w:right w:val="single" w:color="auto" w:sz="4" w:space="0"/>
            </w:tcBorders>
            <w:vAlign w:val="center"/>
          </w:tcPr>
          <w:p w14:paraId="3D04DBE8">
            <w:pPr>
              <w:spacing w:line="440" w:lineRule="exact"/>
              <w:jc w:val="center"/>
              <w:rPr>
                <w:rFonts w:ascii="宋体" w:hAnsi="宋体"/>
              </w:rPr>
            </w:pPr>
            <w:r>
              <w:rPr>
                <w:rFonts w:ascii="宋体" w:hAnsi="宋体"/>
              </w:rPr>
              <w:t>业绩要求</w:t>
            </w:r>
          </w:p>
        </w:tc>
        <w:tc>
          <w:tcPr>
            <w:tcW w:w="4747" w:type="dxa"/>
            <w:tcBorders>
              <w:top w:val="single" w:color="auto" w:sz="4" w:space="0"/>
              <w:left w:val="single" w:color="auto" w:sz="4" w:space="0"/>
              <w:bottom w:val="single" w:color="auto" w:sz="4" w:space="0"/>
              <w:right w:val="single" w:color="auto" w:sz="4" w:space="0"/>
            </w:tcBorders>
            <w:vAlign w:val="center"/>
          </w:tcPr>
          <w:p w14:paraId="50341217">
            <w:pPr>
              <w:spacing w:line="440" w:lineRule="exact"/>
              <w:rPr>
                <w:rFonts w:ascii="宋体" w:hAnsi="宋体"/>
              </w:rPr>
            </w:pPr>
            <w:r>
              <w:rPr>
                <w:rFonts w:ascii="宋体" w:hAnsi="宋体"/>
              </w:rPr>
              <w:t>符合第一章第</w:t>
            </w:r>
            <w:r>
              <w:t>3</w:t>
            </w:r>
            <w:r>
              <w:rPr>
                <w:rFonts w:ascii="宋体" w:hAnsi="宋体"/>
              </w:rPr>
              <w:t>.</w:t>
            </w:r>
            <w:r>
              <w:t>1</w:t>
            </w:r>
            <w:r>
              <w:rPr>
                <w:rFonts w:ascii="宋体" w:hAnsi="宋体"/>
              </w:rPr>
              <w:t>款及供应商须知第</w:t>
            </w:r>
            <w:r>
              <w:t>3</w:t>
            </w:r>
            <w:r>
              <w:rPr>
                <w:rFonts w:ascii="宋体" w:hAnsi="宋体"/>
              </w:rPr>
              <w:t>.</w:t>
            </w:r>
            <w:r>
              <w:t>5</w:t>
            </w:r>
            <w:r>
              <w:rPr>
                <w:rFonts w:ascii="宋体" w:hAnsi="宋体"/>
              </w:rPr>
              <w:t>.</w:t>
            </w:r>
            <w:r>
              <w:t>4</w:t>
            </w:r>
            <w:r>
              <w:rPr>
                <w:rFonts w:ascii="宋体" w:hAnsi="宋体"/>
              </w:rPr>
              <w:t>款规定</w:t>
            </w:r>
          </w:p>
        </w:tc>
      </w:tr>
      <w:tr w14:paraId="3F0932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15" w:hRule="atLeast"/>
        </w:trPr>
        <w:tc>
          <w:tcPr>
            <w:tcW w:w="1013" w:type="dxa"/>
            <w:vMerge w:val="continue"/>
            <w:tcBorders>
              <w:top w:val="single" w:color="auto" w:sz="4" w:space="0"/>
              <w:bottom w:val="single" w:color="auto" w:sz="4" w:space="0"/>
              <w:right w:val="single" w:color="auto" w:sz="4" w:space="0"/>
            </w:tcBorders>
            <w:vAlign w:val="center"/>
          </w:tcPr>
          <w:p w14:paraId="2DF6CBAE">
            <w:pPr>
              <w:rPr>
                <w:rFonts w:ascii="宋体" w:hAnsi="宋体"/>
              </w:rPr>
            </w:pPr>
          </w:p>
        </w:tc>
        <w:tc>
          <w:tcPr>
            <w:tcW w:w="1447" w:type="dxa"/>
            <w:vMerge w:val="continue"/>
            <w:tcBorders>
              <w:top w:val="single" w:color="auto" w:sz="4" w:space="0"/>
              <w:left w:val="single" w:color="auto" w:sz="4" w:space="0"/>
              <w:bottom w:val="single" w:color="auto" w:sz="4" w:space="0"/>
              <w:right w:val="single" w:color="auto" w:sz="4" w:space="0"/>
            </w:tcBorders>
            <w:vAlign w:val="center"/>
          </w:tcPr>
          <w:p w14:paraId="15FE5017">
            <w:pPr>
              <w:rPr>
                <w:rFonts w:ascii="宋体" w:hAnsi="宋体"/>
              </w:rPr>
            </w:pPr>
          </w:p>
        </w:tc>
        <w:tc>
          <w:tcPr>
            <w:tcW w:w="2178" w:type="dxa"/>
            <w:tcBorders>
              <w:top w:val="single" w:color="auto" w:sz="4" w:space="0"/>
              <w:left w:val="single" w:color="auto" w:sz="4" w:space="0"/>
              <w:bottom w:val="single" w:color="auto" w:sz="4" w:space="0"/>
              <w:right w:val="single" w:color="auto" w:sz="4" w:space="0"/>
            </w:tcBorders>
            <w:vAlign w:val="center"/>
          </w:tcPr>
          <w:p w14:paraId="5EB34D6A">
            <w:pPr>
              <w:spacing w:line="440" w:lineRule="exact"/>
              <w:jc w:val="center"/>
              <w:rPr>
                <w:rFonts w:ascii="宋体" w:hAnsi="宋体"/>
              </w:rPr>
            </w:pPr>
            <w:r>
              <w:rPr>
                <w:rFonts w:ascii="宋体" w:hAnsi="宋体"/>
              </w:rPr>
              <w:t>信誉要求</w:t>
            </w:r>
          </w:p>
        </w:tc>
        <w:tc>
          <w:tcPr>
            <w:tcW w:w="4747" w:type="dxa"/>
            <w:tcBorders>
              <w:top w:val="single" w:color="auto" w:sz="4" w:space="0"/>
              <w:left w:val="single" w:color="auto" w:sz="4" w:space="0"/>
              <w:bottom w:val="single" w:color="auto" w:sz="4" w:space="0"/>
              <w:right w:val="single" w:color="auto" w:sz="4" w:space="0"/>
            </w:tcBorders>
            <w:vAlign w:val="center"/>
          </w:tcPr>
          <w:p w14:paraId="23E3614D">
            <w:pPr>
              <w:spacing w:line="440" w:lineRule="exact"/>
              <w:rPr>
                <w:rFonts w:ascii="宋体" w:hAnsi="宋体"/>
              </w:rPr>
            </w:pPr>
            <w:r>
              <w:rPr>
                <w:rFonts w:ascii="宋体" w:hAnsi="宋体"/>
              </w:rPr>
              <w:t>符合第一章第</w:t>
            </w:r>
            <w:r>
              <w:t>3</w:t>
            </w:r>
            <w:r>
              <w:rPr>
                <w:rFonts w:ascii="宋体" w:hAnsi="宋体"/>
              </w:rPr>
              <w:t>.</w:t>
            </w:r>
            <w:r>
              <w:t>1</w:t>
            </w:r>
            <w:r>
              <w:rPr>
                <w:rFonts w:ascii="宋体" w:hAnsi="宋体"/>
              </w:rPr>
              <w:t>款及供应商须知第</w:t>
            </w:r>
            <w:r>
              <w:t>3</w:t>
            </w:r>
            <w:r>
              <w:rPr>
                <w:rFonts w:ascii="宋体" w:hAnsi="宋体"/>
              </w:rPr>
              <w:t>.</w:t>
            </w:r>
            <w:r>
              <w:t>5</w:t>
            </w:r>
            <w:r>
              <w:rPr>
                <w:rFonts w:ascii="宋体" w:hAnsi="宋体"/>
              </w:rPr>
              <w:t>.</w:t>
            </w:r>
            <w:r>
              <w:t>5</w:t>
            </w:r>
            <w:r>
              <w:rPr>
                <w:rFonts w:ascii="宋体" w:hAnsi="宋体"/>
              </w:rPr>
              <w:t>款规定</w:t>
            </w:r>
          </w:p>
        </w:tc>
      </w:tr>
      <w:tr w14:paraId="2F6B06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15" w:hRule="atLeast"/>
        </w:trPr>
        <w:tc>
          <w:tcPr>
            <w:tcW w:w="1013" w:type="dxa"/>
            <w:vMerge w:val="continue"/>
            <w:tcBorders>
              <w:bottom w:val="single" w:color="auto" w:sz="4" w:space="0"/>
              <w:right w:val="single" w:color="auto" w:sz="4" w:space="0"/>
            </w:tcBorders>
            <w:vAlign w:val="center"/>
          </w:tcPr>
          <w:p w14:paraId="5DB6F167">
            <w:pPr>
              <w:spacing w:line="440" w:lineRule="exact"/>
            </w:pPr>
          </w:p>
        </w:tc>
        <w:tc>
          <w:tcPr>
            <w:tcW w:w="1447" w:type="dxa"/>
            <w:vMerge w:val="continue"/>
            <w:tcBorders>
              <w:left w:val="single" w:color="auto" w:sz="4" w:space="0"/>
              <w:bottom w:val="single" w:color="auto" w:sz="4" w:space="0"/>
              <w:right w:val="single" w:color="auto" w:sz="4" w:space="0"/>
            </w:tcBorders>
            <w:vAlign w:val="center"/>
          </w:tcPr>
          <w:p w14:paraId="1E184AC2">
            <w:pPr>
              <w:spacing w:line="440" w:lineRule="exact"/>
            </w:pPr>
          </w:p>
        </w:tc>
        <w:tc>
          <w:tcPr>
            <w:tcW w:w="2178" w:type="dxa"/>
            <w:tcBorders>
              <w:top w:val="single" w:color="auto" w:sz="4" w:space="0"/>
              <w:left w:val="single" w:color="auto" w:sz="4" w:space="0"/>
              <w:bottom w:val="single" w:color="auto" w:sz="4" w:space="0"/>
              <w:right w:val="single" w:color="auto" w:sz="4" w:space="0"/>
            </w:tcBorders>
            <w:vAlign w:val="center"/>
          </w:tcPr>
          <w:p w14:paraId="50E9673F">
            <w:pPr>
              <w:spacing w:line="440" w:lineRule="exact"/>
              <w:ind w:firstLine="0" w:firstLineChars="0"/>
              <w:jc w:val="center"/>
              <w:rPr>
                <w:rFonts w:hint="eastAsia" w:ascii="宋体" w:hAnsi="宋体"/>
                <w:lang w:val="en-US" w:eastAsia="zh-CN"/>
              </w:rPr>
            </w:pPr>
            <w:r>
              <w:rPr>
                <w:rFonts w:ascii="宋体" w:hAnsi="宋体" w:eastAsia="宋体" w:cs="Times New Roman"/>
                <w:sz w:val="21"/>
                <w:szCs w:val="24"/>
              </w:rPr>
              <w:t>人员要求</w:t>
            </w:r>
          </w:p>
        </w:tc>
        <w:tc>
          <w:tcPr>
            <w:tcW w:w="4747" w:type="dxa"/>
            <w:tcBorders>
              <w:top w:val="single" w:color="auto" w:sz="4" w:space="0"/>
              <w:left w:val="single" w:color="auto" w:sz="4" w:space="0"/>
              <w:bottom w:val="single" w:color="auto" w:sz="4" w:space="0"/>
              <w:right w:val="single" w:color="auto" w:sz="4" w:space="0"/>
            </w:tcBorders>
            <w:vAlign w:val="center"/>
          </w:tcPr>
          <w:p w14:paraId="143E405A">
            <w:pPr>
              <w:spacing w:line="440" w:lineRule="exact"/>
              <w:ind w:firstLine="0" w:firstLineChars="0"/>
              <w:rPr>
                <w:rFonts w:ascii="宋体" w:hAnsi="宋体"/>
              </w:rPr>
            </w:pPr>
            <w:r>
              <w:rPr>
                <w:rFonts w:ascii="宋体" w:hAnsi="宋体" w:eastAsia="宋体" w:cs="Times New Roman"/>
                <w:sz w:val="21"/>
                <w:szCs w:val="24"/>
              </w:rPr>
              <w:t>符合第一章第</w:t>
            </w:r>
            <w:r>
              <w:rPr>
                <w:rFonts w:eastAsia="宋体" w:cs="Times New Roman"/>
                <w:sz w:val="21"/>
                <w:szCs w:val="24"/>
              </w:rPr>
              <w:t>3</w:t>
            </w:r>
            <w:r>
              <w:rPr>
                <w:rFonts w:ascii="宋体" w:hAnsi="宋体" w:eastAsia="宋体" w:cs="Times New Roman"/>
                <w:sz w:val="21"/>
                <w:szCs w:val="24"/>
              </w:rPr>
              <w:t>.</w:t>
            </w:r>
            <w:r>
              <w:rPr>
                <w:rFonts w:eastAsia="宋体" w:cs="Times New Roman"/>
                <w:sz w:val="21"/>
                <w:szCs w:val="24"/>
              </w:rPr>
              <w:t>1</w:t>
            </w:r>
            <w:r>
              <w:rPr>
                <w:rFonts w:ascii="宋体" w:hAnsi="宋体" w:eastAsia="宋体" w:cs="Times New Roman"/>
                <w:sz w:val="21"/>
                <w:szCs w:val="24"/>
              </w:rPr>
              <w:t>款及供应商须知第</w:t>
            </w:r>
            <w:r>
              <w:rPr>
                <w:rFonts w:eastAsia="宋体" w:cs="Times New Roman"/>
                <w:sz w:val="21"/>
                <w:szCs w:val="24"/>
              </w:rPr>
              <w:t>3</w:t>
            </w:r>
            <w:r>
              <w:rPr>
                <w:rFonts w:ascii="宋体" w:hAnsi="宋体" w:eastAsia="宋体" w:cs="Times New Roman"/>
                <w:sz w:val="21"/>
                <w:szCs w:val="24"/>
              </w:rPr>
              <w:t>.</w:t>
            </w:r>
            <w:r>
              <w:rPr>
                <w:rFonts w:eastAsia="宋体" w:cs="Times New Roman"/>
                <w:sz w:val="21"/>
                <w:szCs w:val="24"/>
              </w:rPr>
              <w:t>5</w:t>
            </w:r>
            <w:r>
              <w:rPr>
                <w:rFonts w:ascii="宋体" w:hAnsi="宋体" w:eastAsia="宋体" w:cs="Times New Roman"/>
                <w:sz w:val="21"/>
                <w:szCs w:val="24"/>
              </w:rPr>
              <w:t>.</w:t>
            </w:r>
            <w:r>
              <w:rPr>
                <w:rFonts w:eastAsia="宋体" w:cs="Times New Roman"/>
                <w:sz w:val="21"/>
                <w:szCs w:val="24"/>
              </w:rPr>
              <w:t>6</w:t>
            </w:r>
            <w:r>
              <w:rPr>
                <w:rFonts w:ascii="宋体" w:hAnsi="宋体" w:eastAsia="宋体" w:cs="Times New Roman"/>
                <w:sz w:val="21"/>
                <w:szCs w:val="24"/>
              </w:rPr>
              <w:t>款规定</w:t>
            </w:r>
          </w:p>
        </w:tc>
      </w:tr>
      <w:tr w14:paraId="04CDB0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15" w:hRule="atLeast"/>
        </w:trPr>
        <w:tc>
          <w:tcPr>
            <w:tcW w:w="1013" w:type="dxa"/>
            <w:vMerge w:val="continue"/>
            <w:tcBorders>
              <w:bottom w:val="single" w:color="auto" w:sz="4" w:space="0"/>
              <w:right w:val="single" w:color="auto" w:sz="4" w:space="0"/>
            </w:tcBorders>
            <w:vAlign w:val="center"/>
          </w:tcPr>
          <w:p w14:paraId="7F0BF54F">
            <w:pPr>
              <w:spacing w:line="440" w:lineRule="exact"/>
            </w:pPr>
          </w:p>
        </w:tc>
        <w:tc>
          <w:tcPr>
            <w:tcW w:w="1447" w:type="dxa"/>
            <w:vMerge w:val="continue"/>
            <w:tcBorders>
              <w:left w:val="single" w:color="auto" w:sz="4" w:space="0"/>
              <w:bottom w:val="single" w:color="auto" w:sz="4" w:space="0"/>
              <w:right w:val="single" w:color="auto" w:sz="4" w:space="0"/>
            </w:tcBorders>
            <w:vAlign w:val="center"/>
          </w:tcPr>
          <w:p w14:paraId="7DFB3906">
            <w:pPr>
              <w:spacing w:line="440" w:lineRule="exact"/>
            </w:pPr>
          </w:p>
        </w:tc>
        <w:tc>
          <w:tcPr>
            <w:tcW w:w="2178" w:type="dxa"/>
            <w:tcBorders>
              <w:top w:val="single" w:color="auto" w:sz="4" w:space="0"/>
              <w:left w:val="single" w:color="auto" w:sz="4" w:space="0"/>
              <w:bottom w:val="single" w:color="auto" w:sz="4" w:space="0"/>
              <w:right w:val="single" w:color="auto" w:sz="4" w:space="0"/>
            </w:tcBorders>
            <w:vAlign w:val="center"/>
          </w:tcPr>
          <w:p w14:paraId="723976CA">
            <w:pPr>
              <w:spacing w:line="440" w:lineRule="exact"/>
              <w:jc w:val="center"/>
              <w:rPr>
                <w:rFonts w:hint="default" w:ascii="宋体" w:hAnsi="宋体" w:eastAsia="宋体"/>
                <w:lang w:val="en-US" w:eastAsia="zh-CN"/>
              </w:rPr>
            </w:pPr>
            <w:r>
              <w:rPr>
                <w:rFonts w:hint="eastAsia" w:ascii="宋体" w:hAnsi="宋体"/>
                <w:lang w:val="en-US" w:eastAsia="zh-CN"/>
              </w:rPr>
              <w:t>其他要求</w:t>
            </w:r>
          </w:p>
        </w:tc>
        <w:tc>
          <w:tcPr>
            <w:tcW w:w="4747" w:type="dxa"/>
            <w:tcBorders>
              <w:top w:val="single" w:color="auto" w:sz="4" w:space="0"/>
              <w:left w:val="single" w:color="auto" w:sz="4" w:space="0"/>
              <w:bottom w:val="single" w:color="auto" w:sz="4" w:space="0"/>
              <w:right w:val="single" w:color="auto" w:sz="4" w:space="0"/>
            </w:tcBorders>
            <w:vAlign w:val="center"/>
          </w:tcPr>
          <w:p w14:paraId="03AEB46A">
            <w:pPr>
              <w:spacing w:line="440" w:lineRule="exact"/>
              <w:rPr>
                <w:rFonts w:ascii="宋体" w:hAnsi="宋体"/>
              </w:rPr>
            </w:pPr>
            <w:r>
              <w:rPr>
                <w:rFonts w:ascii="宋体" w:hAnsi="宋体"/>
              </w:rPr>
              <w:t>符合第一章第</w:t>
            </w:r>
            <w:r>
              <w:t>3</w:t>
            </w:r>
            <w:r>
              <w:rPr>
                <w:rFonts w:ascii="宋体" w:hAnsi="宋体"/>
              </w:rPr>
              <w:t>.</w:t>
            </w:r>
            <w:r>
              <w:t>1</w:t>
            </w:r>
            <w:r>
              <w:rPr>
                <w:rFonts w:ascii="宋体" w:hAnsi="宋体"/>
              </w:rPr>
              <w:t>款及供应商须知第</w:t>
            </w:r>
            <w:r>
              <w:t>3</w:t>
            </w:r>
            <w:r>
              <w:rPr>
                <w:rFonts w:ascii="宋体" w:hAnsi="宋体"/>
              </w:rPr>
              <w:t>.</w:t>
            </w:r>
            <w:r>
              <w:t>5</w:t>
            </w:r>
            <w:r>
              <w:rPr>
                <w:rFonts w:ascii="宋体" w:hAnsi="宋体"/>
              </w:rPr>
              <w:t>.</w:t>
            </w:r>
            <w:r>
              <w:rPr>
                <w:rFonts w:hint="eastAsia"/>
                <w:lang w:val="en-US" w:eastAsia="zh-CN"/>
              </w:rPr>
              <w:t>7</w:t>
            </w:r>
            <w:r>
              <w:rPr>
                <w:rFonts w:ascii="宋体" w:hAnsi="宋体"/>
              </w:rPr>
              <w:t>款规定</w:t>
            </w:r>
          </w:p>
        </w:tc>
      </w:tr>
      <w:tr w14:paraId="5044AE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13" w:type="dxa"/>
            <w:vMerge w:val="continue"/>
            <w:tcBorders>
              <w:top w:val="single" w:color="auto" w:sz="4" w:space="0"/>
              <w:bottom w:val="single" w:color="auto" w:sz="4" w:space="0"/>
              <w:right w:val="single" w:color="auto" w:sz="4" w:space="0"/>
            </w:tcBorders>
            <w:vAlign w:val="center"/>
          </w:tcPr>
          <w:p w14:paraId="35C910B3">
            <w:pPr>
              <w:rPr>
                <w:rFonts w:ascii="宋体" w:hAnsi="宋体"/>
              </w:rPr>
            </w:pPr>
          </w:p>
        </w:tc>
        <w:tc>
          <w:tcPr>
            <w:tcW w:w="1447" w:type="dxa"/>
            <w:vMerge w:val="continue"/>
            <w:tcBorders>
              <w:top w:val="single" w:color="auto" w:sz="4" w:space="0"/>
              <w:left w:val="single" w:color="auto" w:sz="4" w:space="0"/>
              <w:bottom w:val="single" w:color="auto" w:sz="4" w:space="0"/>
              <w:right w:val="single" w:color="auto" w:sz="4" w:space="0"/>
            </w:tcBorders>
            <w:vAlign w:val="center"/>
          </w:tcPr>
          <w:p w14:paraId="0FA4F8E3">
            <w:pPr>
              <w:rPr>
                <w:rFonts w:ascii="宋体" w:hAnsi="宋体"/>
              </w:rPr>
            </w:pPr>
          </w:p>
        </w:tc>
        <w:tc>
          <w:tcPr>
            <w:tcW w:w="2178" w:type="dxa"/>
            <w:tcBorders>
              <w:top w:val="single" w:color="auto" w:sz="4" w:space="0"/>
              <w:left w:val="single" w:color="auto" w:sz="4" w:space="0"/>
              <w:bottom w:val="single" w:color="auto" w:sz="4" w:space="0"/>
              <w:right w:val="single" w:color="auto" w:sz="4" w:space="0"/>
            </w:tcBorders>
            <w:vAlign w:val="center"/>
          </w:tcPr>
          <w:p w14:paraId="10AA69C7">
            <w:pPr>
              <w:spacing w:line="440" w:lineRule="exact"/>
              <w:jc w:val="center"/>
              <w:rPr>
                <w:rFonts w:ascii="宋体" w:hAnsi="宋体"/>
              </w:rPr>
            </w:pPr>
            <w:r>
              <w:rPr>
                <w:rFonts w:ascii="宋体" w:hAnsi="宋体"/>
              </w:rPr>
              <w:t>不存在第一章第</w:t>
            </w:r>
            <w:r>
              <w:rPr>
                <w:szCs w:val="21"/>
              </w:rPr>
              <w:t>3</w:t>
            </w:r>
            <w:r>
              <w:rPr>
                <w:rFonts w:ascii="宋体" w:hAnsi="宋体"/>
                <w:szCs w:val="21"/>
              </w:rPr>
              <w:t>.</w:t>
            </w:r>
            <w:r>
              <w:rPr>
                <w:szCs w:val="21"/>
              </w:rPr>
              <w:t>2</w:t>
            </w:r>
            <w:r>
              <w:rPr>
                <w:rFonts w:ascii="宋体" w:hAnsi="宋体"/>
                <w:szCs w:val="21"/>
              </w:rPr>
              <w:t>款</w:t>
            </w:r>
            <w:r>
              <w:rPr>
                <w:rFonts w:ascii="宋体" w:hAnsi="宋体"/>
              </w:rPr>
              <w:t>情形</w:t>
            </w:r>
          </w:p>
        </w:tc>
        <w:tc>
          <w:tcPr>
            <w:tcW w:w="4747" w:type="dxa"/>
            <w:tcBorders>
              <w:top w:val="single" w:color="auto" w:sz="4" w:space="0"/>
              <w:left w:val="single" w:color="auto" w:sz="4" w:space="0"/>
              <w:bottom w:val="single" w:color="auto" w:sz="4" w:space="0"/>
              <w:right w:val="single" w:color="auto" w:sz="4" w:space="0"/>
            </w:tcBorders>
            <w:vAlign w:val="center"/>
          </w:tcPr>
          <w:p w14:paraId="174DF52A">
            <w:pPr>
              <w:spacing w:line="440" w:lineRule="exact"/>
              <w:rPr>
                <w:rFonts w:ascii="宋体" w:hAnsi="宋体"/>
              </w:rPr>
            </w:pPr>
            <w:r>
              <w:rPr>
                <w:rFonts w:ascii="宋体" w:hAnsi="宋体"/>
              </w:rPr>
              <w:t>符合第一章第</w:t>
            </w:r>
            <w:r>
              <w:t>3</w:t>
            </w:r>
            <w:r>
              <w:rPr>
                <w:rFonts w:ascii="宋体" w:hAnsi="宋体"/>
              </w:rPr>
              <w:t>.</w:t>
            </w:r>
            <w:r>
              <w:t>2</w:t>
            </w:r>
            <w:r>
              <w:rPr>
                <w:rFonts w:ascii="宋体" w:hAnsi="宋体"/>
              </w:rPr>
              <w:t>款及供应商须知第</w:t>
            </w:r>
            <w:r>
              <w:t>3</w:t>
            </w:r>
            <w:r>
              <w:rPr>
                <w:rFonts w:ascii="宋体" w:hAnsi="宋体"/>
              </w:rPr>
              <w:t>.</w:t>
            </w:r>
            <w:r>
              <w:t>5</w:t>
            </w:r>
            <w:r>
              <w:rPr>
                <w:rFonts w:ascii="宋体" w:hAnsi="宋体"/>
              </w:rPr>
              <w:t>.</w:t>
            </w:r>
            <w:r>
              <w:t>8</w:t>
            </w:r>
            <w:r>
              <w:rPr>
                <w:rFonts w:ascii="宋体" w:hAnsi="宋体"/>
              </w:rPr>
              <w:t>款规定</w:t>
            </w:r>
          </w:p>
        </w:tc>
      </w:tr>
      <w:tr w14:paraId="6C0670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13" w:type="dxa"/>
            <w:vMerge w:val="restart"/>
            <w:tcBorders>
              <w:top w:val="single" w:color="auto" w:sz="4" w:space="0"/>
              <w:bottom w:val="single" w:color="auto" w:sz="4" w:space="0"/>
              <w:right w:val="single" w:color="auto" w:sz="4" w:space="0"/>
            </w:tcBorders>
            <w:vAlign w:val="center"/>
          </w:tcPr>
          <w:p w14:paraId="478F5385">
            <w:pPr>
              <w:spacing w:line="440" w:lineRule="exact"/>
              <w:jc w:val="center"/>
              <w:rPr>
                <w:rFonts w:ascii="宋体" w:hAnsi="宋体"/>
              </w:rPr>
            </w:pPr>
            <w:r>
              <w:t>2</w:t>
            </w:r>
            <w:r>
              <w:rPr>
                <w:rFonts w:ascii="宋体" w:hAnsi="宋体"/>
              </w:rPr>
              <w:t>.</w:t>
            </w:r>
            <w:r>
              <w:t>1</w:t>
            </w:r>
            <w:r>
              <w:rPr>
                <w:rFonts w:ascii="宋体" w:hAnsi="宋体"/>
              </w:rPr>
              <w:t>.</w:t>
            </w:r>
            <w:r>
              <w:t>3</w:t>
            </w:r>
          </w:p>
        </w:tc>
        <w:tc>
          <w:tcPr>
            <w:tcW w:w="1447" w:type="dxa"/>
            <w:vMerge w:val="restart"/>
            <w:tcBorders>
              <w:top w:val="single" w:color="auto" w:sz="4" w:space="0"/>
              <w:left w:val="single" w:color="auto" w:sz="4" w:space="0"/>
              <w:bottom w:val="single" w:color="auto" w:sz="4" w:space="0"/>
              <w:right w:val="single" w:color="auto" w:sz="4" w:space="0"/>
            </w:tcBorders>
            <w:vAlign w:val="center"/>
          </w:tcPr>
          <w:p w14:paraId="71BBABCB">
            <w:pPr>
              <w:spacing w:line="440" w:lineRule="exact"/>
              <w:jc w:val="center"/>
              <w:rPr>
                <w:rFonts w:ascii="宋体" w:hAnsi="宋体"/>
              </w:rPr>
            </w:pPr>
            <w:r>
              <w:rPr>
                <w:rFonts w:ascii="宋体" w:hAnsi="宋体"/>
              </w:rPr>
              <w:t>响应性评审标准</w:t>
            </w:r>
          </w:p>
        </w:tc>
        <w:tc>
          <w:tcPr>
            <w:tcW w:w="2178" w:type="dxa"/>
            <w:tcBorders>
              <w:top w:val="single" w:color="auto" w:sz="4" w:space="0"/>
              <w:left w:val="single" w:color="auto" w:sz="4" w:space="0"/>
              <w:bottom w:val="single" w:color="auto" w:sz="4" w:space="0"/>
              <w:right w:val="single" w:color="auto" w:sz="4" w:space="0"/>
            </w:tcBorders>
          </w:tcPr>
          <w:p w14:paraId="09EE1ABA">
            <w:pPr>
              <w:spacing w:line="440" w:lineRule="exact"/>
              <w:jc w:val="center"/>
              <w:rPr>
                <w:rFonts w:ascii="宋体" w:hAnsi="宋体"/>
              </w:rPr>
            </w:pPr>
            <w:r>
              <w:rPr>
                <w:rFonts w:ascii="宋体" w:hAnsi="宋体"/>
              </w:rPr>
              <w:t>响应文件有效期</w:t>
            </w:r>
          </w:p>
        </w:tc>
        <w:tc>
          <w:tcPr>
            <w:tcW w:w="4747" w:type="dxa"/>
            <w:tcBorders>
              <w:top w:val="single" w:color="auto" w:sz="4" w:space="0"/>
              <w:left w:val="single" w:color="auto" w:sz="4" w:space="0"/>
              <w:bottom w:val="single" w:color="auto" w:sz="4" w:space="0"/>
            </w:tcBorders>
          </w:tcPr>
          <w:p w14:paraId="482858A9">
            <w:pPr>
              <w:spacing w:line="440" w:lineRule="exact"/>
              <w:jc w:val="left"/>
              <w:rPr>
                <w:rFonts w:ascii="宋体" w:hAnsi="宋体"/>
              </w:rPr>
            </w:pPr>
            <w:r>
              <w:rPr>
                <w:rFonts w:ascii="宋体" w:hAnsi="宋体"/>
              </w:rPr>
              <w:t>符合第二章第</w:t>
            </w:r>
            <w:r>
              <w:t>3</w:t>
            </w:r>
            <w:r>
              <w:rPr>
                <w:rFonts w:ascii="宋体" w:hAnsi="宋体"/>
              </w:rPr>
              <w:t>.</w:t>
            </w:r>
            <w:r>
              <w:t>3</w:t>
            </w:r>
            <w:r>
              <w:rPr>
                <w:rFonts w:ascii="宋体" w:hAnsi="宋体"/>
              </w:rPr>
              <w:t>.</w:t>
            </w:r>
            <w:r>
              <w:t>1</w:t>
            </w:r>
            <w:r>
              <w:rPr>
                <w:rFonts w:ascii="宋体" w:hAnsi="宋体"/>
              </w:rPr>
              <w:t>项规定</w:t>
            </w:r>
          </w:p>
        </w:tc>
      </w:tr>
      <w:tr w14:paraId="663BF8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3" w:hRule="atLeast"/>
        </w:trPr>
        <w:tc>
          <w:tcPr>
            <w:tcW w:w="1013" w:type="dxa"/>
            <w:vMerge w:val="continue"/>
            <w:tcBorders>
              <w:top w:val="single" w:color="auto" w:sz="4" w:space="0"/>
              <w:bottom w:val="single" w:color="auto" w:sz="4" w:space="0"/>
              <w:right w:val="single" w:color="auto" w:sz="4" w:space="0"/>
            </w:tcBorders>
            <w:vAlign w:val="center"/>
          </w:tcPr>
          <w:p w14:paraId="5BF71DE9">
            <w:pPr>
              <w:spacing w:line="440" w:lineRule="exact"/>
              <w:jc w:val="center"/>
              <w:rPr>
                <w:rFonts w:ascii="宋体" w:hAnsi="宋体"/>
              </w:rPr>
            </w:pPr>
          </w:p>
        </w:tc>
        <w:tc>
          <w:tcPr>
            <w:tcW w:w="1447" w:type="dxa"/>
            <w:vMerge w:val="continue"/>
            <w:tcBorders>
              <w:top w:val="single" w:color="auto" w:sz="4" w:space="0"/>
              <w:left w:val="single" w:color="auto" w:sz="4" w:space="0"/>
              <w:bottom w:val="single" w:color="auto" w:sz="4" w:space="0"/>
              <w:right w:val="single" w:color="auto" w:sz="4" w:space="0"/>
            </w:tcBorders>
            <w:vAlign w:val="center"/>
          </w:tcPr>
          <w:p w14:paraId="5A6E3979">
            <w:pPr>
              <w:spacing w:line="440" w:lineRule="exact"/>
              <w:jc w:val="center"/>
              <w:rPr>
                <w:rFonts w:ascii="宋体" w:hAnsi="宋体"/>
              </w:rPr>
            </w:pPr>
          </w:p>
        </w:tc>
        <w:tc>
          <w:tcPr>
            <w:tcW w:w="2178" w:type="dxa"/>
            <w:tcBorders>
              <w:top w:val="single" w:color="auto" w:sz="4" w:space="0"/>
              <w:left w:val="single" w:color="auto" w:sz="4" w:space="0"/>
              <w:bottom w:val="single" w:color="auto" w:sz="4" w:space="0"/>
              <w:right w:val="single" w:color="auto" w:sz="4" w:space="0"/>
            </w:tcBorders>
          </w:tcPr>
          <w:p w14:paraId="199A0D10">
            <w:pPr>
              <w:spacing w:line="440" w:lineRule="exact"/>
              <w:jc w:val="center"/>
              <w:rPr>
                <w:rFonts w:ascii="宋体" w:hAnsi="宋体"/>
              </w:rPr>
            </w:pPr>
            <w:r>
              <w:rPr>
                <w:rFonts w:ascii="宋体" w:hAnsi="宋体"/>
              </w:rPr>
              <w:t>响应方案</w:t>
            </w:r>
          </w:p>
        </w:tc>
        <w:tc>
          <w:tcPr>
            <w:tcW w:w="4747" w:type="dxa"/>
            <w:tcBorders>
              <w:top w:val="single" w:color="auto" w:sz="4" w:space="0"/>
              <w:left w:val="single" w:color="auto" w:sz="4" w:space="0"/>
              <w:bottom w:val="single" w:color="auto" w:sz="4" w:space="0"/>
            </w:tcBorders>
          </w:tcPr>
          <w:p w14:paraId="561C2B71">
            <w:pPr>
              <w:spacing w:line="440" w:lineRule="exact"/>
              <w:jc w:val="left"/>
              <w:rPr>
                <w:rFonts w:ascii="宋体" w:hAnsi="宋体"/>
              </w:rPr>
            </w:pPr>
            <w:r>
              <w:rPr>
                <w:rFonts w:ascii="宋体" w:hAnsi="宋体"/>
              </w:rPr>
              <w:t>符合第二章第</w:t>
            </w:r>
            <w:r>
              <w:t>3</w:t>
            </w:r>
            <w:r>
              <w:rPr>
                <w:rFonts w:ascii="宋体" w:hAnsi="宋体"/>
              </w:rPr>
              <w:t>.</w:t>
            </w:r>
            <w:r>
              <w:t>6</w:t>
            </w:r>
            <w:r>
              <w:rPr>
                <w:rFonts w:ascii="宋体" w:hAnsi="宋体"/>
              </w:rPr>
              <w:t>款规定</w:t>
            </w:r>
          </w:p>
        </w:tc>
      </w:tr>
      <w:tr w14:paraId="7BF123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3" w:hRule="atLeast"/>
        </w:trPr>
        <w:tc>
          <w:tcPr>
            <w:tcW w:w="1013" w:type="dxa"/>
            <w:vMerge w:val="continue"/>
            <w:tcBorders>
              <w:top w:val="single" w:color="auto" w:sz="4" w:space="0"/>
              <w:bottom w:val="single" w:color="auto" w:sz="4" w:space="0"/>
              <w:right w:val="single" w:color="auto" w:sz="4" w:space="0"/>
            </w:tcBorders>
            <w:vAlign w:val="center"/>
          </w:tcPr>
          <w:p w14:paraId="08713121">
            <w:pPr>
              <w:spacing w:line="440" w:lineRule="exact"/>
              <w:jc w:val="left"/>
            </w:pPr>
          </w:p>
        </w:tc>
        <w:tc>
          <w:tcPr>
            <w:tcW w:w="1447" w:type="dxa"/>
            <w:vMerge w:val="continue"/>
            <w:tcBorders>
              <w:top w:val="single" w:color="auto" w:sz="4" w:space="0"/>
              <w:left w:val="single" w:color="auto" w:sz="4" w:space="0"/>
              <w:bottom w:val="single" w:color="auto" w:sz="4" w:space="0"/>
              <w:right w:val="single" w:color="auto" w:sz="4" w:space="0"/>
            </w:tcBorders>
            <w:vAlign w:val="center"/>
          </w:tcPr>
          <w:p w14:paraId="37057B9C">
            <w:pPr>
              <w:spacing w:line="440" w:lineRule="exact"/>
              <w:jc w:val="left"/>
            </w:pPr>
          </w:p>
        </w:tc>
        <w:tc>
          <w:tcPr>
            <w:tcW w:w="2178" w:type="dxa"/>
            <w:tcBorders>
              <w:top w:val="single" w:color="auto" w:sz="4" w:space="0"/>
              <w:left w:val="single" w:color="auto" w:sz="4" w:space="0"/>
              <w:bottom w:val="single" w:color="auto" w:sz="4" w:space="0"/>
              <w:right w:val="single" w:color="auto" w:sz="4" w:space="0"/>
            </w:tcBorders>
          </w:tcPr>
          <w:p w14:paraId="512AC819">
            <w:pPr>
              <w:spacing w:line="440" w:lineRule="exact"/>
              <w:jc w:val="center"/>
              <w:rPr>
                <w:rFonts w:hint="eastAsia" w:ascii="宋体" w:hAnsi="宋体" w:eastAsia="宋体" w:cs="Times New Roman"/>
                <w:lang w:val="en-US" w:eastAsia="zh-CN"/>
              </w:rPr>
            </w:pPr>
            <w:r>
              <w:rPr>
                <w:rFonts w:hint="eastAsia" w:ascii="宋体" w:hAnsi="宋体" w:eastAsia="宋体" w:cs="Times New Roman"/>
                <w:lang w:val="en-US" w:eastAsia="zh-CN"/>
              </w:rPr>
              <w:t>服务期限</w:t>
            </w:r>
          </w:p>
        </w:tc>
        <w:tc>
          <w:tcPr>
            <w:tcW w:w="4747" w:type="dxa"/>
            <w:tcBorders>
              <w:top w:val="single" w:color="auto" w:sz="4" w:space="0"/>
              <w:left w:val="single" w:color="auto" w:sz="4" w:space="0"/>
              <w:bottom w:val="single" w:color="auto" w:sz="4" w:space="0"/>
            </w:tcBorders>
          </w:tcPr>
          <w:p w14:paraId="6B0A3191">
            <w:pPr>
              <w:spacing w:line="440" w:lineRule="exact"/>
              <w:jc w:val="left"/>
              <w:rPr>
                <w:rFonts w:ascii="宋体" w:hAnsi="宋体"/>
              </w:rPr>
            </w:pPr>
            <w:r>
              <w:rPr>
                <w:rFonts w:ascii="宋体" w:hAnsi="宋体"/>
              </w:rPr>
              <w:t>符合第一章第</w:t>
            </w:r>
            <w:r>
              <w:t>2</w:t>
            </w:r>
            <w:r>
              <w:rPr>
                <w:rFonts w:ascii="宋体" w:hAnsi="宋体"/>
              </w:rPr>
              <w:t>条规定</w:t>
            </w:r>
          </w:p>
        </w:tc>
      </w:tr>
      <w:tr w14:paraId="330DC4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3" w:hRule="atLeast"/>
        </w:trPr>
        <w:tc>
          <w:tcPr>
            <w:tcW w:w="1013" w:type="dxa"/>
            <w:vMerge w:val="continue"/>
            <w:tcBorders>
              <w:bottom w:val="single" w:color="auto" w:sz="4" w:space="0"/>
              <w:right w:val="single" w:color="auto" w:sz="4" w:space="0"/>
            </w:tcBorders>
            <w:vAlign w:val="center"/>
          </w:tcPr>
          <w:p w14:paraId="6A884FEB">
            <w:pPr>
              <w:spacing w:line="440" w:lineRule="exact"/>
              <w:jc w:val="left"/>
              <w:rPr>
                <w:rFonts w:ascii="宋体" w:hAnsi="宋体"/>
              </w:rPr>
            </w:pPr>
          </w:p>
        </w:tc>
        <w:tc>
          <w:tcPr>
            <w:tcW w:w="1447" w:type="dxa"/>
            <w:vMerge w:val="continue"/>
            <w:tcBorders>
              <w:left w:val="single" w:color="auto" w:sz="4" w:space="0"/>
              <w:bottom w:val="single" w:color="auto" w:sz="4" w:space="0"/>
              <w:right w:val="single" w:color="auto" w:sz="4" w:space="0"/>
            </w:tcBorders>
            <w:vAlign w:val="center"/>
          </w:tcPr>
          <w:p w14:paraId="67214B9F">
            <w:pPr>
              <w:spacing w:line="440" w:lineRule="exact"/>
              <w:jc w:val="left"/>
              <w:rPr>
                <w:rFonts w:ascii="宋体" w:hAnsi="宋体"/>
              </w:rPr>
            </w:pPr>
          </w:p>
        </w:tc>
        <w:tc>
          <w:tcPr>
            <w:tcW w:w="2178" w:type="dxa"/>
            <w:tcBorders>
              <w:top w:val="single" w:color="auto" w:sz="4" w:space="0"/>
              <w:left w:val="single" w:color="auto" w:sz="4" w:space="0"/>
              <w:bottom w:val="single" w:color="auto" w:sz="4" w:space="0"/>
              <w:right w:val="single" w:color="auto" w:sz="4" w:space="0"/>
            </w:tcBorders>
          </w:tcPr>
          <w:p w14:paraId="6088E073">
            <w:pPr>
              <w:spacing w:line="440" w:lineRule="exact"/>
              <w:jc w:val="center"/>
              <w:rPr>
                <w:rFonts w:hint="eastAsia" w:ascii="宋体" w:hAnsi="宋体" w:eastAsia="宋体" w:cs="Times New Roman"/>
                <w:lang w:val="en-US" w:eastAsia="zh-CN"/>
              </w:rPr>
            </w:pPr>
            <w:r>
              <w:rPr>
                <w:rFonts w:hint="eastAsia" w:ascii="宋体" w:hAnsi="宋体" w:eastAsia="宋体" w:cs="Times New Roman"/>
                <w:lang w:val="en-US" w:eastAsia="zh-CN"/>
              </w:rPr>
              <w:t>服务地点</w:t>
            </w:r>
          </w:p>
        </w:tc>
        <w:tc>
          <w:tcPr>
            <w:tcW w:w="4747" w:type="dxa"/>
            <w:tcBorders>
              <w:top w:val="single" w:color="auto" w:sz="4" w:space="0"/>
              <w:left w:val="single" w:color="auto" w:sz="4" w:space="0"/>
              <w:bottom w:val="single" w:color="auto" w:sz="4" w:space="0"/>
            </w:tcBorders>
          </w:tcPr>
          <w:p w14:paraId="59B688AF">
            <w:pPr>
              <w:spacing w:line="440" w:lineRule="exact"/>
              <w:jc w:val="left"/>
              <w:rPr>
                <w:rFonts w:ascii="宋体" w:hAnsi="宋体"/>
              </w:rPr>
            </w:pPr>
            <w:r>
              <w:rPr>
                <w:rFonts w:ascii="宋体" w:hAnsi="宋体"/>
              </w:rPr>
              <w:t>符合第一章第</w:t>
            </w:r>
            <w:r>
              <w:t>2</w:t>
            </w:r>
            <w:r>
              <w:rPr>
                <w:rFonts w:ascii="宋体" w:hAnsi="宋体"/>
              </w:rPr>
              <w:t>条规定</w:t>
            </w:r>
          </w:p>
        </w:tc>
      </w:tr>
      <w:tr w14:paraId="0A84D2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13" w:type="dxa"/>
            <w:vMerge w:val="continue"/>
            <w:tcBorders>
              <w:top w:val="single" w:color="auto" w:sz="4" w:space="0"/>
              <w:bottom w:val="single" w:color="auto" w:sz="4" w:space="0"/>
              <w:right w:val="single" w:color="auto" w:sz="4" w:space="0"/>
            </w:tcBorders>
            <w:vAlign w:val="center"/>
          </w:tcPr>
          <w:p w14:paraId="3CD2238F">
            <w:pPr>
              <w:spacing w:line="440" w:lineRule="exact"/>
              <w:jc w:val="center"/>
              <w:rPr>
                <w:rFonts w:ascii="宋体" w:hAnsi="宋体"/>
              </w:rPr>
            </w:pPr>
          </w:p>
        </w:tc>
        <w:tc>
          <w:tcPr>
            <w:tcW w:w="1447" w:type="dxa"/>
            <w:vMerge w:val="continue"/>
            <w:tcBorders>
              <w:top w:val="single" w:color="auto" w:sz="4" w:space="0"/>
              <w:left w:val="single" w:color="auto" w:sz="4" w:space="0"/>
              <w:bottom w:val="single" w:color="auto" w:sz="4" w:space="0"/>
              <w:right w:val="single" w:color="auto" w:sz="4" w:space="0"/>
            </w:tcBorders>
            <w:vAlign w:val="center"/>
          </w:tcPr>
          <w:p w14:paraId="4DBC2A8E">
            <w:pPr>
              <w:spacing w:line="440" w:lineRule="exact"/>
              <w:jc w:val="center"/>
              <w:rPr>
                <w:rFonts w:ascii="宋体" w:hAnsi="宋体"/>
              </w:rPr>
            </w:pPr>
          </w:p>
        </w:tc>
        <w:tc>
          <w:tcPr>
            <w:tcW w:w="2178" w:type="dxa"/>
            <w:tcBorders>
              <w:top w:val="single" w:color="auto" w:sz="4" w:space="0"/>
              <w:left w:val="single" w:color="auto" w:sz="4" w:space="0"/>
              <w:bottom w:val="single" w:color="auto" w:sz="4" w:space="0"/>
              <w:right w:val="single" w:color="auto" w:sz="4" w:space="0"/>
            </w:tcBorders>
            <w:vAlign w:val="center"/>
          </w:tcPr>
          <w:p w14:paraId="26BF17AE">
            <w:pPr>
              <w:spacing w:line="440" w:lineRule="exact"/>
              <w:jc w:val="center"/>
              <w:rPr>
                <w:rFonts w:ascii="宋体" w:hAnsi="宋体"/>
              </w:rPr>
            </w:pPr>
            <w:r>
              <w:rPr>
                <w:rFonts w:hint="eastAsia" w:ascii="宋体" w:hAnsi="宋体"/>
                <w:lang w:val="en-US" w:eastAsia="zh-CN"/>
              </w:rPr>
              <w:t>服务</w:t>
            </w:r>
            <w:r>
              <w:rPr>
                <w:rFonts w:ascii="宋体" w:hAnsi="宋体"/>
              </w:rPr>
              <w:t>标准</w:t>
            </w:r>
          </w:p>
        </w:tc>
        <w:tc>
          <w:tcPr>
            <w:tcW w:w="4747" w:type="dxa"/>
            <w:tcBorders>
              <w:top w:val="single" w:color="auto" w:sz="4" w:space="0"/>
              <w:left w:val="single" w:color="auto" w:sz="4" w:space="0"/>
              <w:bottom w:val="single" w:color="auto" w:sz="4" w:space="0"/>
            </w:tcBorders>
            <w:vAlign w:val="center"/>
          </w:tcPr>
          <w:p w14:paraId="2D4E368D">
            <w:pPr>
              <w:spacing w:line="440" w:lineRule="exact"/>
              <w:jc w:val="left"/>
              <w:rPr>
                <w:rFonts w:ascii="宋体" w:hAnsi="宋体"/>
              </w:rPr>
            </w:pPr>
            <w:r>
              <w:rPr>
                <w:rFonts w:ascii="宋体" w:hAnsi="宋体"/>
              </w:rPr>
              <w:t>符合第一章第</w:t>
            </w:r>
            <w:r>
              <w:t>2</w:t>
            </w:r>
            <w:r>
              <w:rPr>
                <w:rFonts w:ascii="宋体" w:hAnsi="宋体"/>
              </w:rPr>
              <w:t>条规定</w:t>
            </w:r>
          </w:p>
        </w:tc>
      </w:tr>
      <w:tr w14:paraId="41A745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13" w:type="dxa"/>
            <w:vMerge w:val="continue"/>
            <w:tcBorders>
              <w:top w:val="single" w:color="auto" w:sz="4" w:space="0"/>
              <w:bottom w:val="single" w:color="auto" w:sz="4" w:space="0"/>
              <w:right w:val="single" w:color="auto" w:sz="4" w:space="0"/>
            </w:tcBorders>
            <w:vAlign w:val="center"/>
          </w:tcPr>
          <w:p w14:paraId="77D8F169">
            <w:pPr>
              <w:rPr>
                <w:rFonts w:ascii="宋体" w:hAnsi="宋体"/>
              </w:rPr>
            </w:pPr>
          </w:p>
        </w:tc>
        <w:tc>
          <w:tcPr>
            <w:tcW w:w="1447" w:type="dxa"/>
            <w:vMerge w:val="continue"/>
            <w:tcBorders>
              <w:top w:val="single" w:color="auto" w:sz="4" w:space="0"/>
              <w:left w:val="single" w:color="auto" w:sz="4" w:space="0"/>
              <w:bottom w:val="single" w:color="auto" w:sz="4" w:space="0"/>
              <w:right w:val="single" w:color="auto" w:sz="4" w:space="0"/>
            </w:tcBorders>
            <w:vAlign w:val="center"/>
          </w:tcPr>
          <w:p w14:paraId="07602639">
            <w:pPr>
              <w:rPr>
                <w:rFonts w:ascii="宋体" w:hAnsi="宋体"/>
              </w:rPr>
            </w:pPr>
          </w:p>
        </w:tc>
        <w:tc>
          <w:tcPr>
            <w:tcW w:w="2178" w:type="dxa"/>
            <w:tcBorders>
              <w:top w:val="single" w:color="auto" w:sz="4" w:space="0"/>
              <w:left w:val="single" w:color="auto" w:sz="4" w:space="0"/>
              <w:bottom w:val="single" w:color="auto" w:sz="4" w:space="0"/>
              <w:right w:val="single" w:color="auto" w:sz="4" w:space="0"/>
            </w:tcBorders>
            <w:vAlign w:val="center"/>
          </w:tcPr>
          <w:p w14:paraId="31ABD8C1">
            <w:pPr>
              <w:spacing w:line="440" w:lineRule="exact"/>
              <w:jc w:val="center"/>
              <w:rPr>
                <w:rFonts w:ascii="宋体" w:hAnsi="宋体"/>
              </w:rPr>
            </w:pPr>
            <w:r>
              <w:rPr>
                <w:rFonts w:ascii="宋体" w:hAnsi="宋体"/>
              </w:rPr>
              <w:t>合同条款</w:t>
            </w:r>
          </w:p>
        </w:tc>
        <w:tc>
          <w:tcPr>
            <w:tcW w:w="4747" w:type="dxa"/>
            <w:tcBorders>
              <w:top w:val="single" w:color="auto" w:sz="4" w:space="0"/>
              <w:left w:val="single" w:color="auto" w:sz="4" w:space="0"/>
              <w:bottom w:val="single" w:color="auto" w:sz="4" w:space="0"/>
            </w:tcBorders>
            <w:vAlign w:val="center"/>
          </w:tcPr>
          <w:p w14:paraId="00775E3F">
            <w:pPr>
              <w:spacing w:line="440" w:lineRule="exact"/>
              <w:jc w:val="left"/>
              <w:rPr>
                <w:rFonts w:ascii="宋体" w:hAnsi="宋体"/>
              </w:rPr>
            </w:pPr>
            <w:r>
              <w:rPr>
                <w:rFonts w:ascii="宋体" w:hAnsi="宋体"/>
              </w:rPr>
              <w:t>符合第二章第</w:t>
            </w:r>
            <w:r>
              <w:t>1</w:t>
            </w:r>
            <w:r>
              <w:rPr>
                <w:rFonts w:ascii="宋体" w:hAnsi="宋体"/>
              </w:rPr>
              <w:t>.</w:t>
            </w:r>
            <w:r>
              <w:t>10</w:t>
            </w:r>
            <w:r>
              <w:rPr>
                <w:rFonts w:ascii="宋体" w:hAnsi="宋体"/>
              </w:rPr>
              <w:t>.</w:t>
            </w:r>
            <w:r>
              <w:t>1</w:t>
            </w:r>
            <w:r>
              <w:rPr>
                <w:rFonts w:ascii="宋体" w:hAnsi="宋体"/>
              </w:rPr>
              <w:t>项规定</w:t>
            </w:r>
          </w:p>
        </w:tc>
      </w:tr>
      <w:tr w14:paraId="0E0469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0" w:hRule="atLeast"/>
        </w:trPr>
        <w:tc>
          <w:tcPr>
            <w:tcW w:w="1013" w:type="dxa"/>
            <w:vMerge w:val="continue"/>
            <w:tcBorders>
              <w:top w:val="single" w:color="auto" w:sz="4" w:space="0"/>
              <w:bottom w:val="single" w:color="auto" w:sz="4" w:space="0"/>
              <w:right w:val="single" w:color="auto" w:sz="4" w:space="0"/>
            </w:tcBorders>
            <w:vAlign w:val="center"/>
          </w:tcPr>
          <w:p w14:paraId="489E7996">
            <w:pPr>
              <w:rPr>
                <w:rFonts w:ascii="宋体" w:hAnsi="宋体"/>
              </w:rPr>
            </w:pPr>
          </w:p>
        </w:tc>
        <w:tc>
          <w:tcPr>
            <w:tcW w:w="1447" w:type="dxa"/>
            <w:vMerge w:val="continue"/>
            <w:tcBorders>
              <w:top w:val="single" w:color="auto" w:sz="4" w:space="0"/>
              <w:left w:val="single" w:color="auto" w:sz="4" w:space="0"/>
              <w:bottom w:val="single" w:color="auto" w:sz="4" w:space="0"/>
              <w:right w:val="single" w:color="auto" w:sz="4" w:space="0"/>
            </w:tcBorders>
            <w:vAlign w:val="center"/>
          </w:tcPr>
          <w:p w14:paraId="44999263">
            <w:pPr>
              <w:rPr>
                <w:rFonts w:ascii="宋体" w:hAnsi="宋体"/>
              </w:rPr>
            </w:pPr>
          </w:p>
        </w:tc>
        <w:tc>
          <w:tcPr>
            <w:tcW w:w="2178" w:type="dxa"/>
            <w:tcBorders>
              <w:top w:val="single" w:color="auto" w:sz="4" w:space="0"/>
              <w:left w:val="single" w:color="auto" w:sz="4" w:space="0"/>
              <w:bottom w:val="single" w:color="auto" w:sz="4" w:space="0"/>
              <w:right w:val="single" w:color="auto" w:sz="4" w:space="0"/>
            </w:tcBorders>
            <w:vAlign w:val="center"/>
          </w:tcPr>
          <w:p w14:paraId="79A86363">
            <w:pPr>
              <w:spacing w:line="440" w:lineRule="exact"/>
              <w:jc w:val="center"/>
              <w:rPr>
                <w:rFonts w:ascii="宋体" w:hAnsi="宋体"/>
              </w:rPr>
            </w:pPr>
            <w:r>
              <w:rPr>
                <w:rFonts w:ascii="宋体" w:hAnsi="宋体"/>
              </w:rPr>
              <w:t>对非关键条款的偏差</w:t>
            </w:r>
          </w:p>
        </w:tc>
        <w:tc>
          <w:tcPr>
            <w:tcW w:w="4747" w:type="dxa"/>
            <w:tcBorders>
              <w:top w:val="single" w:color="auto" w:sz="4" w:space="0"/>
              <w:left w:val="single" w:color="auto" w:sz="4" w:space="0"/>
              <w:bottom w:val="single" w:color="auto" w:sz="4" w:space="0"/>
            </w:tcBorders>
            <w:vAlign w:val="center"/>
          </w:tcPr>
          <w:p w14:paraId="1C45E628">
            <w:pPr>
              <w:spacing w:line="440" w:lineRule="exact"/>
              <w:rPr>
                <w:rFonts w:ascii="宋体" w:hAnsi="宋体"/>
              </w:rPr>
            </w:pPr>
            <w:r>
              <w:rPr>
                <w:rFonts w:ascii="宋体" w:hAnsi="宋体"/>
              </w:rPr>
              <w:t>偏差范围和偏差项数符合第二章第</w:t>
            </w:r>
            <w:r>
              <w:t>1</w:t>
            </w:r>
            <w:r>
              <w:rPr>
                <w:rFonts w:ascii="宋体" w:hAnsi="宋体"/>
              </w:rPr>
              <w:t>.</w:t>
            </w:r>
            <w:r>
              <w:t>10</w:t>
            </w:r>
            <w:r>
              <w:rPr>
                <w:rFonts w:ascii="宋体" w:hAnsi="宋体"/>
              </w:rPr>
              <w:t>.</w:t>
            </w:r>
            <w:r>
              <w:t>2</w:t>
            </w:r>
            <w:r>
              <w:rPr>
                <w:rFonts w:ascii="宋体" w:hAnsi="宋体"/>
              </w:rPr>
              <w:t>项规定</w:t>
            </w:r>
          </w:p>
        </w:tc>
      </w:tr>
      <w:tr w14:paraId="2BA7BB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3" w:hRule="atLeast"/>
        </w:trPr>
        <w:tc>
          <w:tcPr>
            <w:tcW w:w="1013" w:type="dxa"/>
            <w:vMerge w:val="continue"/>
            <w:tcBorders>
              <w:top w:val="single" w:color="auto" w:sz="4" w:space="0"/>
              <w:bottom w:val="single" w:color="auto" w:sz="4" w:space="0"/>
              <w:right w:val="single" w:color="auto" w:sz="4" w:space="0"/>
            </w:tcBorders>
            <w:vAlign w:val="center"/>
          </w:tcPr>
          <w:p w14:paraId="6D8A8B1C">
            <w:pPr>
              <w:rPr>
                <w:rFonts w:ascii="宋体" w:hAnsi="宋体"/>
              </w:rPr>
            </w:pPr>
          </w:p>
        </w:tc>
        <w:tc>
          <w:tcPr>
            <w:tcW w:w="1447" w:type="dxa"/>
            <w:vMerge w:val="continue"/>
            <w:tcBorders>
              <w:top w:val="single" w:color="auto" w:sz="4" w:space="0"/>
              <w:left w:val="single" w:color="auto" w:sz="4" w:space="0"/>
              <w:bottom w:val="single" w:color="auto" w:sz="4" w:space="0"/>
              <w:right w:val="single" w:color="auto" w:sz="4" w:space="0"/>
            </w:tcBorders>
            <w:vAlign w:val="center"/>
          </w:tcPr>
          <w:p w14:paraId="24A45AB4">
            <w:pPr>
              <w:rPr>
                <w:rFonts w:ascii="宋体" w:hAnsi="宋体"/>
              </w:rPr>
            </w:pPr>
          </w:p>
        </w:tc>
        <w:tc>
          <w:tcPr>
            <w:tcW w:w="2178" w:type="dxa"/>
            <w:tcBorders>
              <w:top w:val="single" w:color="auto" w:sz="4" w:space="0"/>
              <w:left w:val="single" w:color="auto" w:sz="4" w:space="0"/>
              <w:bottom w:val="single" w:color="auto" w:sz="4" w:space="0"/>
              <w:right w:val="single" w:color="auto" w:sz="4" w:space="0"/>
            </w:tcBorders>
            <w:vAlign w:val="center"/>
          </w:tcPr>
          <w:p w14:paraId="314E22D0">
            <w:pPr>
              <w:tabs>
                <w:tab w:val="left" w:pos="1914"/>
              </w:tabs>
              <w:spacing w:before="38"/>
              <w:jc w:val="center"/>
              <w:rPr>
                <w:rFonts w:ascii="宋体" w:hAnsi="宋体"/>
              </w:rPr>
            </w:pPr>
            <w:r>
              <w:rPr>
                <w:rFonts w:hint="eastAsia" w:ascii="宋体" w:hAnsi="宋体"/>
              </w:rPr>
              <w:t>分包</w:t>
            </w:r>
          </w:p>
        </w:tc>
        <w:tc>
          <w:tcPr>
            <w:tcW w:w="4747" w:type="dxa"/>
            <w:tcBorders>
              <w:top w:val="single" w:color="auto" w:sz="4" w:space="0"/>
              <w:left w:val="single" w:color="auto" w:sz="4" w:space="0"/>
              <w:bottom w:val="single" w:color="auto" w:sz="4" w:space="0"/>
            </w:tcBorders>
            <w:vAlign w:val="center"/>
          </w:tcPr>
          <w:p w14:paraId="6C408BA4">
            <w:pPr>
              <w:tabs>
                <w:tab w:val="left" w:pos="1914"/>
              </w:tabs>
              <w:spacing w:before="38"/>
              <w:ind w:right="268"/>
              <w:jc w:val="left"/>
              <w:rPr>
                <w:rFonts w:ascii="宋体" w:hAnsi="宋体"/>
              </w:rPr>
            </w:pPr>
            <w:r>
              <w:rPr>
                <w:rFonts w:hint="eastAsia" w:ascii="宋体" w:hAnsi="宋体"/>
                <w:w w:val="105"/>
                <w:szCs w:val="21"/>
              </w:rPr>
              <w:t>供应商</w:t>
            </w:r>
            <w:r>
              <w:rPr>
                <w:rFonts w:hint="eastAsia" w:ascii="宋体" w:hAnsi="宋体"/>
                <w:color w:val="000000"/>
                <w:szCs w:val="21"/>
              </w:rPr>
              <w:t>未对本项目进行分包</w:t>
            </w:r>
          </w:p>
        </w:tc>
      </w:tr>
      <w:tr w14:paraId="77AD7E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0" w:hRule="atLeast"/>
        </w:trPr>
        <w:tc>
          <w:tcPr>
            <w:tcW w:w="1013" w:type="dxa"/>
            <w:vMerge w:val="continue"/>
            <w:tcBorders>
              <w:bottom w:val="single" w:color="auto" w:sz="4" w:space="0"/>
              <w:right w:val="single" w:color="auto" w:sz="4" w:space="0"/>
            </w:tcBorders>
            <w:vAlign w:val="center"/>
          </w:tcPr>
          <w:p w14:paraId="20E72754">
            <w:pPr>
              <w:tabs>
                <w:tab w:val="left" w:pos="1914"/>
              </w:tabs>
              <w:spacing w:before="38"/>
              <w:ind w:right="268"/>
              <w:jc w:val="left"/>
            </w:pPr>
          </w:p>
        </w:tc>
        <w:tc>
          <w:tcPr>
            <w:tcW w:w="1447" w:type="dxa"/>
            <w:vMerge w:val="continue"/>
            <w:tcBorders>
              <w:left w:val="single" w:color="auto" w:sz="4" w:space="0"/>
              <w:bottom w:val="single" w:color="auto" w:sz="4" w:space="0"/>
              <w:right w:val="single" w:color="auto" w:sz="4" w:space="0"/>
            </w:tcBorders>
            <w:vAlign w:val="center"/>
          </w:tcPr>
          <w:p w14:paraId="11B2A36A">
            <w:pPr>
              <w:tabs>
                <w:tab w:val="left" w:pos="1914"/>
              </w:tabs>
              <w:spacing w:before="38"/>
              <w:ind w:right="268"/>
              <w:jc w:val="left"/>
            </w:pPr>
          </w:p>
        </w:tc>
        <w:tc>
          <w:tcPr>
            <w:tcW w:w="2178" w:type="dxa"/>
            <w:tcBorders>
              <w:top w:val="single" w:color="auto" w:sz="4" w:space="0"/>
              <w:left w:val="single" w:color="auto" w:sz="4" w:space="0"/>
              <w:bottom w:val="single" w:color="auto" w:sz="4" w:space="0"/>
              <w:right w:val="single" w:color="auto" w:sz="4" w:space="0"/>
            </w:tcBorders>
            <w:vAlign w:val="center"/>
          </w:tcPr>
          <w:p w14:paraId="3614211B">
            <w:pPr>
              <w:tabs>
                <w:tab w:val="left" w:pos="1914"/>
              </w:tabs>
              <w:spacing w:before="38"/>
              <w:ind w:right="268"/>
              <w:jc w:val="center"/>
              <w:rPr>
                <w:rFonts w:ascii="宋体" w:hAnsi="宋体"/>
                <w:w w:val="105"/>
                <w:szCs w:val="21"/>
              </w:rPr>
            </w:pPr>
            <w:r>
              <w:rPr>
                <w:rFonts w:hint="eastAsia" w:ascii="宋体" w:hAnsi="宋体"/>
              </w:rPr>
              <w:t>权利义务</w:t>
            </w:r>
          </w:p>
        </w:tc>
        <w:tc>
          <w:tcPr>
            <w:tcW w:w="4747" w:type="dxa"/>
            <w:tcBorders>
              <w:top w:val="single" w:color="auto" w:sz="4" w:space="0"/>
              <w:left w:val="single" w:color="auto" w:sz="4" w:space="0"/>
              <w:bottom w:val="single" w:color="auto" w:sz="4" w:space="0"/>
            </w:tcBorders>
            <w:vAlign w:val="center"/>
          </w:tcPr>
          <w:p w14:paraId="31F9E6C4">
            <w:pPr>
              <w:spacing w:line="440" w:lineRule="exact"/>
              <w:rPr>
                <w:rFonts w:ascii="宋体" w:hAnsi="宋体"/>
              </w:rPr>
            </w:pPr>
            <w:r>
              <w:rPr>
                <w:rFonts w:hint="eastAsia" w:ascii="宋体" w:hAnsi="宋体"/>
              </w:rPr>
              <w:t>权利义务符合采购文件规定：</w:t>
            </w:r>
          </w:p>
          <w:p w14:paraId="5A79A184">
            <w:pPr>
              <w:spacing w:line="440" w:lineRule="exact"/>
              <w:rPr>
                <w:rFonts w:ascii="宋体" w:hAnsi="宋体"/>
              </w:rPr>
            </w:pPr>
            <w:r>
              <w:rPr>
                <w:rFonts w:hint="eastAsia" w:ascii="宋体" w:hAnsi="宋体"/>
              </w:rPr>
              <w:t>a．供应商应接受采购文件规定的风险划分原则，未提出新的风险划分办法；</w:t>
            </w:r>
          </w:p>
          <w:p w14:paraId="6B938913">
            <w:pPr>
              <w:spacing w:line="440" w:lineRule="exact"/>
              <w:rPr>
                <w:rFonts w:ascii="宋体" w:hAnsi="宋体"/>
              </w:rPr>
            </w:pPr>
            <w:r>
              <w:rPr>
                <w:rFonts w:hint="eastAsia" w:ascii="宋体" w:hAnsi="宋体"/>
              </w:rPr>
              <w:t>b．供应商未增加采购人的责任范围，或减少供应商义务；</w:t>
            </w:r>
          </w:p>
          <w:p w14:paraId="64BA94A1">
            <w:pPr>
              <w:spacing w:line="440" w:lineRule="exact"/>
              <w:rPr>
                <w:rFonts w:ascii="宋体" w:hAnsi="宋体"/>
              </w:rPr>
            </w:pPr>
            <w:r>
              <w:rPr>
                <w:rFonts w:hint="eastAsia" w:ascii="宋体" w:hAnsi="宋体"/>
              </w:rPr>
              <w:t>c．供应商未提出不同的验收、计量、支付办法；</w:t>
            </w:r>
          </w:p>
          <w:p w14:paraId="49406CCA">
            <w:pPr>
              <w:spacing w:line="440" w:lineRule="exact"/>
              <w:rPr>
                <w:rFonts w:ascii="宋体" w:hAnsi="宋体"/>
              </w:rPr>
            </w:pPr>
            <w:r>
              <w:rPr>
                <w:rFonts w:hint="eastAsia" w:ascii="宋体" w:hAnsi="宋体"/>
              </w:rPr>
              <w:t>d．供应商对合同纠纷、事故处理办法未提出异议；</w:t>
            </w:r>
          </w:p>
          <w:p w14:paraId="27A525CB">
            <w:pPr>
              <w:spacing w:line="440" w:lineRule="exact"/>
              <w:rPr>
                <w:rFonts w:ascii="宋体" w:hAnsi="宋体"/>
              </w:rPr>
            </w:pPr>
            <w:r>
              <w:rPr>
                <w:rFonts w:hint="eastAsia" w:ascii="宋体" w:hAnsi="宋体"/>
              </w:rPr>
              <w:t>e．供应商在采购活动中无欺诈行为；</w:t>
            </w:r>
          </w:p>
          <w:p w14:paraId="659A91C2">
            <w:pPr>
              <w:spacing w:line="440" w:lineRule="exact"/>
              <w:rPr>
                <w:rFonts w:ascii="宋体" w:hAnsi="宋体"/>
                <w:w w:val="105"/>
                <w:szCs w:val="21"/>
              </w:rPr>
            </w:pPr>
            <w:r>
              <w:rPr>
                <w:rFonts w:hint="eastAsia" w:ascii="宋体" w:hAnsi="宋体"/>
              </w:rPr>
              <w:t>f．供应商未对合同条款有重要保留。</w:t>
            </w:r>
          </w:p>
        </w:tc>
      </w:tr>
      <w:tr w14:paraId="5861B5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2460" w:type="dxa"/>
            <w:gridSpan w:val="2"/>
            <w:tcBorders>
              <w:top w:val="single" w:color="auto" w:sz="4" w:space="0"/>
              <w:bottom w:val="single" w:color="auto" w:sz="4" w:space="0"/>
              <w:right w:val="single" w:color="auto" w:sz="4" w:space="0"/>
            </w:tcBorders>
            <w:vAlign w:val="center"/>
          </w:tcPr>
          <w:p w14:paraId="0B01EF9B">
            <w:pPr>
              <w:jc w:val="center"/>
              <w:rPr>
                <w:rFonts w:ascii="宋体" w:hAnsi="宋体"/>
              </w:rPr>
            </w:pPr>
            <w:r>
              <w:t>2</w:t>
            </w:r>
            <w:r>
              <w:rPr>
                <w:rFonts w:ascii="宋体" w:hAnsi="宋体"/>
              </w:rPr>
              <w:t>.</w:t>
            </w:r>
            <w:r>
              <w:t>2</w:t>
            </w:r>
            <w:r>
              <w:rPr>
                <w:rFonts w:ascii="宋体" w:hAnsi="宋体"/>
              </w:rPr>
              <w:t>.</w:t>
            </w:r>
            <w:r>
              <w:t>2</w:t>
            </w:r>
          </w:p>
        </w:tc>
        <w:tc>
          <w:tcPr>
            <w:tcW w:w="2178" w:type="dxa"/>
            <w:tcBorders>
              <w:top w:val="single" w:color="auto" w:sz="4" w:space="0"/>
              <w:left w:val="single" w:color="auto" w:sz="4" w:space="0"/>
              <w:bottom w:val="single" w:color="auto" w:sz="4" w:space="0"/>
              <w:right w:val="single" w:color="auto" w:sz="4" w:space="0"/>
            </w:tcBorders>
            <w:vAlign w:val="center"/>
          </w:tcPr>
          <w:p w14:paraId="4F643789">
            <w:pPr>
              <w:spacing w:line="440" w:lineRule="exact"/>
              <w:jc w:val="center"/>
              <w:rPr>
                <w:rFonts w:ascii="宋体" w:hAnsi="宋体"/>
              </w:rPr>
            </w:pPr>
            <w:r>
              <w:rPr>
                <w:rFonts w:ascii="宋体" w:hAnsi="宋体"/>
              </w:rPr>
              <w:t>评审价格</w:t>
            </w:r>
          </w:p>
        </w:tc>
        <w:tc>
          <w:tcPr>
            <w:tcW w:w="4747" w:type="dxa"/>
            <w:tcBorders>
              <w:top w:val="single" w:color="auto" w:sz="4" w:space="0"/>
              <w:left w:val="single" w:color="auto" w:sz="4" w:space="0"/>
              <w:bottom w:val="single" w:color="auto" w:sz="4" w:space="0"/>
            </w:tcBorders>
            <w:vAlign w:val="center"/>
          </w:tcPr>
          <w:p w14:paraId="7A5A9B35">
            <w:pPr>
              <w:spacing w:line="440" w:lineRule="exact"/>
              <w:jc w:val="center"/>
              <w:rPr>
                <w:rFonts w:ascii="宋体" w:hAnsi="宋体"/>
              </w:rPr>
            </w:pPr>
            <w:r>
              <w:rPr>
                <w:rFonts w:hint="eastAsia" w:ascii="宋体" w:hAnsi="宋体"/>
              </w:rPr>
              <w:t>/</w:t>
            </w:r>
          </w:p>
        </w:tc>
      </w:tr>
      <w:tr w14:paraId="3E5AE0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85" w:type="dxa"/>
            <w:gridSpan w:val="4"/>
            <w:tcBorders>
              <w:top w:val="single" w:color="auto" w:sz="4" w:space="0"/>
              <w:bottom w:val="single" w:color="auto" w:sz="4" w:space="0"/>
              <w:right w:val="single" w:color="auto" w:sz="4" w:space="0"/>
            </w:tcBorders>
            <w:vAlign w:val="center"/>
          </w:tcPr>
          <w:p w14:paraId="6484C37B">
            <w:pPr>
              <w:spacing w:line="440" w:lineRule="exact"/>
              <w:jc w:val="center"/>
              <w:rPr>
                <w:rFonts w:ascii="宋体" w:hAnsi="宋体"/>
                <w:bCs/>
              </w:rPr>
            </w:pPr>
            <w:r>
              <w:rPr>
                <w:bCs/>
                <w:szCs w:val="21"/>
              </w:rPr>
              <w:t>3</w:t>
            </w:r>
            <w:r>
              <w:rPr>
                <w:rFonts w:ascii="宋体" w:hAnsi="宋体"/>
                <w:bCs/>
              </w:rPr>
              <w:t>详细评审标准和程序</w:t>
            </w:r>
            <w:r>
              <w:rPr>
                <w:rFonts w:ascii="宋体" w:hAnsi="宋体"/>
                <w:bCs/>
                <w:szCs w:val="21"/>
              </w:rPr>
              <w:t>（综合评分法）</w:t>
            </w:r>
          </w:p>
        </w:tc>
      </w:tr>
      <w:tr w14:paraId="2B04C1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460" w:type="dxa"/>
            <w:gridSpan w:val="2"/>
            <w:tcBorders>
              <w:top w:val="single" w:color="auto" w:sz="4" w:space="0"/>
              <w:bottom w:val="single" w:color="auto" w:sz="4" w:space="0"/>
              <w:right w:val="single" w:color="auto" w:sz="4" w:space="0"/>
            </w:tcBorders>
            <w:vAlign w:val="center"/>
          </w:tcPr>
          <w:p w14:paraId="3F8963A0">
            <w:pPr>
              <w:spacing w:line="440" w:lineRule="exact"/>
              <w:jc w:val="center"/>
              <w:rPr>
                <w:rFonts w:ascii="宋体" w:hAnsi="宋体"/>
                <w:bCs/>
              </w:rPr>
            </w:pPr>
            <w:r>
              <w:rPr>
                <w:rFonts w:ascii="宋体" w:hAnsi="宋体"/>
                <w:bCs/>
                <w:szCs w:val="21"/>
              </w:rPr>
              <w:t>条款号</w:t>
            </w:r>
          </w:p>
        </w:tc>
        <w:tc>
          <w:tcPr>
            <w:tcW w:w="2178" w:type="dxa"/>
            <w:tcBorders>
              <w:top w:val="single" w:color="auto" w:sz="4" w:space="0"/>
              <w:left w:val="single" w:color="auto" w:sz="4" w:space="0"/>
              <w:bottom w:val="single" w:color="auto" w:sz="4" w:space="0"/>
              <w:right w:val="single" w:color="auto" w:sz="4" w:space="0"/>
            </w:tcBorders>
            <w:vAlign w:val="center"/>
          </w:tcPr>
          <w:p w14:paraId="7DD30DDD">
            <w:pPr>
              <w:spacing w:line="440" w:lineRule="exact"/>
              <w:jc w:val="center"/>
              <w:rPr>
                <w:rFonts w:ascii="宋体" w:hAnsi="宋体"/>
                <w:bCs/>
              </w:rPr>
            </w:pPr>
            <w:r>
              <w:rPr>
                <w:rFonts w:ascii="宋体" w:hAnsi="宋体"/>
                <w:bCs/>
                <w:szCs w:val="21"/>
              </w:rPr>
              <w:t>条款内容</w:t>
            </w:r>
          </w:p>
        </w:tc>
        <w:tc>
          <w:tcPr>
            <w:tcW w:w="4747" w:type="dxa"/>
            <w:tcBorders>
              <w:top w:val="single" w:color="auto" w:sz="4" w:space="0"/>
              <w:left w:val="single" w:color="auto" w:sz="4" w:space="0"/>
              <w:bottom w:val="single" w:color="auto" w:sz="4" w:space="0"/>
              <w:right w:val="single" w:color="auto" w:sz="4" w:space="0"/>
            </w:tcBorders>
            <w:vAlign w:val="center"/>
          </w:tcPr>
          <w:p w14:paraId="2D53BD2B">
            <w:pPr>
              <w:spacing w:line="440" w:lineRule="exact"/>
              <w:jc w:val="center"/>
              <w:rPr>
                <w:rFonts w:ascii="宋体" w:hAnsi="宋体"/>
                <w:bCs/>
              </w:rPr>
            </w:pPr>
            <w:r>
              <w:rPr>
                <w:rFonts w:ascii="宋体" w:hAnsi="宋体"/>
                <w:bCs/>
                <w:szCs w:val="21"/>
              </w:rPr>
              <w:t>编列内容</w:t>
            </w:r>
          </w:p>
        </w:tc>
      </w:tr>
      <w:tr w14:paraId="1CC182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460" w:type="dxa"/>
            <w:gridSpan w:val="2"/>
            <w:tcBorders>
              <w:bottom w:val="single" w:color="auto" w:sz="4" w:space="0"/>
              <w:right w:val="single" w:color="auto" w:sz="4" w:space="0"/>
            </w:tcBorders>
            <w:vAlign w:val="center"/>
          </w:tcPr>
          <w:p w14:paraId="1D4042E5">
            <w:pPr>
              <w:spacing w:line="440" w:lineRule="exact"/>
              <w:jc w:val="center"/>
              <w:rPr>
                <w:rFonts w:ascii="宋体" w:hAnsi="宋体"/>
                <w:bCs/>
              </w:rPr>
            </w:pPr>
            <w:r>
              <w:rPr>
                <w:bCs/>
              </w:rPr>
              <w:t>3</w:t>
            </w:r>
            <w:r>
              <w:rPr>
                <w:rFonts w:ascii="宋体" w:hAnsi="宋体"/>
                <w:bCs/>
              </w:rPr>
              <w:t>.</w:t>
            </w:r>
            <w:r>
              <w:rPr>
                <w:bCs/>
              </w:rPr>
              <w:t>1</w:t>
            </w:r>
          </w:p>
        </w:tc>
        <w:tc>
          <w:tcPr>
            <w:tcW w:w="2178" w:type="dxa"/>
            <w:tcBorders>
              <w:top w:val="single" w:color="auto" w:sz="4" w:space="0"/>
              <w:left w:val="single" w:color="auto" w:sz="4" w:space="0"/>
              <w:bottom w:val="single" w:color="auto" w:sz="4" w:space="0"/>
              <w:right w:val="single" w:color="auto" w:sz="4" w:space="0"/>
            </w:tcBorders>
            <w:vAlign w:val="center"/>
          </w:tcPr>
          <w:p w14:paraId="294755A9">
            <w:pPr>
              <w:spacing w:line="440" w:lineRule="exact"/>
              <w:jc w:val="center"/>
              <w:rPr>
                <w:rFonts w:ascii="宋体" w:hAnsi="宋体"/>
                <w:bCs/>
              </w:rPr>
            </w:pPr>
            <w:r>
              <w:rPr>
                <w:rFonts w:ascii="宋体" w:hAnsi="宋体"/>
                <w:bCs/>
              </w:rPr>
              <w:t>分值构成</w:t>
            </w:r>
          </w:p>
          <w:p w14:paraId="3CEF6ABA">
            <w:pPr>
              <w:spacing w:line="440" w:lineRule="exact"/>
              <w:jc w:val="center"/>
              <w:rPr>
                <w:rFonts w:ascii="宋体" w:hAnsi="宋体"/>
                <w:bCs/>
              </w:rPr>
            </w:pPr>
            <w:r>
              <w:rPr>
                <w:rFonts w:ascii="宋体" w:hAnsi="宋体"/>
                <w:bCs/>
              </w:rPr>
              <w:t>(总分</w:t>
            </w:r>
            <w:r>
              <w:rPr>
                <w:bCs/>
              </w:rPr>
              <w:t>100</w:t>
            </w:r>
            <w:r>
              <w:rPr>
                <w:rFonts w:ascii="宋体" w:hAnsi="宋体"/>
                <w:bCs/>
              </w:rPr>
              <w:t>分)</w:t>
            </w:r>
          </w:p>
        </w:tc>
        <w:tc>
          <w:tcPr>
            <w:tcW w:w="4747" w:type="dxa"/>
            <w:tcBorders>
              <w:top w:val="single" w:color="auto" w:sz="4" w:space="0"/>
              <w:left w:val="single" w:color="auto" w:sz="4" w:space="0"/>
              <w:bottom w:val="single" w:color="auto" w:sz="4" w:space="0"/>
              <w:right w:val="single" w:color="auto" w:sz="4" w:space="0"/>
            </w:tcBorders>
            <w:vAlign w:val="center"/>
          </w:tcPr>
          <w:p w14:paraId="5E57E81E">
            <w:pPr>
              <w:spacing w:line="440" w:lineRule="exact"/>
              <w:rPr>
                <w:rFonts w:ascii="宋体" w:hAnsi="宋体"/>
                <w:bCs/>
              </w:rPr>
            </w:pPr>
            <w:r>
              <w:rPr>
                <w:rFonts w:ascii="宋体" w:hAnsi="宋体"/>
                <w:bCs/>
              </w:rPr>
              <w:t>（</w:t>
            </w:r>
            <w:r>
              <w:rPr>
                <w:bCs/>
              </w:rPr>
              <w:t>1</w:t>
            </w:r>
            <w:r>
              <w:rPr>
                <w:rFonts w:ascii="宋体" w:hAnsi="宋体"/>
                <w:bCs/>
              </w:rPr>
              <w:t>）商务部分：</w:t>
            </w:r>
            <w:r>
              <w:rPr>
                <w:rFonts w:ascii="宋体" w:hAnsi="宋体"/>
                <w:bCs/>
                <w:u w:val="single"/>
              </w:rPr>
              <w:t xml:space="preserve"> </w:t>
            </w:r>
            <w:r>
              <w:rPr>
                <w:rFonts w:hint="eastAsia" w:ascii="宋体" w:hAnsi="宋体"/>
                <w:bCs/>
                <w:u w:val="single"/>
              </w:rPr>
              <w:t>40</w:t>
            </w:r>
            <w:r>
              <w:rPr>
                <w:rFonts w:ascii="宋体" w:hAnsi="宋体"/>
                <w:bCs/>
                <w:u w:val="single"/>
              </w:rPr>
              <w:t xml:space="preserve"> </w:t>
            </w:r>
            <w:r>
              <w:rPr>
                <w:rFonts w:ascii="宋体" w:hAnsi="宋体"/>
                <w:bCs/>
              </w:rPr>
              <w:t>分</w:t>
            </w:r>
          </w:p>
          <w:p w14:paraId="49CF1708">
            <w:pPr>
              <w:spacing w:line="440" w:lineRule="exact"/>
              <w:rPr>
                <w:rFonts w:ascii="宋体" w:hAnsi="宋体"/>
                <w:bCs/>
              </w:rPr>
            </w:pPr>
            <w:r>
              <w:rPr>
                <w:rFonts w:ascii="宋体" w:hAnsi="宋体"/>
                <w:bCs/>
              </w:rPr>
              <w:t>（</w:t>
            </w:r>
            <w:r>
              <w:rPr>
                <w:bCs/>
              </w:rPr>
              <w:t>2</w:t>
            </w:r>
            <w:r>
              <w:rPr>
                <w:rFonts w:ascii="宋体" w:hAnsi="宋体"/>
                <w:bCs/>
              </w:rPr>
              <w:t>）技术部分：</w:t>
            </w:r>
            <w:r>
              <w:rPr>
                <w:rFonts w:ascii="宋体" w:hAnsi="宋体"/>
                <w:bCs/>
                <w:u w:val="single"/>
              </w:rPr>
              <w:t xml:space="preserve"> </w:t>
            </w:r>
            <w:r>
              <w:rPr>
                <w:rFonts w:hint="eastAsia" w:ascii="宋体" w:hAnsi="宋体"/>
                <w:bCs/>
                <w:u w:val="single"/>
              </w:rPr>
              <w:t>60</w:t>
            </w:r>
            <w:r>
              <w:rPr>
                <w:rFonts w:ascii="宋体" w:hAnsi="宋体"/>
                <w:bCs/>
                <w:u w:val="single"/>
              </w:rPr>
              <w:t xml:space="preserve"> </w:t>
            </w:r>
            <w:r>
              <w:rPr>
                <w:rFonts w:ascii="宋体" w:hAnsi="宋体"/>
                <w:bCs/>
              </w:rPr>
              <w:t>分</w:t>
            </w:r>
          </w:p>
        </w:tc>
      </w:tr>
      <w:tr w14:paraId="617918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460" w:type="dxa"/>
            <w:gridSpan w:val="2"/>
            <w:tcBorders>
              <w:top w:val="single" w:color="auto" w:sz="4" w:space="0"/>
              <w:bottom w:val="single" w:color="auto" w:sz="4" w:space="0"/>
              <w:right w:val="single" w:color="auto" w:sz="4" w:space="0"/>
            </w:tcBorders>
            <w:vAlign w:val="center"/>
          </w:tcPr>
          <w:p w14:paraId="0470DA73">
            <w:pPr>
              <w:spacing w:line="440" w:lineRule="exact"/>
              <w:jc w:val="center"/>
              <w:rPr>
                <w:rFonts w:ascii="宋体" w:hAnsi="宋体"/>
              </w:rPr>
            </w:pPr>
            <w:r>
              <w:t>3</w:t>
            </w:r>
            <w:r>
              <w:rPr>
                <w:rFonts w:ascii="宋体" w:hAnsi="宋体"/>
              </w:rPr>
              <w:t>.</w:t>
            </w:r>
            <w:r>
              <w:t>2</w:t>
            </w:r>
            <w:r>
              <w:rPr>
                <w:rFonts w:ascii="宋体" w:hAnsi="宋体"/>
              </w:rPr>
              <w:t>（</w:t>
            </w:r>
            <w:r>
              <w:t>2</w:t>
            </w:r>
            <w:r>
              <w:rPr>
                <w:rFonts w:ascii="宋体" w:hAnsi="宋体"/>
              </w:rPr>
              <w:t>）</w:t>
            </w:r>
          </w:p>
        </w:tc>
        <w:tc>
          <w:tcPr>
            <w:tcW w:w="2178" w:type="dxa"/>
            <w:tcBorders>
              <w:top w:val="single" w:color="auto" w:sz="4" w:space="0"/>
              <w:left w:val="single" w:color="auto" w:sz="4" w:space="0"/>
              <w:bottom w:val="single" w:color="auto" w:sz="4" w:space="0"/>
              <w:right w:val="single" w:color="auto" w:sz="4" w:space="0"/>
            </w:tcBorders>
            <w:vAlign w:val="center"/>
          </w:tcPr>
          <w:p w14:paraId="0EDB36FC">
            <w:pPr>
              <w:spacing w:line="440" w:lineRule="exact"/>
              <w:jc w:val="center"/>
              <w:rPr>
                <w:rFonts w:ascii="宋体" w:hAnsi="宋体"/>
              </w:rPr>
            </w:pPr>
            <w:r>
              <w:rPr>
                <w:rFonts w:ascii="宋体" w:hAnsi="宋体"/>
              </w:rPr>
              <w:t>评审基准价计算方法</w:t>
            </w:r>
          </w:p>
        </w:tc>
        <w:tc>
          <w:tcPr>
            <w:tcW w:w="4747" w:type="dxa"/>
            <w:tcBorders>
              <w:top w:val="single" w:color="auto" w:sz="4" w:space="0"/>
              <w:left w:val="single" w:color="auto" w:sz="4" w:space="0"/>
              <w:bottom w:val="single" w:color="auto" w:sz="4" w:space="0"/>
              <w:right w:val="single" w:color="auto" w:sz="4" w:space="0"/>
            </w:tcBorders>
            <w:vAlign w:val="center"/>
          </w:tcPr>
          <w:p w14:paraId="00783CAE">
            <w:pPr>
              <w:spacing w:line="400" w:lineRule="exact"/>
              <w:jc w:val="center"/>
              <w:rPr>
                <w:rFonts w:ascii="宋体" w:hAnsi="宋体"/>
              </w:rPr>
            </w:pPr>
            <w:r>
              <w:rPr>
                <w:rFonts w:hint="eastAsia" w:ascii="宋体" w:hAnsi="宋体"/>
              </w:rPr>
              <w:t>/</w:t>
            </w:r>
          </w:p>
        </w:tc>
      </w:tr>
      <w:tr w14:paraId="6E2B23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460" w:type="dxa"/>
            <w:gridSpan w:val="2"/>
            <w:tcBorders>
              <w:top w:val="single" w:color="auto" w:sz="4" w:space="0"/>
              <w:bottom w:val="single" w:color="auto" w:sz="4" w:space="0"/>
              <w:right w:val="single" w:color="auto" w:sz="4" w:space="0"/>
            </w:tcBorders>
            <w:vAlign w:val="center"/>
          </w:tcPr>
          <w:p w14:paraId="02A1DFDF">
            <w:pPr>
              <w:spacing w:line="440" w:lineRule="exact"/>
              <w:jc w:val="center"/>
              <w:rPr>
                <w:rFonts w:ascii="宋体" w:hAnsi="宋体"/>
                <w:bCs/>
              </w:rPr>
            </w:pPr>
            <w:r>
              <w:rPr>
                <w:rFonts w:ascii="宋体" w:hAnsi="宋体"/>
                <w:bCs/>
              </w:rPr>
              <w:t>条款号</w:t>
            </w:r>
          </w:p>
        </w:tc>
        <w:tc>
          <w:tcPr>
            <w:tcW w:w="2178" w:type="dxa"/>
            <w:tcBorders>
              <w:top w:val="single" w:color="auto" w:sz="4" w:space="0"/>
              <w:left w:val="single" w:color="auto" w:sz="4" w:space="0"/>
              <w:bottom w:val="single" w:color="auto" w:sz="4" w:space="0"/>
              <w:right w:val="single" w:color="auto" w:sz="4" w:space="0"/>
            </w:tcBorders>
            <w:vAlign w:val="center"/>
          </w:tcPr>
          <w:p w14:paraId="69DF444E">
            <w:pPr>
              <w:spacing w:line="440" w:lineRule="exact"/>
              <w:jc w:val="center"/>
              <w:rPr>
                <w:rFonts w:ascii="宋体" w:hAnsi="宋体"/>
                <w:bCs/>
              </w:rPr>
            </w:pPr>
            <w:r>
              <w:rPr>
                <w:rFonts w:ascii="宋体" w:hAnsi="宋体"/>
                <w:bCs/>
              </w:rPr>
              <w:t>评分因素</w:t>
            </w:r>
          </w:p>
        </w:tc>
        <w:tc>
          <w:tcPr>
            <w:tcW w:w="4747" w:type="dxa"/>
            <w:tcBorders>
              <w:top w:val="single" w:color="auto" w:sz="4" w:space="0"/>
              <w:left w:val="single" w:color="auto" w:sz="4" w:space="0"/>
              <w:bottom w:val="single" w:color="auto" w:sz="4" w:space="0"/>
              <w:right w:val="single" w:color="auto" w:sz="4" w:space="0"/>
            </w:tcBorders>
            <w:vAlign w:val="center"/>
          </w:tcPr>
          <w:p w14:paraId="1E8DE0B7">
            <w:pPr>
              <w:spacing w:line="440" w:lineRule="exact"/>
              <w:jc w:val="center"/>
              <w:rPr>
                <w:rFonts w:ascii="宋体" w:hAnsi="宋体"/>
                <w:bCs/>
              </w:rPr>
            </w:pPr>
            <w:r>
              <w:rPr>
                <w:rFonts w:ascii="宋体" w:hAnsi="宋体"/>
                <w:bCs/>
              </w:rPr>
              <w:t>评分标准</w:t>
            </w:r>
          </w:p>
        </w:tc>
      </w:tr>
      <w:tr w14:paraId="0B36FB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17" w:hRule="atLeast"/>
        </w:trPr>
        <w:tc>
          <w:tcPr>
            <w:tcW w:w="1013" w:type="dxa"/>
            <w:vMerge w:val="restart"/>
            <w:tcBorders>
              <w:top w:val="single" w:color="auto" w:sz="4" w:space="0"/>
              <w:right w:val="single" w:color="auto" w:sz="4" w:space="0"/>
            </w:tcBorders>
            <w:vAlign w:val="center"/>
          </w:tcPr>
          <w:p w14:paraId="2CD6D3EA">
            <w:pPr>
              <w:spacing w:line="440" w:lineRule="exact"/>
              <w:jc w:val="center"/>
              <w:rPr>
                <w:rFonts w:ascii="宋体" w:hAnsi="宋体"/>
                <w:bCs/>
              </w:rPr>
            </w:pPr>
            <w:r>
              <w:rPr>
                <w:bCs/>
              </w:rPr>
              <w:t>3</w:t>
            </w:r>
            <w:r>
              <w:rPr>
                <w:rFonts w:ascii="宋体" w:hAnsi="宋体"/>
                <w:bCs/>
              </w:rPr>
              <w:t>.</w:t>
            </w:r>
            <w:r>
              <w:rPr>
                <w:bCs/>
              </w:rPr>
              <w:t>3</w:t>
            </w:r>
            <w:r>
              <w:rPr>
                <w:rFonts w:ascii="宋体" w:hAnsi="宋体"/>
                <w:bCs/>
              </w:rPr>
              <w:t>（</w:t>
            </w:r>
            <w:r>
              <w:rPr>
                <w:bCs/>
              </w:rPr>
              <w:t>1</w:t>
            </w:r>
            <w:r>
              <w:rPr>
                <w:rFonts w:ascii="宋体" w:hAnsi="宋体"/>
                <w:bCs/>
              </w:rPr>
              <w:t>）</w:t>
            </w:r>
          </w:p>
        </w:tc>
        <w:tc>
          <w:tcPr>
            <w:tcW w:w="1447" w:type="dxa"/>
            <w:vMerge w:val="restart"/>
            <w:tcBorders>
              <w:top w:val="single" w:color="auto" w:sz="4" w:space="0"/>
              <w:left w:val="single" w:color="auto" w:sz="4" w:space="0"/>
              <w:right w:val="single" w:color="auto" w:sz="4" w:space="0"/>
            </w:tcBorders>
            <w:vAlign w:val="center"/>
          </w:tcPr>
          <w:p w14:paraId="77E57ECA">
            <w:pPr>
              <w:spacing w:line="440" w:lineRule="exact"/>
              <w:jc w:val="center"/>
              <w:rPr>
                <w:rFonts w:ascii="宋体" w:hAnsi="宋体"/>
                <w:bCs/>
                <w:highlight w:val="none"/>
              </w:rPr>
            </w:pPr>
            <w:r>
              <w:rPr>
                <w:rFonts w:ascii="宋体" w:hAnsi="宋体"/>
                <w:bCs/>
                <w:highlight w:val="none"/>
              </w:rPr>
              <w:t>商务评分标准</w:t>
            </w:r>
          </w:p>
        </w:tc>
        <w:tc>
          <w:tcPr>
            <w:tcW w:w="2178" w:type="dxa"/>
            <w:tcBorders>
              <w:top w:val="single" w:color="auto" w:sz="4" w:space="0"/>
              <w:left w:val="single" w:color="auto" w:sz="4" w:space="0"/>
              <w:right w:val="single" w:color="auto" w:sz="4" w:space="0"/>
            </w:tcBorders>
            <w:shd w:val="clear" w:color="auto" w:fill="auto"/>
            <w:vAlign w:val="top"/>
          </w:tcPr>
          <w:p w14:paraId="2AFB133A">
            <w:pPr>
              <w:spacing w:line="263" w:lineRule="auto"/>
              <w:rPr>
                <w:rFonts w:ascii="Arial"/>
                <w:sz w:val="21"/>
                <w:highlight w:val="none"/>
              </w:rPr>
            </w:pPr>
          </w:p>
          <w:p w14:paraId="7B430378">
            <w:pPr>
              <w:pStyle w:val="167"/>
              <w:spacing w:before="68" w:line="221" w:lineRule="auto"/>
              <w:jc w:val="center"/>
              <w:rPr>
                <w:sz w:val="21"/>
                <w:szCs w:val="21"/>
                <w:highlight w:val="none"/>
              </w:rPr>
            </w:pPr>
            <w:r>
              <w:rPr>
                <w:spacing w:val="2"/>
                <w:sz w:val="21"/>
                <w:szCs w:val="21"/>
                <w:highlight w:val="none"/>
              </w:rPr>
              <w:t>运输保障能力</w:t>
            </w:r>
          </w:p>
          <w:p w14:paraId="433C7B75">
            <w:pPr>
              <w:pStyle w:val="167"/>
              <w:spacing w:before="22" w:line="235" w:lineRule="auto"/>
              <w:ind w:left="532" w:leftChars="0"/>
              <w:rPr>
                <w:rFonts w:ascii="宋体" w:hAnsi="宋体" w:eastAsia="宋体" w:cs="宋体"/>
                <w:kern w:val="2"/>
                <w:sz w:val="21"/>
                <w:szCs w:val="21"/>
                <w:highlight w:val="none"/>
                <w:lang w:val="en-US" w:eastAsia="en-US" w:bidi="ar-SA"/>
              </w:rPr>
            </w:pPr>
            <w:r>
              <w:rPr>
                <w:spacing w:val="12"/>
                <w:sz w:val="21"/>
                <w:szCs w:val="21"/>
                <w:highlight w:val="none"/>
              </w:rPr>
              <w:t>（</w:t>
            </w:r>
            <w:r>
              <w:rPr>
                <w:rFonts w:hint="eastAsia" w:ascii="Times New Roman" w:hAnsi="Times New Roman" w:eastAsia="宋体" w:cs="Times New Roman"/>
                <w:spacing w:val="12"/>
                <w:sz w:val="21"/>
                <w:szCs w:val="21"/>
                <w:highlight w:val="none"/>
                <w:lang w:val="en-US" w:eastAsia="zh-CN"/>
              </w:rPr>
              <w:t>10</w:t>
            </w:r>
            <w:r>
              <w:rPr>
                <w:spacing w:val="12"/>
                <w:sz w:val="21"/>
                <w:szCs w:val="21"/>
                <w:highlight w:val="none"/>
              </w:rPr>
              <w:t>分）</w:t>
            </w:r>
          </w:p>
        </w:tc>
        <w:tc>
          <w:tcPr>
            <w:tcW w:w="4747" w:type="dxa"/>
            <w:tcBorders>
              <w:top w:val="single" w:color="auto" w:sz="4" w:space="0"/>
              <w:left w:val="single" w:color="auto" w:sz="4" w:space="0"/>
              <w:right w:val="single" w:color="auto" w:sz="4" w:space="0"/>
            </w:tcBorders>
            <w:shd w:val="clear" w:color="auto" w:fill="auto"/>
            <w:vAlign w:val="top"/>
          </w:tcPr>
          <w:p w14:paraId="6796ED98">
            <w:pPr>
              <w:pStyle w:val="167"/>
              <w:spacing w:before="23" w:line="239" w:lineRule="auto"/>
              <w:ind w:left="10" w:right="2" w:firstLine="429"/>
              <w:rPr>
                <w:sz w:val="21"/>
                <w:szCs w:val="21"/>
                <w:highlight w:val="none"/>
              </w:rPr>
            </w:pPr>
            <w:r>
              <w:rPr>
                <w:rFonts w:hint="eastAsia"/>
                <w:spacing w:val="2"/>
                <w:sz w:val="21"/>
                <w:szCs w:val="21"/>
                <w:highlight w:val="none"/>
                <w:lang w:val="en-US" w:eastAsia="zh-CN"/>
              </w:rPr>
              <w:t>满足资格审查条件（车辆最低要求）的车辆</w:t>
            </w:r>
            <w:r>
              <w:rPr>
                <w:spacing w:val="2"/>
                <w:sz w:val="21"/>
                <w:szCs w:val="21"/>
                <w:highlight w:val="none"/>
              </w:rPr>
              <w:t xml:space="preserve">得 </w:t>
            </w:r>
            <w:r>
              <w:rPr>
                <w:rFonts w:hint="eastAsia" w:ascii="Times New Roman" w:hAnsi="Times New Roman" w:eastAsia="宋体" w:cs="Times New Roman"/>
                <w:spacing w:val="2"/>
                <w:sz w:val="21"/>
                <w:szCs w:val="21"/>
                <w:highlight w:val="none"/>
                <w:lang w:val="en-US" w:eastAsia="zh-CN"/>
              </w:rPr>
              <w:t>6</w:t>
            </w:r>
            <w:r>
              <w:rPr>
                <w:spacing w:val="2"/>
                <w:sz w:val="21"/>
                <w:szCs w:val="21"/>
                <w:highlight w:val="none"/>
              </w:rPr>
              <w:t>分</w:t>
            </w:r>
            <w:r>
              <w:rPr>
                <w:rFonts w:hint="eastAsia"/>
                <w:spacing w:val="2"/>
                <w:sz w:val="21"/>
                <w:szCs w:val="21"/>
                <w:highlight w:val="none"/>
                <w:lang w:eastAsia="zh-CN"/>
              </w:rPr>
              <w:t>；</w:t>
            </w:r>
            <w:r>
              <w:rPr>
                <w:spacing w:val="-1"/>
                <w:sz w:val="21"/>
                <w:szCs w:val="21"/>
                <w:highlight w:val="none"/>
              </w:rPr>
              <w:t>每增加</w:t>
            </w:r>
            <w:r>
              <w:rPr>
                <w:spacing w:val="-5"/>
                <w:sz w:val="21"/>
                <w:szCs w:val="21"/>
                <w:highlight w:val="none"/>
              </w:rPr>
              <w:t xml:space="preserve"> </w:t>
            </w:r>
            <w:r>
              <w:rPr>
                <w:rFonts w:ascii="Times New Roman" w:hAnsi="Times New Roman" w:eastAsia="Times New Roman" w:cs="Times New Roman"/>
                <w:spacing w:val="-1"/>
                <w:sz w:val="21"/>
                <w:szCs w:val="21"/>
                <w:highlight w:val="none"/>
              </w:rPr>
              <w:t xml:space="preserve">1 </w:t>
            </w:r>
            <w:r>
              <w:rPr>
                <w:spacing w:val="-1"/>
                <w:sz w:val="21"/>
                <w:szCs w:val="21"/>
                <w:highlight w:val="none"/>
              </w:rPr>
              <w:t>辆</w:t>
            </w:r>
            <w:r>
              <w:rPr>
                <w:rFonts w:hint="eastAsia"/>
                <w:spacing w:val="-1"/>
                <w:sz w:val="21"/>
                <w:szCs w:val="21"/>
                <w:highlight w:val="none"/>
                <w:lang w:val="en-US" w:eastAsia="zh-CN"/>
              </w:rPr>
              <w:t>运输</w:t>
            </w:r>
            <w:r>
              <w:rPr>
                <w:spacing w:val="-1"/>
                <w:sz w:val="21"/>
                <w:szCs w:val="21"/>
                <w:highlight w:val="none"/>
              </w:rPr>
              <w:t>车</w:t>
            </w:r>
            <w:r>
              <w:rPr>
                <w:rFonts w:hint="eastAsia"/>
                <w:spacing w:val="-1"/>
                <w:sz w:val="21"/>
                <w:szCs w:val="21"/>
                <w:highlight w:val="none"/>
                <w:lang w:val="en-US" w:eastAsia="zh-CN"/>
              </w:rPr>
              <w:t>辆</w:t>
            </w:r>
            <w:r>
              <w:rPr>
                <w:spacing w:val="-1"/>
                <w:sz w:val="21"/>
                <w:szCs w:val="21"/>
                <w:highlight w:val="none"/>
              </w:rPr>
              <w:t>加</w:t>
            </w:r>
            <w:r>
              <w:rPr>
                <w:spacing w:val="-36"/>
                <w:sz w:val="21"/>
                <w:szCs w:val="21"/>
                <w:highlight w:val="none"/>
              </w:rPr>
              <w:t xml:space="preserve"> </w:t>
            </w:r>
            <w:r>
              <w:rPr>
                <w:rFonts w:ascii="Times New Roman" w:hAnsi="Times New Roman" w:eastAsia="Times New Roman" w:cs="Times New Roman"/>
                <w:spacing w:val="-1"/>
                <w:sz w:val="21"/>
                <w:szCs w:val="21"/>
                <w:highlight w:val="none"/>
              </w:rPr>
              <w:t>0.5</w:t>
            </w:r>
            <w:r>
              <w:rPr>
                <w:rFonts w:ascii="Times New Roman" w:hAnsi="Times New Roman" w:eastAsia="Times New Roman" w:cs="Times New Roman"/>
                <w:spacing w:val="19"/>
                <w:sz w:val="21"/>
                <w:szCs w:val="21"/>
                <w:highlight w:val="none"/>
              </w:rPr>
              <w:t xml:space="preserve"> </w:t>
            </w:r>
            <w:r>
              <w:rPr>
                <w:spacing w:val="-1"/>
                <w:sz w:val="21"/>
                <w:szCs w:val="21"/>
                <w:highlight w:val="none"/>
              </w:rPr>
              <w:t>分，最多加</w:t>
            </w:r>
            <w:r>
              <w:rPr>
                <w:rFonts w:ascii="Times New Roman" w:hAnsi="Times New Roman" w:eastAsia="Times New Roman" w:cs="Times New Roman"/>
                <w:spacing w:val="-1"/>
                <w:sz w:val="21"/>
                <w:szCs w:val="21"/>
                <w:highlight w:val="none"/>
              </w:rPr>
              <w:t>4</w:t>
            </w:r>
            <w:r>
              <w:rPr>
                <w:rFonts w:ascii="Times New Roman" w:hAnsi="Times New Roman" w:eastAsia="Times New Roman" w:cs="Times New Roman"/>
                <w:spacing w:val="19"/>
                <w:sz w:val="21"/>
                <w:szCs w:val="21"/>
                <w:highlight w:val="none"/>
              </w:rPr>
              <w:t xml:space="preserve"> </w:t>
            </w:r>
            <w:r>
              <w:rPr>
                <w:spacing w:val="-1"/>
                <w:sz w:val="21"/>
                <w:szCs w:val="21"/>
                <w:highlight w:val="none"/>
              </w:rPr>
              <w:t>分。</w:t>
            </w:r>
          </w:p>
          <w:p w14:paraId="02B30F06">
            <w:pPr>
              <w:pStyle w:val="167"/>
              <w:spacing w:before="2" w:line="221" w:lineRule="auto"/>
              <w:ind w:left="7" w:leftChars="0" w:right="11" w:rightChars="0" w:firstLine="428" w:firstLineChars="0"/>
              <w:rPr>
                <w:rFonts w:hint="eastAsia" w:ascii="宋体" w:hAnsi="宋体" w:eastAsia="宋体" w:cs="宋体"/>
                <w:kern w:val="2"/>
                <w:sz w:val="21"/>
                <w:szCs w:val="21"/>
                <w:highlight w:val="none"/>
                <w:lang w:val="en-US" w:eastAsia="en-US" w:bidi="ar-SA"/>
              </w:rPr>
            </w:pPr>
            <w:r>
              <w:rPr>
                <w:b/>
                <w:bCs/>
                <w:spacing w:val="6"/>
                <w:sz w:val="21"/>
                <w:szCs w:val="21"/>
                <w:highlight w:val="none"/>
              </w:rPr>
              <w:t>注：需提供自有车辆明细或运输服务合同租赁车</w:t>
            </w:r>
            <w:r>
              <w:rPr>
                <w:b/>
                <w:bCs/>
                <w:spacing w:val="3"/>
                <w:sz w:val="21"/>
                <w:szCs w:val="21"/>
                <w:highlight w:val="none"/>
              </w:rPr>
              <w:t>辆明细，且提供每辆车的行驶证复印件</w:t>
            </w:r>
            <w:r>
              <w:rPr>
                <w:rFonts w:hint="eastAsia"/>
                <w:b/>
                <w:bCs/>
                <w:spacing w:val="3"/>
                <w:sz w:val="21"/>
                <w:szCs w:val="21"/>
                <w:highlight w:val="none"/>
                <w:lang w:eastAsia="zh-CN"/>
              </w:rPr>
              <w:t>、</w:t>
            </w:r>
            <w:r>
              <w:rPr>
                <w:rFonts w:hint="eastAsia"/>
                <w:b/>
                <w:bCs/>
                <w:spacing w:val="3"/>
                <w:sz w:val="21"/>
                <w:szCs w:val="21"/>
                <w:highlight w:val="none"/>
                <w:lang w:val="en-US" w:eastAsia="zh-CN"/>
              </w:rPr>
              <w:t>保险证明</w:t>
            </w:r>
            <w:r>
              <w:rPr>
                <w:b/>
                <w:bCs/>
                <w:spacing w:val="3"/>
                <w:sz w:val="21"/>
                <w:szCs w:val="21"/>
                <w:highlight w:val="none"/>
              </w:rPr>
              <w:t>。</w:t>
            </w:r>
          </w:p>
        </w:tc>
      </w:tr>
      <w:tr w14:paraId="6C8CE0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17" w:hRule="atLeast"/>
        </w:trPr>
        <w:tc>
          <w:tcPr>
            <w:tcW w:w="1013" w:type="dxa"/>
            <w:vMerge w:val="continue"/>
            <w:tcBorders>
              <w:right w:val="single" w:color="auto" w:sz="4" w:space="0"/>
            </w:tcBorders>
            <w:vAlign w:val="center"/>
          </w:tcPr>
          <w:p w14:paraId="6E92C2E3">
            <w:pPr>
              <w:spacing w:line="440" w:lineRule="exact"/>
              <w:jc w:val="center"/>
              <w:rPr>
                <w:rFonts w:ascii="宋体" w:hAnsi="宋体"/>
                <w:bCs/>
              </w:rPr>
            </w:pPr>
          </w:p>
        </w:tc>
        <w:tc>
          <w:tcPr>
            <w:tcW w:w="1447" w:type="dxa"/>
            <w:vMerge w:val="continue"/>
            <w:tcBorders>
              <w:left w:val="single" w:color="auto" w:sz="4" w:space="0"/>
              <w:right w:val="single" w:color="auto" w:sz="4" w:space="0"/>
            </w:tcBorders>
            <w:vAlign w:val="center"/>
          </w:tcPr>
          <w:p w14:paraId="27F6ECD2">
            <w:pPr>
              <w:spacing w:line="440" w:lineRule="exact"/>
              <w:jc w:val="center"/>
              <w:rPr>
                <w:rFonts w:ascii="宋体" w:hAnsi="宋体"/>
                <w:bCs/>
                <w:highlight w:val="none"/>
              </w:rPr>
            </w:pPr>
          </w:p>
        </w:tc>
        <w:tc>
          <w:tcPr>
            <w:tcW w:w="2178" w:type="dxa"/>
            <w:tcBorders>
              <w:top w:val="single" w:color="auto" w:sz="4" w:space="0"/>
              <w:left w:val="single" w:color="auto" w:sz="4" w:space="0"/>
              <w:right w:val="single" w:color="auto" w:sz="4" w:space="0"/>
            </w:tcBorders>
            <w:vAlign w:val="center"/>
          </w:tcPr>
          <w:p w14:paraId="051F6662">
            <w:pPr>
              <w:widowControl/>
              <w:jc w:val="center"/>
              <w:rPr>
                <w:rFonts w:ascii="宋体" w:hAnsi="宋体"/>
                <w:bCs/>
                <w:highlight w:val="none"/>
              </w:rPr>
            </w:pPr>
            <w:r>
              <w:rPr>
                <w:rFonts w:hint="eastAsia" w:ascii="宋体" w:hAnsi="宋体"/>
                <w:bCs/>
                <w:highlight w:val="none"/>
                <w:lang w:val="en-US" w:eastAsia="zh-CN"/>
              </w:rPr>
              <w:t>相关</w:t>
            </w:r>
            <w:r>
              <w:rPr>
                <w:rFonts w:ascii="宋体" w:hAnsi="宋体"/>
                <w:bCs/>
                <w:highlight w:val="none"/>
              </w:rPr>
              <w:t>业绩</w:t>
            </w:r>
          </w:p>
          <w:p w14:paraId="0D71ECAC">
            <w:pPr>
              <w:widowControl/>
              <w:jc w:val="center"/>
              <w:rPr>
                <w:rFonts w:ascii="宋体" w:hAnsi="宋体"/>
                <w:bCs/>
                <w:highlight w:val="none"/>
              </w:rPr>
            </w:pPr>
            <w:r>
              <w:rPr>
                <w:rFonts w:ascii="宋体" w:hAnsi="宋体"/>
                <w:bCs/>
                <w:highlight w:val="none"/>
              </w:rPr>
              <w:t>(</w:t>
            </w:r>
            <w:r>
              <w:rPr>
                <w:rFonts w:hint="eastAsia" w:ascii="宋体" w:hAnsi="宋体"/>
                <w:bCs/>
                <w:highlight w:val="none"/>
                <w:lang w:val="en-US" w:eastAsia="zh-CN"/>
              </w:rPr>
              <w:t>10</w:t>
            </w:r>
            <w:r>
              <w:rPr>
                <w:rFonts w:ascii="宋体" w:hAnsi="宋体"/>
                <w:bCs/>
                <w:highlight w:val="none"/>
              </w:rPr>
              <w:t>分)</w:t>
            </w:r>
          </w:p>
        </w:tc>
        <w:tc>
          <w:tcPr>
            <w:tcW w:w="4747" w:type="dxa"/>
            <w:tcBorders>
              <w:top w:val="single" w:color="auto" w:sz="4" w:space="0"/>
              <w:left w:val="single" w:color="auto" w:sz="4" w:space="0"/>
              <w:right w:val="single" w:color="auto" w:sz="4" w:space="0"/>
            </w:tcBorders>
            <w:vAlign w:val="center"/>
          </w:tcPr>
          <w:p w14:paraId="0F255C73">
            <w:pPr>
              <w:spacing w:line="360" w:lineRule="auto"/>
              <w:rPr>
                <w:rFonts w:ascii="宋体" w:hAnsi="宋体" w:cs="宋体"/>
                <w:spacing w:val="4"/>
                <w:highlight w:val="none"/>
              </w:rPr>
            </w:pPr>
            <w:r>
              <w:rPr>
                <w:rFonts w:hint="eastAsia" w:ascii="宋体" w:hAnsi="宋体" w:cs="宋体"/>
                <w:spacing w:val="4"/>
                <w:highlight w:val="none"/>
              </w:rPr>
              <w:t>满足资格审查条件（业绩最低要求）得</w:t>
            </w:r>
            <w:r>
              <w:rPr>
                <w:rFonts w:hint="eastAsia" w:ascii="宋体" w:hAnsi="宋体" w:cs="宋体"/>
                <w:spacing w:val="4"/>
                <w:highlight w:val="none"/>
                <w:lang w:val="en-US" w:eastAsia="zh-CN"/>
              </w:rPr>
              <w:t>6</w:t>
            </w:r>
            <w:r>
              <w:rPr>
                <w:rFonts w:hint="eastAsia" w:ascii="宋体" w:hAnsi="宋体" w:cs="宋体"/>
                <w:spacing w:val="4"/>
                <w:highlight w:val="none"/>
              </w:rPr>
              <w:t>分；</w:t>
            </w:r>
          </w:p>
          <w:p w14:paraId="1C013C88">
            <w:pPr>
              <w:spacing w:line="360" w:lineRule="auto"/>
              <w:rPr>
                <w:rFonts w:ascii="宋体" w:hAnsi="宋体" w:cs="宋体"/>
                <w:spacing w:val="4"/>
                <w:highlight w:val="none"/>
              </w:rPr>
            </w:pPr>
            <w:r>
              <w:rPr>
                <w:rFonts w:hint="eastAsia" w:ascii="宋体" w:hAnsi="宋体" w:cs="宋体"/>
                <w:spacing w:val="4"/>
                <w:highlight w:val="none"/>
              </w:rPr>
              <w:t>每增加</w:t>
            </w:r>
            <w:r>
              <w:rPr>
                <w:rFonts w:hint="eastAsia" w:ascii="宋体" w:hAnsi="宋体" w:cs="宋体"/>
                <w:spacing w:val="4"/>
                <w:highlight w:val="none"/>
                <w:lang w:val="en-US" w:eastAsia="zh-CN"/>
              </w:rPr>
              <w:t>1项</w:t>
            </w:r>
            <w:r>
              <w:rPr>
                <w:rFonts w:hint="eastAsia" w:cs="Times New Roman"/>
                <w:highlight w:val="none"/>
                <w:lang w:val="en-US" w:eastAsia="zh-CN"/>
              </w:rPr>
              <w:t>建材产品运输</w:t>
            </w:r>
            <w:r>
              <w:rPr>
                <w:rFonts w:hint="eastAsia" w:ascii="宋体" w:hAnsi="宋体" w:cs="宋体"/>
                <w:spacing w:val="4"/>
                <w:highlight w:val="none"/>
              </w:rPr>
              <w:t>业绩得</w:t>
            </w:r>
            <w:r>
              <w:rPr>
                <w:rFonts w:hint="eastAsia" w:ascii="宋体" w:hAnsi="宋体" w:cs="宋体"/>
                <w:spacing w:val="4"/>
                <w:highlight w:val="none"/>
                <w:lang w:val="en-US" w:eastAsia="zh-CN"/>
              </w:rPr>
              <w:t>1</w:t>
            </w:r>
            <w:r>
              <w:rPr>
                <w:rFonts w:hint="eastAsia" w:ascii="宋体" w:hAnsi="宋体" w:cs="宋体"/>
                <w:spacing w:val="4"/>
                <w:highlight w:val="none"/>
              </w:rPr>
              <w:t>分，最高得</w:t>
            </w:r>
            <w:r>
              <w:rPr>
                <w:rFonts w:hint="eastAsia" w:ascii="宋体" w:hAnsi="宋体" w:cs="宋体"/>
                <w:spacing w:val="4"/>
                <w:highlight w:val="none"/>
                <w:lang w:val="en-US" w:eastAsia="zh-CN"/>
              </w:rPr>
              <w:t>4</w:t>
            </w:r>
            <w:r>
              <w:rPr>
                <w:rFonts w:hint="eastAsia" w:ascii="宋体" w:hAnsi="宋体" w:cs="宋体"/>
                <w:spacing w:val="4"/>
                <w:highlight w:val="none"/>
              </w:rPr>
              <w:t>分。</w:t>
            </w:r>
          </w:p>
          <w:p w14:paraId="21B248F8">
            <w:pPr>
              <w:spacing w:line="360" w:lineRule="auto"/>
              <w:rPr>
                <w:rFonts w:ascii="宋体" w:hAnsi="宋体"/>
                <w:bCs/>
                <w:highlight w:val="none"/>
              </w:rPr>
            </w:pPr>
            <w:r>
              <w:rPr>
                <w:rFonts w:hint="eastAsia"/>
                <w:b/>
                <w:bCs/>
                <w:spacing w:val="4"/>
                <w:highlight w:val="none"/>
              </w:rPr>
              <w:t>注：需提供相关合同复印件且签字盖章齐全；</w:t>
            </w:r>
          </w:p>
        </w:tc>
      </w:tr>
      <w:tr w14:paraId="3FBABF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30" w:hRule="atLeast"/>
        </w:trPr>
        <w:tc>
          <w:tcPr>
            <w:tcW w:w="1013" w:type="dxa"/>
            <w:vMerge w:val="continue"/>
            <w:tcBorders>
              <w:right w:val="single" w:color="auto" w:sz="4" w:space="0"/>
            </w:tcBorders>
            <w:vAlign w:val="center"/>
          </w:tcPr>
          <w:p w14:paraId="682E4C76">
            <w:pPr>
              <w:spacing w:line="360" w:lineRule="auto"/>
            </w:pPr>
          </w:p>
        </w:tc>
        <w:tc>
          <w:tcPr>
            <w:tcW w:w="1447" w:type="dxa"/>
            <w:vMerge w:val="continue"/>
            <w:tcBorders>
              <w:left w:val="single" w:color="auto" w:sz="4" w:space="0"/>
              <w:right w:val="single" w:color="auto" w:sz="4" w:space="0"/>
            </w:tcBorders>
            <w:vAlign w:val="center"/>
          </w:tcPr>
          <w:p w14:paraId="33DAC276">
            <w:pPr>
              <w:spacing w:line="360" w:lineRule="auto"/>
              <w:rPr>
                <w:highlight w:val="none"/>
              </w:rPr>
            </w:pPr>
          </w:p>
        </w:tc>
        <w:tc>
          <w:tcPr>
            <w:tcW w:w="2178" w:type="dxa"/>
            <w:tcBorders>
              <w:top w:val="single" w:color="auto" w:sz="4" w:space="0"/>
              <w:left w:val="single" w:color="auto" w:sz="4" w:space="0"/>
              <w:right w:val="single" w:color="auto" w:sz="4" w:space="0"/>
            </w:tcBorders>
            <w:vAlign w:val="center"/>
          </w:tcPr>
          <w:p w14:paraId="0C13A22E">
            <w:pPr>
              <w:widowControl/>
              <w:jc w:val="center"/>
              <w:rPr>
                <w:rFonts w:hint="eastAsia" w:ascii="宋体" w:hAnsi="宋体" w:eastAsia="宋体"/>
                <w:highlight w:val="none"/>
                <w:lang w:val="en-US" w:eastAsia="zh-CN"/>
              </w:rPr>
            </w:pPr>
            <w:r>
              <w:rPr>
                <w:rFonts w:ascii="宋体" w:hAnsi="宋体"/>
                <w:highlight w:val="none"/>
              </w:rPr>
              <w:t>资金授信方案</w:t>
            </w:r>
          </w:p>
          <w:p w14:paraId="69CB17FC">
            <w:pPr>
              <w:spacing w:line="360" w:lineRule="auto"/>
              <w:jc w:val="center"/>
              <w:rPr>
                <w:rFonts w:ascii="宋体" w:hAnsi="宋体"/>
                <w:bCs/>
                <w:highlight w:val="none"/>
              </w:rPr>
            </w:pPr>
            <w:r>
              <w:rPr>
                <w:rFonts w:ascii="宋体" w:hAnsi="宋体"/>
                <w:highlight w:val="none"/>
              </w:rPr>
              <w:t>（</w:t>
            </w:r>
            <w:r>
              <w:rPr>
                <w:rFonts w:hint="eastAsia" w:ascii="宋体" w:hAnsi="宋体"/>
                <w:highlight w:val="none"/>
                <w:lang w:val="en-US" w:eastAsia="zh-CN"/>
              </w:rPr>
              <w:t>2</w:t>
            </w:r>
            <w:r>
              <w:rPr>
                <w:rFonts w:ascii="宋体" w:hAnsi="宋体"/>
                <w:highlight w:val="none"/>
              </w:rPr>
              <w:t>0分）</w:t>
            </w:r>
          </w:p>
        </w:tc>
        <w:tc>
          <w:tcPr>
            <w:tcW w:w="4747" w:type="dxa"/>
            <w:tcBorders>
              <w:top w:val="single" w:color="auto" w:sz="4" w:space="0"/>
              <w:left w:val="single" w:color="auto" w:sz="4" w:space="0"/>
              <w:right w:val="single" w:color="auto" w:sz="4" w:space="0"/>
            </w:tcBorders>
            <w:vAlign w:val="center"/>
          </w:tcPr>
          <w:p w14:paraId="0843DF8D">
            <w:pPr>
              <w:spacing w:line="360" w:lineRule="auto"/>
              <w:rPr>
                <w:rFonts w:ascii="宋体" w:hAnsi="宋体"/>
                <w:bCs/>
                <w:highlight w:val="none"/>
              </w:rPr>
            </w:pPr>
            <w:r>
              <w:rPr>
                <w:rFonts w:hint="eastAsia" w:ascii="宋体" w:hAnsi="宋体"/>
                <w:bCs/>
                <w:highlight w:val="none"/>
              </w:rPr>
              <w:t>授信金额达到</w:t>
            </w:r>
            <w:r>
              <w:rPr>
                <w:rFonts w:hint="eastAsia" w:ascii="宋体" w:hAnsi="宋体"/>
                <w:bCs/>
                <w:highlight w:val="none"/>
                <w:lang w:val="en-US" w:eastAsia="zh-CN"/>
              </w:rPr>
              <w:t>100</w:t>
            </w:r>
            <w:r>
              <w:rPr>
                <w:rFonts w:hint="eastAsia" w:ascii="宋体" w:hAnsi="宋体"/>
                <w:bCs/>
                <w:highlight w:val="none"/>
              </w:rPr>
              <w:t>万元得</w:t>
            </w:r>
            <w:r>
              <w:rPr>
                <w:rFonts w:hint="eastAsia" w:ascii="宋体" w:hAnsi="宋体"/>
                <w:bCs/>
                <w:highlight w:val="none"/>
                <w:lang w:val="en-US" w:eastAsia="zh-CN"/>
              </w:rPr>
              <w:t>12</w:t>
            </w:r>
            <w:r>
              <w:rPr>
                <w:rFonts w:hint="eastAsia" w:ascii="宋体" w:hAnsi="宋体"/>
                <w:bCs/>
                <w:highlight w:val="none"/>
              </w:rPr>
              <w:t>分；</w:t>
            </w:r>
          </w:p>
          <w:p w14:paraId="02340AA9">
            <w:pPr>
              <w:spacing w:line="360" w:lineRule="auto"/>
              <w:rPr>
                <w:rFonts w:ascii="宋体" w:hAnsi="宋体"/>
                <w:bCs/>
                <w:highlight w:val="none"/>
              </w:rPr>
            </w:pPr>
            <w:r>
              <w:rPr>
                <w:rFonts w:hint="eastAsia" w:ascii="宋体" w:hAnsi="宋体"/>
                <w:bCs/>
                <w:highlight w:val="none"/>
              </w:rPr>
              <w:t>授信金额每增加</w:t>
            </w:r>
            <w:r>
              <w:rPr>
                <w:rFonts w:hint="eastAsia" w:ascii="宋体" w:hAnsi="宋体"/>
                <w:bCs/>
                <w:highlight w:val="none"/>
                <w:lang w:val="en-US" w:eastAsia="zh-CN"/>
              </w:rPr>
              <w:t>50</w:t>
            </w:r>
            <w:r>
              <w:rPr>
                <w:rFonts w:hint="eastAsia" w:ascii="宋体" w:hAnsi="宋体"/>
                <w:bCs/>
                <w:highlight w:val="none"/>
              </w:rPr>
              <w:t>万元，加</w:t>
            </w:r>
            <w:r>
              <w:rPr>
                <w:rFonts w:hint="eastAsia" w:ascii="宋体" w:hAnsi="宋体"/>
                <w:bCs/>
                <w:highlight w:val="none"/>
                <w:lang w:val="en-US" w:eastAsia="zh-CN"/>
              </w:rPr>
              <w:t>2</w:t>
            </w:r>
            <w:r>
              <w:rPr>
                <w:rFonts w:hint="eastAsia" w:ascii="宋体" w:hAnsi="宋体"/>
                <w:bCs/>
                <w:highlight w:val="none"/>
              </w:rPr>
              <w:t>分，最多加</w:t>
            </w:r>
            <w:r>
              <w:rPr>
                <w:rFonts w:hint="eastAsia" w:ascii="宋体" w:hAnsi="宋体"/>
                <w:bCs/>
                <w:highlight w:val="none"/>
                <w:lang w:val="en-US" w:eastAsia="zh-CN"/>
              </w:rPr>
              <w:t>8</w:t>
            </w:r>
            <w:r>
              <w:rPr>
                <w:rFonts w:hint="eastAsia" w:ascii="宋体" w:hAnsi="宋体"/>
                <w:bCs/>
                <w:highlight w:val="none"/>
              </w:rPr>
              <w:t>分。</w:t>
            </w:r>
          </w:p>
        </w:tc>
      </w:tr>
      <w:tr w14:paraId="7608E5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27" w:hRule="atLeast"/>
        </w:trPr>
        <w:tc>
          <w:tcPr>
            <w:tcW w:w="1013" w:type="dxa"/>
            <w:vMerge w:val="restart"/>
            <w:tcBorders>
              <w:top w:val="single" w:color="auto" w:sz="4" w:space="0"/>
              <w:bottom w:val="single" w:color="auto" w:sz="4" w:space="0"/>
              <w:right w:val="single" w:color="auto" w:sz="4" w:space="0"/>
            </w:tcBorders>
            <w:vAlign w:val="center"/>
          </w:tcPr>
          <w:p w14:paraId="6B2C8123">
            <w:pPr>
              <w:spacing w:line="440" w:lineRule="exact"/>
              <w:jc w:val="center"/>
              <w:rPr>
                <w:rFonts w:ascii="宋体" w:hAnsi="宋体"/>
              </w:rPr>
            </w:pPr>
            <w:r>
              <w:t>3</w:t>
            </w:r>
            <w:r>
              <w:rPr>
                <w:rFonts w:ascii="宋体" w:hAnsi="宋体"/>
              </w:rPr>
              <w:t>.</w:t>
            </w:r>
            <w:r>
              <w:t>3</w:t>
            </w:r>
            <w:r>
              <w:rPr>
                <w:rFonts w:ascii="宋体" w:hAnsi="宋体"/>
              </w:rPr>
              <w:t>（</w:t>
            </w:r>
            <w:r>
              <w:t>2</w:t>
            </w:r>
            <w:r>
              <w:rPr>
                <w:rFonts w:ascii="宋体" w:hAnsi="宋体"/>
              </w:rPr>
              <w:t>）</w:t>
            </w:r>
          </w:p>
        </w:tc>
        <w:tc>
          <w:tcPr>
            <w:tcW w:w="1447" w:type="dxa"/>
            <w:vMerge w:val="restart"/>
            <w:tcBorders>
              <w:top w:val="single" w:color="auto" w:sz="4" w:space="0"/>
              <w:left w:val="single" w:color="auto" w:sz="4" w:space="0"/>
              <w:bottom w:val="single" w:color="auto" w:sz="4" w:space="0"/>
              <w:right w:val="single" w:color="auto" w:sz="4" w:space="0"/>
            </w:tcBorders>
            <w:vAlign w:val="center"/>
          </w:tcPr>
          <w:p w14:paraId="42220FDC">
            <w:pPr>
              <w:spacing w:line="440" w:lineRule="exact"/>
              <w:jc w:val="center"/>
              <w:rPr>
                <w:rFonts w:ascii="宋体" w:hAnsi="宋体"/>
                <w:highlight w:val="none"/>
              </w:rPr>
            </w:pPr>
            <w:r>
              <w:rPr>
                <w:rFonts w:ascii="宋体" w:hAnsi="宋体"/>
                <w:highlight w:val="none"/>
              </w:rPr>
              <w:t>技术评分标准</w:t>
            </w:r>
          </w:p>
        </w:tc>
        <w:tc>
          <w:tcPr>
            <w:tcW w:w="2178" w:type="dxa"/>
            <w:tcBorders>
              <w:top w:val="single" w:color="auto" w:sz="4" w:space="0"/>
              <w:left w:val="single" w:color="auto" w:sz="4" w:space="0"/>
              <w:bottom w:val="single" w:color="auto" w:sz="4" w:space="0"/>
              <w:right w:val="single" w:color="auto" w:sz="4" w:space="0"/>
            </w:tcBorders>
            <w:vAlign w:val="center"/>
          </w:tcPr>
          <w:p w14:paraId="39254C06">
            <w:pPr>
              <w:widowControl/>
              <w:spacing w:line="240" w:lineRule="auto"/>
              <w:ind w:firstLine="0" w:firstLineChars="0"/>
              <w:jc w:val="center"/>
              <w:rPr>
                <w:rFonts w:ascii="宋体" w:hAnsi="宋体" w:eastAsia="宋体" w:cs="宋体"/>
                <w:bCs/>
                <w:sz w:val="21"/>
                <w:szCs w:val="24"/>
              </w:rPr>
            </w:pPr>
            <w:r>
              <w:rPr>
                <w:rFonts w:hint="eastAsia" w:ascii="宋体" w:hAnsi="宋体" w:eastAsia="宋体" w:cs="宋体"/>
                <w:bCs/>
                <w:sz w:val="21"/>
                <w:szCs w:val="24"/>
              </w:rPr>
              <w:t>服务方案及技术措施</w:t>
            </w:r>
          </w:p>
          <w:p w14:paraId="5823FD61">
            <w:pPr>
              <w:spacing w:line="440" w:lineRule="exact"/>
              <w:ind w:firstLine="0" w:firstLineChars="0"/>
              <w:jc w:val="center"/>
              <w:rPr>
                <w:rFonts w:ascii="宋体" w:hAnsi="宋体" w:cs="宋体"/>
                <w:highlight w:val="none"/>
              </w:rPr>
            </w:pPr>
            <w:r>
              <w:rPr>
                <w:rFonts w:hint="eastAsia" w:ascii="宋体" w:hAnsi="宋体" w:eastAsia="宋体" w:cs="宋体"/>
                <w:bCs/>
                <w:sz w:val="21"/>
                <w:szCs w:val="24"/>
              </w:rPr>
              <w:t>（</w:t>
            </w:r>
            <w:r>
              <w:rPr>
                <w:rFonts w:hint="eastAsia" w:ascii="宋体" w:hAnsi="宋体" w:eastAsia="宋体" w:cs="宋体"/>
                <w:bCs/>
                <w:sz w:val="21"/>
                <w:szCs w:val="24"/>
                <w:lang w:val="en-US" w:eastAsia="zh-CN"/>
              </w:rPr>
              <w:t>20</w:t>
            </w:r>
            <w:r>
              <w:rPr>
                <w:rFonts w:hint="eastAsia" w:ascii="宋体" w:hAnsi="宋体" w:eastAsia="宋体" w:cs="宋体"/>
                <w:bCs/>
                <w:sz w:val="21"/>
                <w:szCs w:val="24"/>
              </w:rPr>
              <w:t>分）</w:t>
            </w:r>
          </w:p>
        </w:tc>
        <w:tc>
          <w:tcPr>
            <w:tcW w:w="4747" w:type="dxa"/>
            <w:tcBorders>
              <w:top w:val="single" w:color="auto" w:sz="4" w:space="0"/>
              <w:left w:val="single" w:color="auto" w:sz="4" w:space="0"/>
              <w:bottom w:val="single" w:color="auto" w:sz="4" w:space="0"/>
              <w:right w:val="single" w:color="auto" w:sz="4" w:space="0"/>
            </w:tcBorders>
            <w:vAlign w:val="center"/>
          </w:tcPr>
          <w:p w14:paraId="46A330DB">
            <w:pPr>
              <w:spacing w:line="440" w:lineRule="exact"/>
              <w:ind w:firstLine="0" w:firstLineChars="0"/>
              <w:jc w:val="left"/>
              <w:rPr>
                <w:rFonts w:hint="eastAsia" w:ascii="宋体" w:hAnsi="宋体" w:eastAsia="宋体" w:cs="宋体"/>
                <w:sz w:val="21"/>
                <w:szCs w:val="21"/>
                <w:lang w:eastAsia="zh-CN"/>
              </w:rPr>
            </w:pPr>
            <w:r>
              <w:rPr>
                <w:rFonts w:hint="eastAsia" w:ascii="宋体" w:hAnsi="宋体" w:eastAsia="宋体" w:cs="宋体"/>
                <w:sz w:val="21"/>
                <w:szCs w:val="21"/>
              </w:rPr>
              <w:t>准确、详细、科学，得</w:t>
            </w:r>
            <w:r>
              <w:rPr>
                <w:rFonts w:hint="eastAsia" w:ascii="宋体" w:hAnsi="宋体" w:eastAsia="宋体" w:cs="宋体"/>
                <w:sz w:val="21"/>
                <w:szCs w:val="21"/>
                <w:lang w:val="en-US" w:eastAsia="zh-CN"/>
              </w:rPr>
              <w:t>16</w:t>
            </w:r>
            <w:r>
              <w:rPr>
                <w:rFonts w:hint="eastAsia" w:ascii="宋体" w:hAnsi="宋体" w:eastAsia="宋体" w:cs="宋体"/>
                <w:sz w:val="21"/>
                <w:szCs w:val="21"/>
              </w:rPr>
              <w:t>-</w:t>
            </w:r>
            <w:r>
              <w:rPr>
                <w:rFonts w:hint="eastAsia" w:ascii="宋体" w:hAnsi="宋体" w:eastAsia="宋体" w:cs="宋体"/>
                <w:sz w:val="21"/>
                <w:szCs w:val="21"/>
                <w:lang w:val="en-US" w:eastAsia="zh-CN"/>
              </w:rPr>
              <w:t>20</w:t>
            </w:r>
            <w:r>
              <w:rPr>
                <w:rFonts w:hint="eastAsia" w:ascii="宋体" w:hAnsi="宋体" w:eastAsia="宋体" w:cs="宋体"/>
                <w:sz w:val="21"/>
                <w:szCs w:val="21"/>
              </w:rPr>
              <w:t>分</w:t>
            </w:r>
            <w:r>
              <w:rPr>
                <w:rFonts w:hint="eastAsia" w:ascii="宋体" w:hAnsi="宋体" w:eastAsia="宋体" w:cs="宋体"/>
                <w:sz w:val="21"/>
                <w:szCs w:val="21"/>
                <w:lang w:eastAsia="zh-CN"/>
              </w:rPr>
              <w:t>；</w:t>
            </w:r>
          </w:p>
          <w:p w14:paraId="3BAE805C">
            <w:pPr>
              <w:spacing w:line="440" w:lineRule="exact"/>
              <w:ind w:firstLine="0" w:firstLineChars="0"/>
              <w:jc w:val="left"/>
              <w:rPr>
                <w:rFonts w:hint="eastAsia" w:ascii="宋体" w:hAnsi="宋体" w:eastAsia="宋体" w:cs="宋体"/>
                <w:sz w:val="21"/>
                <w:szCs w:val="21"/>
                <w:lang w:eastAsia="zh-CN"/>
              </w:rPr>
            </w:pPr>
            <w:r>
              <w:rPr>
                <w:rFonts w:hint="eastAsia" w:ascii="宋体" w:hAnsi="宋体" w:eastAsia="宋体" w:cs="宋体"/>
                <w:sz w:val="21"/>
                <w:szCs w:val="21"/>
              </w:rPr>
              <w:t>较准确、详细、较科学，得</w:t>
            </w:r>
            <w:r>
              <w:rPr>
                <w:rFonts w:hint="eastAsia" w:ascii="宋体" w:hAnsi="宋体" w:eastAsia="宋体" w:cs="宋体"/>
                <w:sz w:val="21"/>
                <w:szCs w:val="21"/>
                <w:lang w:val="en-US" w:eastAsia="zh-CN"/>
              </w:rPr>
              <w:t>12</w:t>
            </w:r>
            <w:r>
              <w:rPr>
                <w:rFonts w:hint="eastAsia" w:ascii="宋体" w:hAnsi="宋体" w:eastAsia="宋体" w:cs="宋体"/>
                <w:sz w:val="21"/>
                <w:szCs w:val="21"/>
              </w:rPr>
              <w:t>-</w:t>
            </w:r>
            <w:r>
              <w:rPr>
                <w:rFonts w:ascii="宋体" w:hAnsi="宋体" w:eastAsia="宋体" w:cs="宋体"/>
                <w:sz w:val="21"/>
                <w:szCs w:val="21"/>
              </w:rPr>
              <w:t>1</w:t>
            </w:r>
            <w:r>
              <w:rPr>
                <w:rFonts w:hint="eastAsia" w:ascii="宋体" w:hAnsi="宋体" w:eastAsia="宋体" w:cs="宋体"/>
                <w:sz w:val="21"/>
                <w:szCs w:val="21"/>
                <w:lang w:val="en-US" w:eastAsia="zh-CN"/>
              </w:rPr>
              <w:t>6</w:t>
            </w:r>
            <w:r>
              <w:rPr>
                <w:rFonts w:hint="eastAsia" w:ascii="宋体" w:hAnsi="宋体" w:eastAsia="宋体" w:cs="宋体"/>
                <w:sz w:val="21"/>
                <w:szCs w:val="21"/>
              </w:rPr>
              <w:t>分</w:t>
            </w:r>
            <w:r>
              <w:rPr>
                <w:rFonts w:hint="eastAsia" w:ascii="宋体" w:hAnsi="宋体" w:eastAsia="宋体" w:cs="宋体"/>
                <w:sz w:val="21"/>
                <w:szCs w:val="21"/>
                <w:lang w:eastAsia="zh-CN"/>
              </w:rPr>
              <w:t>；</w:t>
            </w:r>
          </w:p>
          <w:p w14:paraId="154ED8FA">
            <w:pPr>
              <w:spacing w:line="440" w:lineRule="exact"/>
              <w:ind w:firstLine="0" w:firstLineChars="0"/>
              <w:jc w:val="left"/>
              <w:rPr>
                <w:rFonts w:cs="宋体"/>
                <w:highlight w:val="none"/>
              </w:rPr>
            </w:pPr>
            <w:r>
              <w:rPr>
                <w:rFonts w:hint="eastAsia" w:ascii="宋体" w:hAnsi="宋体" w:eastAsia="宋体" w:cs="宋体"/>
                <w:sz w:val="21"/>
                <w:szCs w:val="21"/>
              </w:rPr>
              <w:t>理解认识一般，得</w:t>
            </w:r>
            <w:r>
              <w:rPr>
                <w:rFonts w:hint="eastAsia" w:ascii="宋体" w:hAnsi="宋体" w:eastAsia="宋体" w:cs="宋体"/>
                <w:sz w:val="21"/>
                <w:szCs w:val="21"/>
                <w:lang w:val="en-US" w:eastAsia="zh-CN"/>
              </w:rPr>
              <w:t>12</w:t>
            </w:r>
            <w:r>
              <w:rPr>
                <w:rFonts w:hint="eastAsia" w:ascii="宋体" w:hAnsi="宋体" w:eastAsia="宋体" w:cs="宋体"/>
                <w:sz w:val="21"/>
                <w:szCs w:val="21"/>
              </w:rPr>
              <w:t>分</w:t>
            </w:r>
            <w:r>
              <w:rPr>
                <w:rFonts w:hint="eastAsia" w:ascii="宋体" w:hAnsi="宋体" w:eastAsia="宋体" w:cs="宋体"/>
                <w:sz w:val="21"/>
                <w:szCs w:val="21"/>
                <w:lang w:eastAsia="zh-CN"/>
              </w:rPr>
              <w:t>。</w:t>
            </w:r>
          </w:p>
        </w:tc>
      </w:tr>
      <w:tr w14:paraId="4F0B3D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15" w:hRule="atLeast"/>
        </w:trPr>
        <w:tc>
          <w:tcPr>
            <w:tcW w:w="1013" w:type="dxa"/>
            <w:vMerge w:val="continue"/>
            <w:tcBorders>
              <w:top w:val="single" w:color="auto" w:sz="4" w:space="0"/>
              <w:bottom w:val="single" w:color="auto" w:sz="4" w:space="0"/>
              <w:right w:val="single" w:color="auto" w:sz="4" w:space="0"/>
            </w:tcBorders>
            <w:vAlign w:val="center"/>
          </w:tcPr>
          <w:p w14:paraId="19E34731">
            <w:pPr>
              <w:spacing w:line="440" w:lineRule="exact"/>
              <w:jc w:val="center"/>
              <w:rPr>
                <w:rFonts w:ascii="宋体" w:hAnsi="宋体"/>
              </w:rPr>
            </w:pPr>
          </w:p>
        </w:tc>
        <w:tc>
          <w:tcPr>
            <w:tcW w:w="1447" w:type="dxa"/>
            <w:vMerge w:val="continue"/>
            <w:tcBorders>
              <w:top w:val="single" w:color="auto" w:sz="4" w:space="0"/>
              <w:bottom w:val="single" w:color="auto" w:sz="4" w:space="0"/>
              <w:right w:val="single" w:color="auto" w:sz="4" w:space="0"/>
            </w:tcBorders>
            <w:vAlign w:val="center"/>
          </w:tcPr>
          <w:p w14:paraId="2AB51209">
            <w:pPr>
              <w:spacing w:line="440" w:lineRule="exact"/>
              <w:jc w:val="center"/>
              <w:rPr>
                <w:rFonts w:ascii="宋体" w:hAnsi="宋体"/>
                <w:highlight w:val="none"/>
              </w:rPr>
            </w:pPr>
          </w:p>
        </w:tc>
        <w:tc>
          <w:tcPr>
            <w:tcW w:w="2178" w:type="dxa"/>
            <w:tcBorders>
              <w:top w:val="single" w:color="auto" w:sz="4" w:space="0"/>
              <w:left w:val="single" w:color="auto" w:sz="4" w:space="0"/>
              <w:bottom w:val="single" w:color="auto" w:sz="4" w:space="0"/>
              <w:right w:val="single" w:color="auto" w:sz="4" w:space="0"/>
            </w:tcBorders>
            <w:vAlign w:val="center"/>
          </w:tcPr>
          <w:p w14:paraId="1C694D3D">
            <w:pPr>
              <w:spacing w:line="440" w:lineRule="exact"/>
              <w:ind w:firstLine="0" w:firstLineChars="0"/>
              <w:jc w:val="center"/>
              <w:rPr>
                <w:rFonts w:ascii="宋体" w:hAnsi="宋体" w:cs="宋体"/>
                <w:kern w:val="0"/>
                <w:highlight w:val="none"/>
              </w:rPr>
            </w:pPr>
            <w:r>
              <w:rPr>
                <w:rFonts w:hint="eastAsia" w:ascii="宋体" w:hAnsi="宋体" w:eastAsia="宋体" w:cs="宋体"/>
                <w:sz w:val="21"/>
                <w:szCs w:val="24"/>
              </w:rPr>
              <w:t>劳动力投入计划（</w:t>
            </w:r>
            <w:r>
              <w:rPr>
                <w:rFonts w:hint="eastAsia" w:ascii="宋体" w:hAnsi="宋体" w:eastAsia="宋体" w:cs="宋体"/>
                <w:sz w:val="21"/>
                <w:szCs w:val="24"/>
                <w:lang w:val="en-US" w:eastAsia="zh-CN"/>
              </w:rPr>
              <w:t>2</w:t>
            </w:r>
            <w:r>
              <w:rPr>
                <w:rFonts w:ascii="宋体" w:hAnsi="宋体" w:eastAsia="宋体" w:cs="宋体"/>
                <w:sz w:val="21"/>
                <w:szCs w:val="24"/>
              </w:rPr>
              <w:t>0</w:t>
            </w:r>
            <w:r>
              <w:rPr>
                <w:rFonts w:hint="eastAsia" w:ascii="宋体" w:hAnsi="宋体" w:eastAsia="宋体" w:cs="宋体"/>
                <w:sz w:val="21"/>
                <w:szCs w:val="24"/>
              </w:rPr>
              <w:t>分）</w:t>
            </w:r>
          </w:p>
        </w:tc>
        <w:tc>
          <w:tcPr>
            <w:tcW w:w="4747" w:type="dxa"/>
            <w:tcBorders>
              <w:top w:val="single" w:color="auto" w:sz="4" w:space="0"/>
              <w:left w:val="single" w:color="auto" w:sz="4" w:space="0"/>
              <w:bottom w:val="single" w:color="auto" w:sz="4" w:space="0"/>
              <w:right w:val="single" w:color="auto" w:sz="4" w:space="0"/>
            </w:tcBorders>
            <w:vAlign w:val="center"/>
          </w:tcPr>
          <w:p w14:paraId="1FF10D3E">
            <w:pPr>
              <w:spacing w:line="440" w:lineRule="exact"/>
              <w:ind w:firstLine="0" w:firstLineChars="0"/>
              <w:jc w:val="left"/>
              <w:rPr>
                <w:rFonts w:hint="eastAsia" w:ascii="宋体" w:hAnsi="宋体" w:eastAsia="宋体" w:cs="宋体"/>
                <w:sz w:val="21"/>
                <w:szCs w:val="24"/>
                <w:lang w:eastAsia="zh-CN"/>
              </w:rPr>
            </w:pPr>
            <w:r>
              <w:rPr>
                <w:rFonts w:hint="eastAsia" w:ascii="宋体" w:hAnsi="宋体" w:eastAsia="宋体" w:cs="宋体"/>
                <w:sz w:val="21"/>
                <w:szCs w:val="24"/>
              </w:rPr>
              <w:t>人员配备合理、专业齐全，经验丰富得</w:t>
            </w:r>
            <w:r>
              <w:rPr>
                <w:rFonts w:hint="eastAsia" w:ascii="宋体" w:hAnsi="宋体" w:eastAsia="宋体" w:cs="宋体"/>
                <w:sz w:val="21"/>
                <w:szCs w:val="24"/>
                <w:lang w:val="en-US" w:eastAsia="zh-CN"/>
              </w:rPr>
              <w:t>16</w:t>
            </w:r>
            <w:r>
              <w:rPr>
                <w:rFonts w:hint="eastAsia" w:ascii="宋体" w:hAnsi="宋体" w:eastAsia="宋体" w:cs="宋体"/>
                <w:sz w:val="21"/>
                <w:szCs w:val="24"/>
              </w:rPr>
              <w:t>-</w:t>
            </w:r>
            <w:r>
              <w:rPr>
                <w:rFonts w:hint="eastAsia" w:ascii="宋体" w:hAnsi="宋体" w:eastAsia="宋体" w:cs="宋体"/>
                <w:sz w:val="21"/>
                <w:szCs w:val="24"/>
                <w:lang w:val="en-US" w:eastAsia="zh-CN"/>
              </w:rPr>
              <w:t>20</w:t>
            </w:r>
            <w:r>
              <w:rPr>
                <w:rFonts w:hint="eastAsia" w:ascii="宋体" w:hAnsi="宋体" w:eastAsia="宋体" w:cs="宋体"/>
                <w:sz w:val="21"/>
                <w:szCs w:val="24"/>
              </w:rPr>
              <w:t>分</w:t>
            </w:r>
            <w:r>
              <w:rPr>
                <w:rFonts w:hint="eastAsia" w:ascii="宋体" w:hAnsi="宋体" w:eastAsia="宋体" w:cs="宋体"/>
                <w:sz w:val="21"/>
                <w:szCs w:val="24"/>
                <w:lang w:eastAsia="zh-CN"/>
              </w:rPr>
              <w:t>；</w:t>
            </w:r>
          </w:p>
          <w:p w14:paraId="28033882">
            <w:pPr>
              <w:spacing w:line="440" w:lineRule="exact"/>
              <w:ind w:firstLine="0" w:firstLineChars="0"/>
              <w:jc w:val="left"/>
              <w:rPr>
                <w:rFonts w:hint="eastAsia" w:ascii="宋体" w:hAnsi="宋体" w:eastAsia="宋体" w:cs="宋体"/>
                <w:sz w:val="21"/>
                <w:szCs w:val="24"/>
                <w:lang w:eastAsia="zh-CN"/>
              </w:rPr>
            </w:pPr>
            <w:r>
              <w:rPr>
                <w:rFonts w:hint="eastAsia" w:ascii="宋体" w:hAnsi="宋体" w:eastAsia="宋体" w:cs="宋体"/>
                <w:sz w:val="21"/>
                <w:szCs w:val="24"/>
              </w:rPr>
              <w:t>人员配备较合理，得</w:t>
            </w:r>
            <w:r>
              <w:rPr>
                <w:rFonts w:hint="eastAsia" w:ascii="宋体" w:hAnsi="宋体" w:eastAsia="宋体" w:cs="宋体"/>
                <w:sz w:val="21"/>
                <w:szCs w:val="24"/>
                <w:lang w:val="en-US" w:eastAsia="zh-CN"/>
              </w:rPr>
              <w:t>12</w:t>
            </w:r>
            <w:r>
              <w:rPr>
                <w:rFonts w:hint="eastAsia" w:ascii="宋体" w:hAnsi="宋体" w:eastAsia="宋体" w:cs="宋体"/>
                <w:sz w:val="21"/>
                <w:szCs w:val="24"/>
              </w:rPr>
              <w:t>-</w:t>
            </w:r>
            <w:r>
              <w:rPr>
                <w:rFonts w:hint="eastAsia" w:ascii="宋体" w:hAnsi="宋体" w:eastAsia="宋体" w:cs="宋体"/>
                <w:sz w:val="21"/>
                <w:szCs w:val="24"/>
                <w:lang w:val="en-US" w:eastAsia="zh-CN"/>
              </w:rPr>
              <w:t>16</w:t>
            </w:r>
            <w:r>
              <w:rPr>
                <w:rFonts w:hint="eastAsia" w:ascii="宋体" w:hAnsi="宋体" w:eastAsia="宋体" w:cs="宋体"/>
                <w:sz w:val="21"/>
                <w:szCs w:val="24"/>
              </w:rPr>
              <w:t>分</w:t>
            </w:r>
            <w:r>
              <w:rPr>
                <w:rFonts w:hint="eastAsia" w:ascii="宋体" w:hAnsi="宋体" w:eastAsia="宋体" w:cs="宋体"/>
                <w:sz w:val="21"/>
                <w:szCs w:val="24"/>
                <w:lang w:eastAsia="zh-CN"/>
              </w:rPr>
              <w:t>；</w:t>
            </w:r>
          </w:p>
          <w:p w14:paraId="7E1ED5AA">
            <w:pPr>
              <w:spacing w:line="440" w:lineRule="exact"/>
              <w:ind w:firstLine="0" w:firstLineChars="0"/>
              <w:jc w:val="left"/>
              <w:rPr>
                <w:rFonts w:ascii="宋体" w:hAnsi="宋体" w:cs="宋体"/>
                <w:highlight w:val="none"/>
              </w:rPr>
            </w:pPr>
            <w:r>
              <w:rPr>
                <w:rFonts w:hint="eastAsia" w:ascii="宋体" w:hAnsi="宋体" w:eastAsia="宋体" w:cs="宋体"/>
                <w:sz w:val="21"/>
                <w:szCs w:val="24"/>
              </w:rPr>
              <w:t>人员配备一般，得</w:t>
            </w:r>
            <w:r>
              <w:rPr>
                <w:rFonts w:hint="eastAsia" w:ascii="宋体" w:hAnsi="宋体" w:eastAsia="宋体" w:cs="宋体"/>
                <w:sz w:val="21"/>
                <w:szCs w:val="24"/>
                <w:lang w:val="en-US" w:eastAsia="zh-CN"/>
              </w:rPr>
              <w:t>12</w:t>
            </w:r>
            <w:r>
              <w:rPr>
                <w:rFonts w:hint="eastAsia" w:ascii="宋体" w:hAnsi="宋体" w:eastAsia="宋体" w:cs="宋体"/>
                <w:sz w:val="21"/>
                <w:szCs w:val="24"/>
              </w:rPr>
              <w:t>分</w:t>
            </w:r>
            <w:r>
              <w:rPr>
                <w:rFonts w:hint="eastAsia" w:ascii="宋体" w:hAnsi="宋体" w:eastAsia="宋体" w:cs="宋体"/>
                <w:sz w:val="21"/>
                <w:szCs w:val="24"/>
                <w:lang w:eastAsia="zh-CN"/>
              </w:rPr>
              <w:t>。</w:t>
            </w:r>
          </w:p>
        </w:tc>
      </w:tr>
      <w:tr w14:paraId="31FF6C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6" w:hRule="atLeast"/>
        </w:trPr>
        <w:tc>
          <w:tcPr>
            <w:tcW w:w="1013" w:type="dxa"/>
            <w:vMerge w:val="continue"/>
            <w:tcBorders>
              <w:top w:val="single" w:color="auto" w:sz="4" w:space="0"/>
              <w:bottom w:val="single" w:color="auto" w:sz="4" w:space="0"/>
              <w:right w:val="single" w:color="auto" w:sz="4" w:space="0"/>
            </w:tcBorders>
            <w:vAlign w:val="center"/>
          </w:tcPr>
          <w:p w14:paraId="5CC26302">
            <w:pPr>
              <w:spacing w:line="440" w:lineRule="exact"/>
              <w:jc w:val="center"/>
              <w:rPr>
                <w:rFonts w:ascii="宋体" w:hAnsi="宋体"/>
              </w:rPr>
            </w:pPr>
          </w:p>
        </w:tc>
        <w:tc>
          <w:tcPr>
            <w:tcW w:w="1447" w:type="dxa"/>
            <w:vMerge w:val="continue"/>
            <w:tcBorders>
              <w:top w:val="single" w:color="auto" w:sz="4" w:space="0"/>
              <w:bottom w:val="single" w:color="auto" w:sz="4" w:space="0"/>
              <w:right w:val="single" w:color="auto" w:sz="4" w:space="0"/>
            </w:tcBorders>
            <w:vAlign w:val="center"/>
          </w:tcPr>
          <w:p w14:paraId="242980D2">
            <w:pPr>
              <w:spacing w:line="440" w:lineRule="exact"/>
              <w:jc w:val="center"/>
              <w:rPr>
                <w:rFonts w:ascii="宋体" w:hAnsi="宋体"/>
                <w:highlight w:val="none"/>
              </w:rPr>
            </w:pPr>
          </w:p>
        </w:tc>
        <w:tc>
          <w:tcPr>
            <w:tcW w:w="2178" w:type="dxa"/>
            <w:tcBorders>
              <w:top w:val="single" w:color="auto" w:sz="4" w:space="0"/>
              <w:left w:val="single" w:color="auto" w:sz="4" w:space="0"/>
              <w:bottom w:val="single" w:color="auto" w:sz="4" w:space="0"/>
              <w:right w:val="single" w:color="auto" w:sz="4" w:space="0"/>
            </w:tcBorders>
            <w:vAlign w:val="center"/>
          </w:tcPr>
          <w:p w14:paraId="4A533CAE">
            <w:pPr>
              <w:spacing w:line="440" w:lineRule="exact"/>
              <w:ind w:firstLine="0" w:firstLineChars="0"/>
              <w:jc w:val="center"/>
              <w:rPr>
                <w:rFonts w:ascii="宋体" w:hAnsi="宋体" w:cs="宋体"/>
                <w:kern w:val="0"/>
                <w:highlight w:val="none"/>
              </w:rPr>
            </w:pPr>
            <w:r>
              <w:rPr>
                <w:rFonts w:hint="eastAsia" w:ascii="宋体" w:hAnsi="宋体" w:eastAsia="宋体" w:cs="宋体"/>
                <w:sz w:val="21"/>
                <w:szCs w:val="21"/>
              </w:rPr>
              <w:t>质量、安全承诺及保障措施（</w:t>
            </w:r>
            <w:r>
              <w:rPr>
                <w:rFonts w:hint="eastAsia" w:ascii="宋体" w:hAnsi="宋体" w:eastAsia="宋体" w:cs="宋体"/>
                <w:sz w:val="21"/>
                <w:szCs w:val="21"/>
                <w:lang w:val="en-US" w:eastAsia="zh-CN"/>
              </w:rPr>
              <w:t>2</w:t>
            </w:r>
            <w:r>
              <w:rPr>
                <w:rFonts w:ascii="宋体" w:hAnsi="宋体" w:eastAsia="宋体" w:cs="宋体"/>
                <w:sz w:val="21"/>
                <w:szCs w:val="21"/>
              </w:rPr>
              <w:t>0</w:t>
            </w:r>
            <w:r>
              <w:rPr>
                <w:rFonts w:hint="eastAsia" w:ascii="宋体" w:hAnsi="宋体" w:eastAsia="宋体" w:cs="宋体"/>
                <w:sz w:val="21"/>
                <w:szCs w:val="21"/>
              </w:rPr>
              <w:t>分）</w:t>
            </w:r>
          </w:p>
        </w:tc>
        <w:tc>
          <w:tcPr>
            <w:tcW w:w="4747" w:type="dxa"/>
            <w:tcBorders>
              <w:top w:val="single" w:color="auto" w:sz="4" w:space="0"/>
              <w:left w:val="single" w:color="auto" w:sz="4" w:space="0"/>
              <w:bottom w:val="single" w:color="auto" w:sz="4" w:space="0"/>
              <w:right w:val="single" w:color="auto" w:sz="4" w:space="0"/>
            </w:tcBorders>
            <w:vAlign w:val="center"/>
          </w:tcPr>
          <w:p w14:paraId="14676877">
            <w:pPr>
              <w:spacing w:line="440" w:lineRule="exact"/>
              <w:ind w:firstLine="0" w:firstLineChars="0"/>
              <w:jc w:val="left"/>
              <w:rPr>
                <w:rFonts w:hint="eastAsia" w:ascii="宋体" w:hAnsi="宋体" w:eastAsia="宋体" w:cs="宋体"/>
                <w:sz w:val="21"/>
                <w:szCs w:val="21"/>
                <w:lang w:eastAsia="zh-CN"/>
              </w:rPr>
            </w:pPr>
            <w:r>
              <w:rPr>
                <w:rFonts w:hint="eastAsia" w:ascii="宋体" w:hAnsi="宋体" w:eastAsia="宋体" w:cs="宋体"/>
                <w:sz w:val="21"/>
                <w:szCs w:val="21"/>
              </w:rPr>
              <w:t>保证体系健全，措施完善、合理、可行，得</w:t>
            </w:r>
            <w:r>
              <w:rPr>
                <w:rFonts w:hint="eastAsia" w:ascii="宋体" w:hAnsi="宋体" w:eastAsia="宋体" w:cs="宋体"/>
                <w:sz w:val="21"/>
                <w:szCs w:val="21"/>
                <w:lang w:val="en-US" w:eastAsia="zh-CN"/>
              </w:rPr>
              <w:t>16</w:t>
            </w:r>
            <w:r>
              <w:rPr>
                <w:rFonts w:ascii="宋体" w:hAnsi="宋体" w:eastAsia="宋体" w:cs="宋体"/>
                <w:sz w:val="21"/>
                <w:szCs w:val="21"/>
              </w:rPr>
              <w:t>-</w:t>
            </w:r>
            <w:r>
              <w:rPr>
                <w:rFonts w:hint="eastAsia" w:ascii="宋体" w:hAnsi="宋体" w:eastAsia="宋体" w:cs="宋体"/>
                <w:sz w:val="21"/>
                <w:szCs w:val="21"/>
                <w:lang w:val="en-US" w:eastAsia="zh-CN"/>
              </w:rPr>
              <w:t>2</w:t>
            </w:r>
            <w:r>
              <w:rPr>
                <w:rFonts w:ascii="宋体" w:hAnsi="宋体" w:eastAsia="宋体" w:cs="宋体"/>
                <w:sz w:val="21"/>
                <w:szCs w:val="21"/>
              </w:rPr>
              <w:t>0</w:t>
            </w:r>
            <w:r>
              <w:rPr>
                <w:rFonts w:hint="eastAsia" w:ascii="宋体" w:hAnsi="宋体" w:eastAsia="宋体" w:cs="宋体"/>
                <w:sz w:val="21"/>
                <w:szCs w:val="21"/>
              </w:rPr>
              <w:t>分</w:t>
            </w:r>
            <w:r>
              <w:rPr>
                <w:rFonts w:hint="eastAsia" w:ascii="宋体" w:hAnsi="宋体" w:eastAsia="宋体" w:cs="宋体"/>
                <w:sz w:val="21"/>
                <w:szCs w:val="21"/>
                <w:lang w:eastAsia="zh-CN"/>
              </w:rPr>
              <w:t>；</w:t>
            </w:r>
          </w:p>
          <w:p w14:paraId="2808D730">
            <w:pPr>
              <w:spacing w:line="440" w:lineRule="exact"/>
              <w:ind w:firstLine="0" w:firstLineChars="0"/>
              <w:jc w:val="left"/>
              <w:rPr>
                <w:rFonts w:hint="eastAsia" w:ascii="宋体" w:hAnsi="宋体" w:eastAsia="宋体" w:cs="宋体"/>
                <w:sz w:val="21"/>
                <w:szCs w:val="21"/>
                <w:lang w:eastAsia="zh-CN"/>
              </w:rPr>
            </w:pPr>
            <w:r>
              <w:rPr>
                <w:rFonts w:hint="eastAsia" w:ascii="宋体" w:hAnsi="宋体" w:eastAsia="宋体" w:cs="宋体"/>
                <w:sz w:val="21"/>
                <w:szCs w:val="21"/>
              </w:rPr>
              <w:t>保证体系较健全，措施较完善、合理，得</w:t>
            </w:r>
            <w:r>
              <w:rPr>
                <w:rFonts w:hint="eastAsia" w:ascii="宋体" w:hAnsi="宋体" w:eastAsia="宋体" w:cs="宋体"/>
                <w:sz w:val="21"/>
                <w:szCs w:val="21"/>
                <w:lang w:val="en-US" w:eastAsia="zh-CN"/>
              </w:rPr>
              <w:t>12</w:t>
            </w:r>
            <w:r>
              <w:rPr>
                <w:rFonts w:ascii="宋体" w:hAnsi="宋体" w:eastAsia="宋体" w:cs="宋体"/>
                <w:sz w:val="21"/>
                <w:szCs w:val="21"/>
              </w:rPr>
              <w:t>-</w:t>
            </w:r>
            <w:r>
              <w:rPr>
                <w:rFonts w:hint="eastAsia" w:ascii="宋体" w:hAnsi="宋体" w:eastAsia="宋体" w:cs="宋体"/>
                <w:sz w:val="21"/>
                <w:szCs w:val="21"/>
                <w:lang w:val="en-US" w:eastAsia="zh-CN"/>
              </w:rPr>
              <w:t>16</w:t>
            </w:r>
            <w:r>
              <w:rPr>
                <w:rFonts w:hint="eastAsia" w:ascii="宋体" w:hAnsi="宋体" w:eastAsia="宋体" w:cs="宋体"/>
                <w:sz w:val="21"/>
                <w:szCs w:val="21"/>
              </w:rPr>
              <w:t>分</w:t>
            </w:r>
            <w:r>
              <w:rPr>
                <w:rFonts w:hint="eastAsia" w:ascii="宋体" w:hAnsi="宋体" w:eastAsia="宋体" w:cs="宋体"/>
                <w:sz w:val="21"/>
                <w:szCs w:val="21"/>
                <w:lang w:eastAsia="zh-CN"/>
              </w:rPr>
              <w:t>；</w:t>
            </w:r>
          </w:p>
          <w:p w14:paraId="55F115B6">
            <w:pPr>
              <w:spacing w:line="440" w:lineRule="exact"/>
              <w:ind w:firstLine="0" w:firstLineChars="0"/>
              <w:jc w:val="left"/>
              <w:rPr>
                <w:rFonts w:ascii="宋体" w:hAnsi="宋体" w:cs="宋体"/>
                <w:highlight w:val="none"/>
              </w:rPr>
            </w:pPr>
            <w:r>
              <w:rPr>
                <w:rFonts w:hint="eastAsia" w:ascii="宋体" w:hAnsi="宋体" w:eastAsia="宋体" w:cs="宋体"/>
                <w:sz w:val="21"/>
                <w:szCs w:val="21"/>
              </w:rPr>
              <w:t>保证体系、措施一般，得</w:t>
            </w:r>
            <w:r>
              <w:rPr>
                <w:rFonts w:hint="eastAsia" w:ascii="宋体" w:hAnsi="宋体" w:eastAsia="宋体" w:cs="宋体"/>
                <w:sz w:val="21"/>
                <w:szCs w:val="21"/>
                <w:lang w:val="en-US" w:eastAsia="zh-CN"/>
              </w:rPr>
              <w:t>12</w:t>
            </w:r>
            <w:r>
              <w:rPr>
                <w:rFonts w:hint="eastAsia" w:ascii="宋体" w:hAnsi="宋体" w:eastAsia="宋体" w:cs="宋体"/>
                <w:sz w:val="21"/>
                <w:szCs w:val="21"/>
              </w:rPr>
              <w:t>分</w:t>
            </w:r>
            <w:r>
              <w:rPr>
                <w:rFonts w:hint="eastAsia" w:ascii="宋体" w:hAnsi="宋体" w:eastAsia="宋体" w:cs="宋体"/>
                <w:sz w:val="21"/>
                <w:szCs w:val="21"/>
                <w:lang w:eastAsia="zh-CN"/>
              </w:rPr>
              <w:t>。</w:t>
            </w:r>
          </w:p>
        </w:tc>
      </w:tr>
      <w:tr w14:paraId="71631C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1" w:hRule="atLeast"/>
        </w:trPr>
        <w:tc>
          <w:tcPr>
            <w:tcW w:w="1013" w:type="dxa"/>
            <w:tcBorders>
              <w:top w:val="single" w:color="auto" w:sz="4" w:space="0"/>
              <w:left w:val="single" w:color="auto" w:sz="4" w:space="0"/>
              <w:bottom w:val="single" w:color="auto" w:sz="4" w:space="0"/>
              <w:right w:val="single" w:color="auto" w:sz="4" w:space="0"/>
            </w:tcBorders>
            <w:vAlign w:val="center"/>
          </w:tcPr>
          <w:p w14:paraId="7B28DA0C">
            <w:pPr>
              <w:spacing w:line="440" w:lineRule="exact"/>
              <w:jc w:val="center"/>
              <w:rPr>
                <w:rFonts w:ascii="宋体" w:hAnsi="宋体"/>
              </w:rPr>
            </w:pPr>
            <w:r>
              <w:t>3</w:t>
            </w:r>
            <w:r>
              <w:rPr>
                <w:rFonts w:ascii="宋体" w:hAnsi="宋体"/>
              </w:rPr>
              <w:t>.</w:t>
            </w:r>
            <w:r>
              <w:t>3</w:t>
            </w:r>
            <w:r>
              <w:rPr>
                <w:rFonts w:ascii="宋体" w:hAnsi="宋体"/>
              </w:rPr>
              <w:t>（</w:t>
            </w:r>
            <w:r>
              <w:t>3</w:t>
            </w:r>
            <w:r>
              <w:rPr>
                <w:rFonts w:ascii="宋体" w:hAnsi="宋体"/>
              </w:rPr>
              <w:t>）</w:t>
            </w:r>
          </w:p>
        </w:tc>
        <w:tc>
          <w:tcPr>
            <w:tcW w:w="1447" w:type="dxa"/>
            <w:tcBorders>
              <w:top w:val="single" w:color="auto" w:sz="4" w:space="0"/>
              <w:left w:val="single" w:color="auto" w:sz="4" w:space="0"/>
              <w:bottom w:val="single" w:color="auto" w:sz="4" w:space="0"/>
              <w:right w:val="single" w:color="auto" w:sz="4" w:space="0"/>
            </w:tcBorders>
            <w:vAlign w:val="center"/>
          </w:tcPr>
          <w:p w14:paraId="0785AE74">
            <w:pPr>
              <w:spacing w:line="440" w:lineRule="exact"/>
              <w:jc w:val="center"/>
              <w:rPr>
                <w:rFonts w:ascii="宋体" w:hAnsi="宋体"/>
              </w:rPr>
            </w:pPr>
            <w:r>
              <w:rPr>
                <w:rFonts w:ascii="宋体" w:hAnsi="宋体"/>
              </w:rPr>
              <w:t>报价评分标准</w:t>
            </w:r>
          </w:p>
        </w:tc>
        <w:tc>
          <w:tcPr>
            <w:tcW w:w="6925" w:type="dxa"/>
            <w:gridSpan w:val="2"/>
            <w:tcBorders>
              <w:top w:val="single" w:color="auto" w:sz="4" w:space="0"/>
              <w:left w:val="single" w:color="auto" w:sz="4" w:space="0"/>
              <w:bottom w:val="single" w:color="auto" w:sz="4" w:space="0"/>
              <w:right w:val="single" w:color="auto" w:sz="4" w:space="0"/>
            </w:tcBorders>
            <w:vAlign w:val="center"/>
          </w:tcPr>
          <w:p w14:paraId="2E096E50">
            <w:pPr>
              <w:spacing w:line="380" w:lineRule="atLeast"/>
              <w:jc w:val="center"/>
              <w:rPr>
                <w:rFonts w:ascii="宋体" w:hAnsi="宋体"/>
              </w:rPr>
            </w:pPr>
            <w:r>
              <w:rPr>
                <w:rFonts w:hint="eastAsia" w:ascii="宋体" w:hAnsi="宋体"/>
              </w:rPr>
              <w:t>不适用</w:t>
            </w:r>
          </w:p>
        </w:tc>
      </w:tr>
      <w:tr w14:paraId="429345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1013" w:type="dxa"/>
            <w:tcBorders>
              <w:top w:val="single" w:color="auto" w:sz="4" w:space="0"/>
              <w:left w:val="single" w:color="auto" w:sz="4" w:space="0"/>
              <w:bottom w:val="single" w:color="auto" w:sz="4" w:space="0"/>
              <w:right w:val="single" w:color="auto" w:sz="4" w:space="0"/>
            </w:tcBorders>
          </w:tcPr>
          <w:p w14:paraId="141FB446">
            <w:pPr>
              <w:spacing w:line="440" w:lineRule="exact"/>
              <w:jc w:val="center"/>
              <w:rPr>
                <w:rFonts w:ascii="宋体" w:hAnsi="宋体"/>
              </w:rPr>
            </w:pPr>
            <w:r>
              <w:t>3</w:t>
            </w:r>
            <w:r>
              <w:rPr>
                <w:rFonts w:ascii="宋体" w:hAnsi="宋体"/>
              </w:rPr>
              <w:t>.</w:t>
            </w:r>
            <w:r>
              <w:t>3</w:t>
            </w:r>
            <w:r>
              <w:rPr>
                <w:rFonts w:ascii="宋体" w:hAnsi="宋体"/>
              </w:rPr>
              <w:t>（</w:t>
            </w:r>
            <w:r>
              <w:t>4</w:t>
            </w:r>
            <w:r>
              <w:rPr>
                <w:rFonts w:ascii="宋体" w:hAnsi="宋体"/>
              </w:rPr>
              <w:t>）</w:t>
            </w:r>
          </w:p>
        </w:tc>
        <w:tc>
          <w:tcPr>
            <w:tcW w:w="1447" w:type="dxa"/>
            <w:tcBorders>
              <w:top w:val="single" w:color="auto" w:sz="4" w:space="0"/>
              <w:left w:val="single" w:color="auto" w:sz="4" w:space="0"/>
              <w:bottom w:val="single" w:color="auto" w:sz="4" w:space="0"/>
              <w:right w:val="single" w:color="auto" w:sz="4" w:space="0"/>
            </w:tcBorders>
          </w:tcPr>
          <w:p w14:paraId="209524FD">
            <w:pPr>
              <w:spacing w:line="440" w:lineRule="exact"/>
              <w:jc w:val="center"/>
              <w:rPr>
                <w:rFonts w:ascii="宋体" w:hAnsi="宋体"/>
              </w:rPr>
            </w:pPr>
            <w:r>
              <w:rPr>
                <w:rFonts w:ascii="宋体" w:hAnsi="宋体"/>
              </w:rPr>
              <w:t>其他因素评分标准</w:t>
            </w:r>
          </w:p>
        </w:tc>
        <w:tc>
          <w:tcPr>
            <w:tcW w:w="2178" w:type="dxa"/>
            <w:tcBorders>
              <w:top w:val="single" w:color="auto" w:sz="4" w:space="0"/>
              <w:left w:val="single" w:color="auto" w:sz="4" w:space="0"/>
              <w:bottom w:val="single" w:color="auto" w:sz="4" w:space="0"/>
              <w:right w:val="single" w:color="auto" w:sz="4" w:space="0"/>
            </w:tcBorders>
            <w:vAlign w:val="center"/>
          </w:tcPr>
          <w:p w14:paraId="5CBF64EC">
            <w:pPr>
              <w:spacing w:line="440" w:lineRule="exact"/>
              <w:jc w:val="center"/>
              <w:rPr>
                <w:rFonts w:ascii="宋体" w:hAnsi="宋体"/>
              </w:rPr>
            </w:pPr>
            <w:r>
              <w:rPr>
                <w:rFonts w:hint="eastAsia" w:ascii="宋体" w:hAnsi="宋体"/>
              </w:rPr>
              <w:t>/</w:t>
            </w:r>
          </w:p>
        </w:tc>
        <w:tc>
          <w:tcPr>
            <w:tcW w:w="4747" w:type="dxa"/>
            <w:tcBorders>
              <w:top w:val="single" w:color="auto" w:sz="4" w:space="0"/>
              <w:left w:val="single" w:color="auto" w:sz="4" w:space="0"/>
              <w:bottom w:val="single" w:color="auto" w:sz="4" w:space="0"/>
              <w:right w:val="single" w:color="auto" w:sz="4" w:space="0"/>
            </w:tcBorders>
            <w:vAlign w:val="center"/>
          </w:tcPr>
          <w:p w14:paraId="3DD69447">
            <w:pPr>
              <w:spacing w:line="440" w:lineRule="exact"/>
              <w:jc w:val="center"/>
              <w:rPr>
                <w:rFonts w:ascii="宋体" w:hAnsi="宋体"/>
              </w:rPr>
            </w:pPr>
            <w:r>
              <w:rPr>
                <w:rFonts w:hint="eastAsia" w:ascii="宋体" w:hAnsi="宋体"/>
              </w:rPr>
              <w:t>/</w:t>
            </w:r>
          </w:p>
        </w:tc>
      </w:tr>
    </w:tbl>
    <w:p w14:paraId="2865786C">
      <w:pPr>
        <w:spacing w:line="400" w:lineRule="exact"/>
        <w:rPr>
          <w:rFonts w:ascii="宋体" w:hAnsi="宋体"/>
        </w:rPr>
      </w:pPr>
      <w:r>
        <w:rPr>
          <w:rFonts w:ascii="宋体" w:hAnsi="宋体"/>
        </w:rPr>
        <w:br w:type="page"/>
      </w:r>
    </w:p>
    <w:p w14:paraId="5BFF1A8D">
      <w:pPr>
        <w:keepNext/>
        <w:keepLines/>
        <w:widowControl/>
        <w:spacing w:before="260" w:after="260"/>
        <w:outlineLvl w:val="1"/>
        <w:rPr>
          <w:rFonts w:eastAsia="黑体"/>
          <w:b/>
          <w:sz w:val="28"/>
          <w:szCs w:val="18"/>
        </w:rPr>
      </w:pPr>
      <w:bookmarkStart w:id="336" w:name="_Toc118805533"/>
      <w:bookmarkStart w:id="337" w:name="_Toc8674"/>
      <w:bookmarkStart w:id="338" w:name="_Toc11461"/>
      <w:bookmarkStart w:id="339" w:name="_Toc12481"/>
      <w:bookmarkStart w:id="340" w:name="_Toc118805910"/>
      <w:bookmarkStart w:id="341" w:name="_Toc4907"/>
      <w:bookmarkStart w:id="342" w:name="_Toc118805156"/>
      <w:bookmarkStart w:id="343" w:name="_Toc138604679"/>
      <w:bookmarkStart w:id="344" w:name="_Toc7631"/>
      <w:bookmarkStart w:id="345" w:name="_Toc118806281"/>
      <w:bookmarkStart w:id="346" w:name="_Toc149140253"/>
      <w:bookmarkStart w:id="347" w:name="_Toc3366_WPSOffice_Level3"/>
      <w:bookmarkStart w:id="348" w:name="_Toc13455"/>
      <w:bookmarkStart w:id="349" w:name="_Toc501460714"/>
      <w:r>
        <w:rPr>
          <w:rFonts w:eastAsia="黑体"/>
          <w:b/>
          <w:sz w:val="28"/>
          <w:szCs w:val="18"/>
        </w:rPr>
        <w:t>1. 评审方法（综合评分法）</w:t>
      </w:r>
      <w:bookmarkEnd w:id="336"/>
      <w:bookmarkEnd w:id="337"/>
      <w:bookmarkEnd w:id="338"/>
      <w:bookmarkEnd w:id="339"/>
      <w:bookmarkEnd w:id="340"/>
      <w:bookmarkEnd w:id="341"/>
      <w:bookmarkEnd w:id="342"/>
      <w:bookmarkEnd w:id="343"/>
      <w:bookmarkEnd w:id="344"/>
      <w:bookmarkEnd w:id="345"/>
      <w:bookmarkEnd w:id="346"/>
      <w:bookmarkEnd w:id="347"/>
      <w:bookmarkEnd w:id="348"/>
    </w:p>
    <w:p w14:paraId="136400E4">
      <w:pPr>
        <w:spacing w:line="400" w:lineRule="exact"/>
        <w:ind w:firstLine="420" w:firstLineChars="200"/>
        <w:rPr>
          <w:rFonts w:ascii="宋体" w:hAnsi="宋体"/>
        </w:rPr>
      </w:pPr>
      <w:bookmarkStart w:id="350" w:name="_Hlk138879131"/>
      <w:r>
        <w:rPr>
          <w:rFonts w:ascii="宋体" w:hAnsi="宋体"/>
        </w:rPr>
        <w:t>本次评审采用综合评分法。评审小组对满足采购文件实质性要求的响应文件，按照本章第</w:t>
      </w:r>
      <w:r>
        <w:t>3</w:t>
      </w:r>
      <w:r>
        <w:rPr>
          <w:rFonts w:ascii="宋体" w:hAnsi="宋体"/>
        </w:rPr>
        <w:t>条规定的评分标准进行打分，并按得分由高到低的顺序推荐候选成交供应商。</w:t>
      </w:r>
    </w:p>
    <w:bookmarkEnd w:id="350"/>
    <w:p w14:paraId="09AE47A3">
      <w:pPr>
        <w:keepNext/>
        <w:keepLines/>
        <w:widowControl/>
        <w:spacing w:before="260" w:after="260"/>
        <w:outlineLvl w:val="1"/>
        <w:rPr>
          <w:rFonts w:eastAsia="黑体"/>
          <w:b/>
          <w:sz w:val="28"/>
          <w:szCs w:val="18"/>
        </w:rPr>
      </w:pPr>
      <w:bookmarkStart w:id="351" w:name="_Toc23214"/>
      <w:bookmarkStart w:id="352" w:name="_Toc138604681"/>
      <w:bookmarkStart w:id="353" w:name="_Toc118806283"/>
      <w:bookmarkStart w:id="354" w:name="_Toc28622"/>
      <w:bookmarkStart w:id="355" w:name="_Toc4304"/>
      <w:bookmarkStart w:id="356" w:name="_Toc13989"/>
      <w:bookmarkStart w:id="357" w:name="_Toc14894"/>
      <w:bookmarkStart w:id="358" w:name="_Toc118805912"/>
      <w:bookmarkStart w:id="359" w:name="_Toc25692_WPSOffice_Level3"/>
      <w:bookmarkStart w:id="360" w:name="_Toc118805158"/>
      <w:bookmarkStart w:id="361" w:name="_Toc118805535"/>
      <w:bookmarkStart w:id="362" w:name="_Toc149140254"/>
      <w:bookmarkStart w:id="363" w:name="_Toc4324"/>
      <w:r>
        <w:rPr>
          <w:rFonts w:eastAsia="黑体"/>
          <w:b/>
          <w:sz w:val="28"/>
          <w:szCs w:val="18"/>
        </w:rPr>
        <w:t>2. 初步评审标准</w:t>
      </w:r>
      <w:bookmarkEnd w:id="349"/>
      <w:r>
        <w:rPr>
          <w:rFonts w:eastAsia="黑体"/>
          <w:b/>
          <w:sz w:val="28"/>
          <w:szCs w:val="18"/>
        </w:rPr>
        <w:t>和程序</w:t>
      </w:r>
      <w:bookmarkEnd w:id="351"/>
      <w:bookmarkEnd w:id="352"/>
      <w:bookmarkEnd w:id="353"/>
      <w:bookmarkEnd w:id="354"/>
      <w:bookmarkEnd w:id="355"/>
      <w:bookmarkEnd w:id="356"/>
      <w:bookmarkEnd w:id="357"/>
      <w:bookmarkEnd w:id="358"/>
      <w:bookmarkEnd w:id="359"/>
      <w:bookmarkEnd w:id="360"/>
      <w:bookmarkEnd w:id="361"/>
      <w:bookmarkEnd w:id="362"/>
      <w:bookmarkEnd w:id="363"/>
    </w:p>
    <w:p w14:paraId="50B44E42">
      <w:pPr>
        <w:widowControl/>
        <w:spacing w:before="100" w:beforeAutospacing="1" w:after="100" w:afterAutospacing="1" w:line="400" w:lineRule="exact"/>
        <w:ind w:left="2" w:leftChars="1"/>
        <w:jc w:val="left"/>
        <w:outlineLvl w:val="2"/>
        <w:rPr>
          <w:rFonts w:eastAsia="黑体"/>
          <w:sz w:val="24"/>
        </w:rPr>
      </w:pPr>
      <w:bookmarkStart w:id="364" w:name="_Toc501460715"/>
      <w:bookmarkStart w:id="365" w:name="_Toc118805159"/>
      <w:bookmarkStart w:id="366" w:name="_Toc118806284"/>
      <w:bookmarkStart w:id="367" w:name="_Toc118805536"/>
      <w:bookmarkStart w:id="368" w:name="_Toc118805913"/>
      <w:bookmarkStart w:id="369" w:name="_Toc4363"/>
      <w:bookmarkStart w:id="370" w:name="_Toc2337"/>
      <w:bookmarkStart w:id="371" w:name="_Toc149140255"/>
      <w:bookmarkStart w:id="372" w:name="_Toc27135"/>
      <w:bookmarkStart w:id="373" w:name="_Toc138604682"/>
      <w:bookmarkStart w:id="374" w:name="_Toc15249"/>
      <w:bookmarkStart w:id="375" w:name="_Toc21375"/>
      <w:bookmarkStart w:id="376" w:name="_Toc21632"/>
      <w:bookmarkStart w:id="377" w:name="_Toc143102252"/>
      <w:bookmarkStart w:id="378" w:name="_Toc138876334"/>
      <w:r>
        <w:rPr>
          <w:rFonts w:eastAsia="黑体"/>
          <w:sz w:val="24"/>
        </w:rPr>
        <w:t>2.1 初步评审标准</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6CC2E267">
      <w:pPr>
        <w:spacing w:line="400" w:lineRule="exact"/>
        <w:ind w:firstLine="420" w:firstLineChars="200"/>
        <w:rPr>
          <w:rFonts w:ascii="宋体" w:hAnsi="宋体"/>
        </w:rPr>
      </w:pPr>
      <w:bookmarkStart w:id="379" w:name="_Hlk138879144"/>
      <w:r>
        <w:t>2</w:t>
      </w:r>
      <w:r>
        <w:rPr>
          <w:rFonts w:ascii="宋体" w:hAnsi="宋体"/>
        </w:rPr>
        <w:t>.</w:t>
      </w:r>
      <w:r>
        <w:t>1</w:t>
      </w:r>
      <w:r>
        <w:rPr>
          <w:rFonts w:ascii="宋体" w:hAnsi="宋体"/>
        </w:rPr>
        <w:t>.</w:t>
      </w:r>
      <w:r>
        <w:t>1</w:t>
      </w:r>
      <w:r>
        <w:rPr>
          <w:rFonts w:ascii="宋体" w:hAnsi="宋体"/>
        </w:rPr>
        <w:t xml:space="preserve"> 形式评审标准：见评审办法前附表。</w:t>
      </w:r>
    </w:p>
    <w:p w14:paraId="3070CAAC">
      <w:pPr>
        <w:spacing w:line="400" w:lineRule="exact"/>
        <w:ind w:firstLine="420"/>
        <w:rPr>
          <w:rFonts w:ascii="宋体" w:hAnsi="宋体"/>
        </w:rPr>
      </w:pPr>
      <w:r>
        <w:t>2</w:t>
      </w:r>
      <w:r>
        <w:rPr>
          <w:rFonts w:ascii="宋体" w:hAnsi="宋体"/>
        </w:rPr>
        <w:t>.</w:t>
      </w:r>
      <w:r>
        <w:t>1</w:t>
      </w:r>
      <w:r>
        <w:rPr>
          <w:rFonts w:ascii="宋体" w:hAnsi="宋体"/>
        </w:rPr>
        <w:t>.</w:t>
      </w:r>
      <w:r>
        <w:t>2</w:t>
      </w:r>
      <w:r>
        <w:rPr>
          <w:rFonts w:ascii="宋体" w:hAnsi="宋体"/>
        </w:rPr>
        <w:t xml:space="preserve"> 资格评审标准：见评审办法前附表。</w:t>
      </w:r>
    </w:p>
    <w:p w14:paraId="203396DF">
      <w:pPr>
        <w:spacing w:line="400" w:lineRule="exact"/>
        <w:ind w:firstLine="420" w:firstLineChars="200"/>
        <w:rPr>
          <w:rFonts w:ascii="宋体" w:hAnsi="宋体"/>
        </w:rPr>
      </w:pPr>
      <w:r>
        <w:t>2</w:t>
      </w:r>
      <w:r>
        <w:rPr>
          <w:rFonts w:ascii="宋体" w:hAnsi="宋体"/>
        </w:rPr>
        <w:t>.</w:t>
      </w:r>
      <w:r>
        <w:t>1</w:t>
      </w:r>
      <w:r>
        <w:rPr>
          <w:rFonts w:ascii="宋体" w:hAnsi="宋体"/>
        </w:rPr>
        <w:t>.</w:t>
      </w:r>
      <w:r>
        <w:t>3</w:t>
      </w:r>
      <w:r>
        <w:rPr>
          <w:rFonts w:ascii="宋体" w:hAnsi="宋体"/>
        </w:rPr>
        <w:t xml:space="preserve"> 响应性评审标准：见评审办法前附表。</w:t>
      </w:r>
    </w:p>
    <w:bookmarkEnd w:id="379"/>
    <w:p w14:paraId="42A49848">
      <w:pPr>
        <w:widowControl/>
        <w:spacing w:before="100" w:beforeAutospacing="1" w:after="100" w:afterAutospacing="1" w:line="400" w:lineRule="exact"/>
        <w:ind w:left="2" w:leftChars="1"/>
        <w:jc w:val="left"/>
        <w:outlineLvl w:val="2"/>
        <w:rPr>
          <w:rFonts w:eastAsia="黑体"/>
          <w:sz w:val="24"/>
        </w:rPr>
      </w:pPr>
      <w:bookmarkStart w:id="380" w:name="_Toc143102253"/>
      <w:bookmarkStart w:id="381" w:name="_Toc12797"/>
      <w:bookmarkStart w:id="382" w:name="_Toc9680"/>
      <w:bookmarkStart w:id="383" w:name="_Toc138604683"/>
      <w:bookmarkStart w:id="384" w:name="_Toc149140256"/>
      <w:bookmarkStart w:id="385" w:name="_Toc118806285"/>
      <w:bookmarkStart w:id="386" w:name="_Toc118805537"/>
      <w:bookmarkStart w:id="387" w:name="_Toc138876335"/>
      <w:bookmarkStart w:id="388" w:name="_Toc11364"/>
      <w:bookmarkStart w:id="389" w:name="_Toc12930"/>
      <w:bookmarkStart w:id="390" w:name="_Toc23939"/>
      <w:bookmarkStart w:id="391" w:name="_Toc118805160"/>
      <w:bookmarkStart w:id="392" w:name="_Toc14130"/>
      <w:bookmarkStart w:id="393" w:name="_Toc118805914"/>
      <w:r>
        <w:rPr>
          <w:rFonts w:eastAsia="黑体"/>
          <w:sz w:val="24"/>
        </w:rPr>
        <w:t>2.2 初步评审程序</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34C3205E">
      <w:pPr>
        <w:spacing w:line="400" w:lineRule="exact"/>
        <w:ind w:firstLine="420" w:firstLineChars="200"/>
        <w:rPr>
          <w:rFonts w:ascii="宋体" w:hAnsi="宋体"/>
        </w:rPr>
      </w:pPr>
      <w:r>
        <w:t>2</w:t>
      </w:r>
      <w:r>
        <w:rPr>
          <w:rFonts w:ascii="宋体" w:hAnsi="宋体"/>
        </w:rPr>
        <w:t>.</w:t>
      </w:r>
      <w:r>
        <w:t>2</w:t>
      </w:r>
      <w:r>
        <w:rPr>
          <w:rFonts w:ascii="宋体" w:hAnsi="宋体"/>
        </w:rPr>
        <w:t>.</w:t>
      </w:r>
      <w:r>
        <w:t>1</w:t>
      </w:r>
      <w:r>
        <w:rPr>
          <w:rFonts w:ascii="宋体" w:hAnsi="宋体"/>
        </w:rPr>
        <w:t xml:space="preserve"> 评审小组依据本章第</w:t>
      </w:r>
      <w:r>
        <w:t>2</w:t>
      </w:r>
      <w:r>
        <w:rPr>
          <w:rFonts w:ascii="宋体" w:hAnsi="宋体"/>
        </w:rPr>
        <w:t>.</w:t>
      </w:r>
      <w:r>
        <w:t>1</w:t>
      </w:r>
      <w:r>
        <w:rPr>
          <w:rFonts w:ascii="宋体" w:hAnsi="宋体"/>
        </w:rPr>
        <w:t>款规定的标准对供应商递交的响应文件进行初步评审，判断响应文件的形式是否符合要求、供应商是否符合资格条件、响应文件是否实质性响应采购文件的要求。只有以上评审合格的响应文件才可通过初步评审。</w:t>
      </w:r>
    </w:p>
    <w:p w14:paraId="0434D54E">
      <w:pPr>
        <w:spacing w:line="400" w:lineRule="exact"/>
        <w:ind w:firstLine="420" w:firstLineChars="200"/>
        <w:rPr>
          <w:rFonts w:ascii="宋体" w:hAnsi="宋体"/>
        </w:rPr>
      </w:pPr>
      <w:r>
        <w:t>2</w:t>
      </w:r>
      <w:r>
        <w:rPr>
          <w:rFonts w:ascii="宋体" w:hAnsi="宋体"/>
        </w:rPr>
        <w:t>.</w:t>
      </w:r>
      <w:r>
        <w:t>2</w:t>
      </w:r>
      <w:r>
        <w:rPr>
          <w:rFonts w:ascii="宋体" w:hAnsi="宋体"/>
        </w:rPr>
        <w:t>.</w:t>
      </w:r>
      <w:r>
        <w:t>2</w:t>
      </w:r>
      <w:r>
        <w:rPr>
          <w:rFonts w:ascii="宋体" w:hAnsi="宋体"/>
        </w:rPr>
        <w:t xml:space="preserve"> 除评审办法前附表另有规定外，评审价格为供应商在响应函中填报的大写含税价格。评审价格若超过最高限价（如有）或修正后的最终响应报价超过最高限价（如有）或供应商不接受修正后价格的，其响应文件将被视为无效。</w:t>
      </w:r>
    </w:p>
    <w:p w14:paraId="6EC9F2F3">
      <w:pPr>
        <w:spacing w:line="400" w:lineRule="exact"/>
        <w:ind w:firstLine="420" w:firstLineChars="200"/>
        <w:rPr>
          <w:rFonts w:ascii="宋体" w:hAnsi="宋体"/>
          <w:szCs w:val="21"/>
        </w:rPr>
      </w:pPr>
      <w:r>
        <w:rPr>
          <w:rFonts w:ascii="宋体" w:hAnsi="宋体"/>
          <w:szCs w:val="21"/>
        </w:rPr>
        <w:t>评审小组经过对供应商的报价进行比较或基于专业经验认为某一供应商的报价异常过低，可能对其履约造成影响时，应当要求该供应商作出说明并提供相应的证明材料。供应商不能合理说明或者不能提供</w:t>
      </w:r>
      <w:r>
        <w:rPr>
          <w:rFonts w:ascii="宋体" w:hAnsi="宋体"/>
        </w:rPr>
        <w:t>相应</w:t>
      </w:r>
      <w:r>
        <w:rPr>
          <w:rFonts w:ascii="宋体" w:hAnsi="宋体"/>
          <w:szCs w:val="21"/>
        </w:rPr>
        <w:t>证明材料的，</w:t>
      </w:r>
      <w:r>
        <w:rPr>
          <w:rFonts w:ascii="宋体" w:hAnsi="宋体"/>
        </w:rPr>
        <w:t>其响应文件将被视为无效</w:t>
      </w:r>
      <w:r>
        <w:rPr>
          <w:rFonts w:ascii="宋体" w:hAnsi="宋体"/>
          <w:szCs w:val="21"/>
        </w:rPr>
        <w:t>。</w:t>
      </w:r>
    </w:p>
    <w:p w14:paraId="23B60D3C">
      <w:pPr>
        <w:spacing w:line="400" w:lineRule="exact"/>
        <w:ind w:firstLine="420" w:firstLineChars="200"/>
        <w:rPr>
          <w:rFonts w:ascii="宋体" w:hAnsi="宋体"/>
        </w:rPr>
      </w:pPr>
      <w:bookmarkStart w:id="394" w:name="_Hlk117603957"/>
      <w:r>
        <w:rPr>
          <w:rFonts w:ascii="宋体" w:hAnsi="宋体"/>
        </w:rPr>
        <w:t>评审小组发现不同供应商的响应文件异常一致、响应文件呈规律性差异、响应文件载明的项目管理负责人为同一人的，其响应文件将被视为无效。</w:t>
      </w:r>
    </w:p>
    <w:bookmarkEnd w:id="394"/>
    <w:p w14:paraId="09F5F527">
      <w:pPr>
        <w:spacing w:line="400" w:lineRule="exact"/>
        <w:ind w:firstLine="420" w:firstLineChars="200"/>
        <w:rPr>
          <w:rFonts w:ascii="宋体" w:hAnsi="宋体"/>
        </w:rPr>
      </w:pPr>
      <w:r>
        <w:t>2</w:t>
      </w:r>
      <w:r>
        <w:rPr>
          <w:rFonts w:ascii="宋体" w:hAnsi="宋体"/>
        </w:rPr>
        <w:t>.</w:t>
      </w:r>
      <w:r>
        <w:t>2</w:t>
      </w:r>
      <w:r>
        <w:rPr>
          <w:rFonts w:ascii="宋体" w:hAnsi="宋体"/>
        </w:rPr>
        <w:t>.</w:t>
      </w:r>
      <w:r>
        <w:t>3</w:t>
      </w:r>
      <w:r>
        <w:rPr>
          <w:rFonts w:ascii="宋体" w:hAnsi="宋体"/>
        </w:rPr>
        <w:t xml:space="preserve"> 响应文件中有含义不明确、同类问题表述不一致或有明显文字和计算错误的内容，评审小组可以通过“招采平台-评标系统”在“评标澄清”菜单中以数据电文形式要求</w:t>
      </w:r>
      <w:r>
        <w:rPr>
          <w:rFonts w:ascii="宋体" w:hAnsi="宋体"/>
          <w:color w:val="000000"/>
        </w:rPr>
        <w:t>供应商</w:t>
      </w:r>
      <w:r>
        <w:rPr>
          <w:rFonts w:ascii="宋体" w:hAnsi="宋体"/>
        </w:rPr>
        <w:t>对响应文件的内容在规定时间内进行澄清、说明和补正，同时“招采平台”将</w:t>
      </w:r>
      <w:r>
        <w:rPr>
          <w:rFonts w:ascii="宋体" w:hAnsi="宋体"/>
          <w:szCs w:val="21"/>
        </w:rPr>
        <w:t>以向供应商</w:t>
      </w:r>
      <w:r>
        <w:rPr>
          <w:rFonts w:ascii="宋体" w:hAnsi="宋体"/>
          <w:kern w:val="0"/>
        </w:rPr>
        <w:t>在下载采购文件时系统中</w:t>
      </w:r>
      <w:r>
        <w:rPr>
          <w:rFonts w:ascii="宋体" w:hAnsi="宋体"/>
          <w:szCs w:val="21"/>
        </w:rPr>
        <w:t>预留的手机号发送短信的方式友情提醒供应商登录平台查看</w:t>
      </w:r>
      <w:r>
        <w:rPr>
          <w:rFonts w:ascii="宋体" w:hAnsi="宋体"/>
        </w:rPr>
        <w:t>。澄清、说明和补正不得超出响应文件的范围且不得改变响应文件的实质性内容，并构成响应文件的组成部分。评审小组不接受</w:t>
      </w:r>
      <w:r>
        <w:rPr>
          <w:rFonts w:ascii="宋体" w:hAnsi="宋体"/>
          <w:szCs w:val="21"/>
        </w:rPr>
        <w:t>供应商</w:t>
      </w:r>
      <w:r>
        <w:rPr>
          <w:rFonts w:ascii="宋体" w:hAnsi="宋体"/>
        </w:rPr>
        <w:t>主动提出的澄清、说明和补正。</w:t>
      </w:r>
    </w:p>
    <w:p w14:paraId="7890D0B2">
      <w:pPr>
        <w:spacing w:line="400" w:lineRule="exact"/>
        <w:ind w:firstLine="420" w:firstLineChars="200"/>
        <w:rPr>
          <w:rFonts w:ascii="宋体" w:hAnsi="宋体"/>
        </w:rPr>
      </w:pPr>
      <w:r>
        <w:rPr>
          <w:rFonts w:ascii="宋体" w:hAnsi="宋体"/>
        </w:rPr>
        <w:t>响应报价有算术错误及其他错误的，评审小组按以下原则要求供应商对响应报价进行修正，并要求供应商澄清确认。供应商拒不澄清确认的，其响应文件将被视为无效：</w:t>
      </w:r>
    </w:p>
    <w:p w14:paraId="27AECBDD">
      <w:pPr>
        <w:spacing w:line="400" w:lineRule="exact"/>
        <w:ind w:firstLine="420" w:firstLineChars="200"/>
        <w:rPr>
          <w:rFonts w:ascii="宋体" w:hAnsi="宋体"/>
        </w:rPr>
      </w:pPr>
      <w:r>
        <w:rPr>
          <w:rFonts w:ascii="宋体" w:hAnsi="宋体"/>
        </w:rPr>
        <w:t>（</w:t>
      </w:r>
      <w:r>
        <w:t>1</w:t>
      </w:r>
      <w:r>
        <w:rPr>
          <w:rFonts w:ascii="宋体" w:hAnsi="宋体"/>
        </w:rPr>
        <w:t>）大写金额与小写金额不一致的，以大写金额为准；</w:t>
      </w:r>
    </w:p>
    <w:p w14:paraId="1CCA68BD">
      <w:pPr>
        <w:spacing w:line="400" w:lineRule="exact"/>
        <w:ind w:firstLine="420" w:firstLineChars="200"/>
        <w:rPr>
          <w:rFonts w:ascii="宋体" w:hAnsi="宋体"/>
        </w:rPr>
      </w:pPr>
      <w:r>
        <w:rPr>
          <w:rFonts w:ascii="宋体" w:hAnsi="宋体"/>
        </w:rPr>
        <w:t>（</w:t>
      </w:r>
      <w:r>
        <w:t>2</w:t>
      </w:r>
      <w:r>
        <w:rPr>
          <w:rFonts w:ascii="宋体" w:hAnsi="宋体"/>
        </w:rPr>
        <w:t>）总价金额与单价金额不一致的，以单价金额为准，但单价金额小数点有明显错误的除外；</w:t>
      </w:r>
    </w:p>
    <w:p w14:paraId="79DF2BC9">
      <w:pPr>
        <w:spacing w:line="400" w:lineRule="exact"/>
        <w:ind w:firstLine="420"/>
        <w:rPr>
          <w:rFonts w:ascii="宋体" w:hAnsi="宋体"/>
        </w:rPr>
      </w:pPr>
      <w:r>
        <w:rPr>
          <w:rFonts w:ascii="宋体" w:hAnsi="宋体"/>
        </w:rPr>
        <w:t>（</w:t>
      </w:r>
      <w:r>
        <w:t>3</w:t>
      </w:r>
      <w:r>
        <w:rPr>
          <w:rFonts w:ascii="宋体" w:hAnsi="宋体"/>
        </w:rPr>
        <w:t>）报价表合计报价与各分项报价的合计不一致的，以各分项报价的合价累计数为准；</w:t>
      </w:r>
    </w:p>
    <w:p w14:paraId="23545E1F">
      <w:pPr>
        <w:spacing w:line="400" w:lineRule="exact"/>
        <w:ind w:firstLine="420" w:firstLineChars="200"/>
        <w:rPr>
          <w:rFonts w:ascii="宋体" w:hAnsi="宋体"/>
          <w:szCs w:val="21"/>
        </w:rPr>
      </w:pPr>
      <w:r>
        <w:rPr>
          <w:rFonts w:ascii="宋体" w:hAnsi="宋体"/>
        </w:rPr>
        <w:t>（</w:t>
      </w:r>
      <w:r>
        <w:t>4</w:t>
      </w:r>
      <w:r>
        <w:rPr>
          <w:rFonts w:ascii="宋体" w:hAnsi="宋体"/>
        </w:rPr>
        <w:t>）如果分项报价中存在缺漏项，且缺漏项内容不属于实质性偏差的，则视为缺漏项内容的价格已包含在其他分项报价之中。</w:t>
      </w:r>
    </w:p>
    <w:p w14:paraId="7AA23655">
      <w:pPr>
        <w:spacing w:line="400" w:lineRule="exact"/>
        <w:ind w:firstLine="420" w:firstLineChars="200"/>
        <w:rPr>
          <w:rFonts w:ascii="宋体" w:hAnsi="宋体"/>
          <w:szCs w:val="21"/>
        </w:rPr>
      </w:pPr>
      <w:r>
        <w:rPr>
          <w:rFonts w:ascii="宋体" w:hAnsi="宋体"/>
        </w:rPr>
        <w:t>响应报价的算术错误修正不改变评审依据的响应总报价。当修正后的总报价高于原响应报价且不高于最高限价时，视同供应商响应报价错误产生少漏计费用，签订框架协议时由供应商承担，如评审小组认为供应商无法承受少漏计费用，可以将响应报价作为异常低价处理;当修正后的总报价低于原响应报价时，签订框架协议时以修正后的报价为准。</w:t>
      </w:r>
    </w:p>
    <w:p w14:paraId="05F3202A">
      <w:pPr>
        <w:spacing w:line="400" w:lineRule="exact"/>
        <w:ind w:firstLine="420" w:firstLineChars="200"/>
        <w:rPr>
          <w:rFonts w:ascii="宋体" w:hAnsi="宋体"/>
        </w:rPr>
      </w:pPr>
      <w:r>
        <w:t>2</w:t>
      </w:r>
      <w:r>
        <w:rPr>
          <w:rFonts w:ascii="宋体" w:hAnsi="宋体"/>
        </w:rPr>
        <w:t>.</w:t>
      </w:r>
      <w:r>
        <w:t>2</w:t>
      </w:r>
      <w:r>
        <w:rPr>
          <w:rFonts w:ascii="宋体" w:hAnsi="宋体"/>
        </w:rPr>
        <w:t>.</w:t>
      </w:r>
      <w:r>
        <w:t>4</w:t>
      </w:r>
      <w:r>
        <w:rPr>
          <w:rFonts w:ascii="宋体" w:hAnsi="宋体"/>
        </w:rPr>
        <w:t xml:space="preserve"> 供应商有串通、弄虚作假、行贿等违法行为的，其响应文件将被视为无效。</w:t>
      </w:r>
    </w:p>
    <w:p w14:paraId="24240069">
      <w:pPr>
        <w:spacing w:line="400" w:lineRule="exact"/>
        <w:ind w:firstLine="420" w:firstLineChars="200"/>
        <w:rPr>
          <w:rFonts w:ascii="宋体" w:hAnsi="宋体"/>
        </w:rPr>
      </w:pPr>
      <w:bookmarkStart w:id="395" w:name="_Toc26719"/>
      <w:bookmarkStart w:id="396" w:name="_Toc22985_WPSOffice_Level3"/>
      <w:bookmarkStart w:id="397" w:name="_Toc13462"/>
      <w:bookmarkStart w:id="398" w:name="_Toc23779"/>
      <w:bookmarkStart w:id="399" w:name="_Toc15792"/>
      <w:bookmarkStart w:id="400" w:name="_Toc14171"/>
      <w:bookmarkStart w:id="401" w:name="_Toc4129"/>
      <w:r>
        <w:t>2</w:t>
      </w:r>
      <w:r>
        <w:rPr>
          <w:rFonts w:ascii="宋体" w:hAnsi="宋体"/>
        </w:rPr>
        <w:t>.</w:t>
      </w:r>
      <w:r>
        <w:t>2</w:t>
      </w:r>
      <w:r>
        <w:rPr>
          <w:rFonts w:ascii="宋体" w:hAnsi="宋体"/>
        </w:rPr>
        <w:t>.</w:t>
      </w:r>
      <w:r>
        <w:t>5</w:t>
      </w:r>
      <w:r>
        <w:rPr>
          <w:rFonts w:ascii="宋体" w:hAnsi="宋体"/>
        </w:rPr>
        <w:t>当有效供应商数量不足三家（采购项目选择一家成交供应商时）或少于供应商须知前附表第</w:t>
      </w:r>
      <w:r>
        <w:t>5</w:t>
      </w:r>
      <w:r>
        <w:rPr>
          <w:rFonts w:ascii="宋体" w:hAnsi="宋体"/>
        </w:rPr>
        <w:t>.</w:t>
      </w:r>
      <w:r>
        <w:t>4</w:t>
      </w:r>
      <w:r>
        <w:rPr>
          <w:rFonts w:ascii="宋体" w:hAnsi="宋体"/>
        </w:rPr>
        <w:t>款规定的数量（采购项目选择多家成交供应商时），根据剩余供应商的综合实力、响应方案、响应报价的竞争性进行考量，评审小组可决定继续进行评审或决定终止评审由采购人重新采购。评审小组选择继续评审的，推荐的候选供应商数量可少于供应商须知约定的候选成交供应商数量。如所有响应文件均无效，评审小组应当终止评审。</w:t>
      </w:r>
    </w:p>
    <w:p w14:paraId="06EE4B28">
      <w:pPr>
        <w:spacing w:line="400" w:lineRule="exact"/>
        <w:ind w:firstLine="420" w:firstLineChars="200"/>
        <w:rPr>
          <w:rFonts w:ascii="宋体" w:hAnsi="宋体"/>
        </w:rPr>
      </w:pPr>
      <w:r>
        <w:t>2</w:t>
      </w:r>
      <w:r>
        <w:rPr>
          <w:rFonts w:ascii="宋体" w:hAnsi="宋体"/>
        </w:rPr>
        <w:t>.</w:t>
      </w:r>
      <w:r>
        <w:t>2</w:t>
      </w:r>
      <w:r>
        <w:rPr>
          <w:rFonts w:ascii="宋体" w:hAnsi="宋体"/>
        </w:rPr>
        <w:t>.</w:t>
      </w:r>
      <w:r>
        <w:t>6</w:t>
      </w:r>
      <w:r>
        <w:rPr>
          <w:rFonts w:ascii="宋体" w:hAnsi="宋体"/>
        </w:rPr>
        <w:t>货物采购时，仅当判断适用上述第</w:t>
      </w:r>
      <w:r>
        <w:t>2</w:t>
      </w:r>
      <w:r>
        <w:rPr>
          <w:rFonts w:ascii="宋体" w:hAnsi="宋体"/>
        </w:rPr>
        <w:t>.</w:t>
      </w:r>
      <w:r>
        <w:t>2</w:t>
      </w:r>
      <w:r>
        <w:rPr>
          <w:rFonts w:ascii="宋体" w:hAnsi="宋体"/>
        </w:rPr>
        <w:t>.</w:t>
      </w:r>
      <w:r>
        <w:t>5</w:t>
      </w:r>
      <w:r>
        <w:rPr>
          <w:rFonts w:ascii="宋体" w:hAnsi="宋体"/>
        </w:rPr>
        <w:t>项情形时，有效供应商数量的计算可采用如下方法，具体方法在评审办法前附表中明确。</w:t>
      </w:r>
    </w:p>
    <w:p w14:paraId="3909A3F2">
      <w:pPr>
        <w:widowControl/>
        <w:numPr>
          <w:ilvl w:val="0"/>
          <w:numId w:val="2"/>
        </w:numPr>
        <w:spacing w:line="400" w:lineRule="exact"/>
        <w:jc w:val="left"/>
        <w:rPr>
          <w:rFonts w:ascii="宋体" w:hAnsi="宋体"/>
        </w:rPr>
      </w:pPr>
      <w:r>
        <w:rPr>
          <w:rFonts w:ascii="宋体" w:hAnsi="宋体"/>
        </w:rPr>
        <w:t>方法</w:t>
      </w:r>
      <w:r>
        <w:rPr>
          <w:rFonts w:hint="eastAsia"/>
        </w:rPr>
        <w:t>1</w:t>
      </w:r>
      <w:r>
        <w:rPr>
          <w:rFonts w:ascii="宋体" w:hAnsi="宋体"/>
        </w:rPr>
        <w:t>：通过初步评审的全部供应商数量为有效供应商数量。</w:t>
      </w:r>
    </w:p>
    <w:p w14:paraId="1D2F2511">
      <w:pPr>
        <w:spacing w:line="400" w:lineRule="exact"/>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方法</w:t>
      </w:r>
      <w:r>
        <w:rPr>
          <w:rFonts w:hint="eastAsia"/>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：采用经评审的最低评标价法的，提供相同品牌产品的不同供应商，以其中通过资格审查、符合性审查且报价最低的参加评标；报价相同的，由采购人在评审办法前附表</w:t>
      </w:r>
      <w:r>
        <w:rPr>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w:t>
      </w:r>
      <w:r>
        <w:rPr>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w:t>
      </w:r>
      <w:r>
        <w:rPr>
          <w:color w:val="000000" w:themeColor="text1"/>
          <w14:textFill>
            <w14:solidFill>
              <w14:schemeClr w14:val="tx1"/>
            </w14:solidFill>
          </w14:textFill>
        </w:rPr>
        <w:t>6</w:t>
      </w:r>
      <w:r>
        <w:rPr>
          <w:rFonts w:ascii="宋体" w:hAnsi="宋体"/>
          <w:color w:val="000000" w:themeColor="text1"/>
          <w14:textFill>
            <w14:solidFill>
              <w14:schemeClr w14:val="tx1"/>
            </w14:solidFill>
          </w14:textFill>
        </w:rPr>
        <w:t>中明确，其他投标无效。</w:t>
      </w:r>
    </w:p>
    <w:p w14:paraId="58D920C9">
      <w:pPr>
        <w:spacing w:line="400" w:lineRule="exact"/>
        <w:ind w:firstLine="420" w:firstLineChars="200"/>
        <w:rPr>
          <w:rFonts w:ascii="宋体" w:hAnsi="宋体"/>
          <w:szCs w:val="21"/>
        </w:rPr>
      </w:pPr>
      <w:r>
        <w:rPr>
          <w:rFonts w:ascii="宋体" w:hAnsi="宋体"/>
          <w:szCs w:val="21"/>
        </w:rPr>
        <w:t>采用综合评分法的，提供相同品牌产品按一家有效供应商计算，评审后得分最高的同品牌供应商获得候选成交供应商推荐资格；评审得分相同的，由采购人在</w:t>
      </w:r>
      <w:bookmarkStart w:id="402" w:name="_Hlk148688045"/>
      <w:r>
        <w:rPr>
          <w:rFonts w:ascii="宋体" w:hAnsi="宋体"/>
          <w:color w:val="000000" w:themeColor="text1"/>
          <w14:textFill>
            <w14:solidFill>
              <w14:schemeClr w14:val="tx1"/>
            </w14:solidFill>
          </w14:textFill>
        </w:rPr>
        <w:t>评审办法</w:t>
      </w:r>
      <w:bookmarkEnd w:id="402"/>
      <w:r>
        <w:rPr>
          <w:rFonts w:ascii="宋体" w:hAnsi="宋体"/>
          <w:color w:val="000000" w:themeColor="text1"/>
          <w14:textFill>
            <w14:solidFill>
              <w14:schemeClr w14:val="tx1"/>
            </w14:solidFill>
          </w14:textFill>
        </w:rPr>
        <w:t>前附表</w:t>
      </w:r>
      <w:r>
        <w:rPr>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w:t>
      </w:r>
      <w:r>
        <w:rPr>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w:t>
      </w:r>
      <w:r>
        <w:rPr>
          <w:color w:val="000000" w:themeColor="text1"/>
          <w14:textFill>
            <w14:solidFill>
              <w14:schemeClr w14:val="tx1"/>
            </w14:solidFill>
          </w14:textFill>
        </w:rPr>
        <w:t>6</w:t>
      </w:r>
      <w:r>
        <w:rPr>
          <w:rFonts w:ascii="宋体" w:hAnsi="宋体"/>
          <w:szCs w:val="21"/>
        </w:rPr>
        <w:t>中明确候选成交供应商推荐资格的标准，其他同品牌供应商不推荐候选成交供应商。</w:t>
      </w:r>
    </w:p>
    <w:p w14:paraId="475BA72A">
      <w:pPr>
        <w:spacing w:line="400" w:lineRule="exact"/>
        <w:ind w:firstLine="420" w:firstLineChars="200"/>
        <w:rPr>
          <w:rFonts w:ascii="宋体" w:hAnsi="宋体"/>
          <w:szCs w:val="21"/>
        </w:rPr>
      </w:pPr>
      <w:r>
        <w:rPr>
          <w:rFonts w:ascii="宋体" w:hAnsi="宋体"/>
          <w:szCs w:val="21"/>
        </w:rPr>
        <w:t>非单一产品采购项目，采购人应当根据采购项目技术构成、产品价格比重等合理确定核心产品，详见评审办法前附表。多家供应商提供的核心产品品牌相同的，按前两款规定处理。</w:t>
      </w:r>
    </w:p>
    <w:bookmarkEnd w:id="395"/>
    <w:bookmarkEnd w:id="396"/>
    <w:bookmarkEnd w:id="397"/>
    <w:bookmarkEnd w:id="398"/>
    <w:bookmarkEnd w:id="399"/>
    <w:bookmarkEnd w:id="400"/>
    <w:bookmarkEnd w:id="401"/>
    <w:p w14:paraId="7761FDBC">
      <w:pPr>
        <w:keepNext/>
        <w:keepLines/>
        <w:widowControl/>
        <w:spacing w:before="260" w:after="260"/>
        <w:outlineLvl w:val="1"/>
        <w:rPr>
          <w:rFonts w:eastAsia="黑体"/>
          <w:b/>
          <w:sz w:val="28"/>
          <w:szCs w:val="18"/>
        </w:rPr>
      </w:pPr>
      <w:bookmarkStart w:id="403" w:name="_Toc118805162"/>
      <w:bookmarkStart w:id="404" w:name="_Toc825"/>
      <w:bookmarkStart w:id="405" w:name="_Toc118805916"/>
      <w:bookmarkStart w:id="406" w:name="_Toc138604685"/>
      <w:bookmarkStart w:id="407" w:name="_Toc149140258"/>
      <w:bookmarkStart w:id="408" w:name="_Toc118806287"/>
      <w:bookmarkStart w:id="409" w:name="_Toc118805539"/>
      <w:bookmarkStart w:id="410" w:name="_Toc4688"/>
      <w:bookmarkStart w:id="411" w:name="_Toc8184"/>
      <w:bookmarkStart w:id="412" w:name="_Toc31603"/>
      <w:bookmarkStart w:id="413" w:name="_Toc14200"/>
      <w:bookmarkStart w:id="414" w:name="_Toc30588"/>
      <w:r>
        <w:rPr>
          <w:rFonts w:eastAsia="黑体"/>
          <w:b/>
          <w:sz w:val="28"/>
          <w:szCs w:val="18"/>
        </w:rPr>
        <w:t>3. 详细评审标准和程序（综合评分法）</w:t>
      </w:r>
      <w:bookmarkEnd w:id="403"/>
      <w:bookmarkEnd w:id="404"/>
      <w:bookmarkEnd w:id="405"/>
      <w:bookmarkEnd w:id="406"/>
      <w:bookmarkEnd w:id="407"/>
      <w:bookmarkEnd w:id="408"/>
      <w:bookmarkEnd w:id="409"/>
    </w:p>
    <w:bookmarkEnd w:id="410"/>
    <w:bookmarkEnd w:id="411"/>
    <w:bookmarkEnd w:id="412"/>
    <w:bookmarkEnd w:id="413"/>
    <w:bookmarkEnd w:id="414"/>
    <w:p w14:paraId="3CCE78C6">
      <w:pPr>
        <w:widowControl/>
        <w:spacing w:before="100" w:beforeAutospacing="1" w:after="100" w:afterAutospacing="1" w:line="400" w:lineRule="exact"/>
        <w:ind w:left="2" w:leftChars="1"/>
        <w:jc w:val="left"/>
        <w:outlineLvl w:val="2"/>
        <w:rPr>
          <w:rFonts w:eastAsia="黑体"/>
          <w:sz w:val="24"/>
        </w:rPr>
      </w:pPr>
      <w:r>
        <w:rPr>
          <w:rFonts w:eastAsia="黑体"/>
          <w:sz w:val="24"/>
        </w:rPr>
        <w:t>3.1 分值构成</w:t>
      </w:r>
    </w:p>
    <w:p w14:paraId="0DDE8B15">
      <w:pPr>
        <w:spacing w:line="400" w:lineRule="exact"/>
        <w:ind w:firstLine="420" w:firstLineChars="200"/>
        <w:rPr>
          <w:rFonts w:ascii="宋体" w:hAnsi="宋体"/>
        </w:rPr>
      </w:pPr>
      <w:r>
        <w:rPr>
          <w:rFonts w:ascii="宋体" w:hAnsi="宋体"/>
        </w:rPr>
        <w:t>（</w:t>
      </w:r>
      <w:r>
        <w:t>1</w:t>
      </w:r>
      <w:r>
        <w:rPr>
          <w:rFonts w:ascii="宋体" w:hAnsi="宋体"/>
        </w:rPr>
        <w:t>）商务部分：见评审办法前附表；</w:t>
      </w:r>
    </w:p>
    <w:p w14:paraId="11CDB54C">
      <w:pPr>
        <w:spacing w:line="400" w:lineRule="exact"/>
        <w:ind w:firstLine="420" w:firstLineChars="200"/>
        <w:rPr>
          <w:rFonts w:ascii="宋体" w:hAnsi="宋体"/>
        </w:rPr>
      </w:pPr>
      <w:r>
        <w:rPr>
          <w:rFonts w:ascii="宋体" w:hAnsi="宋体"/>
        </w:rPr>
        <w:t>（</w:t>
      </w:r>
      <w:r>
        <w:t>2</w:t>
      </w:r>
      <w:r>
        <w:rPr>
          <w:rFonts w:ascii="宋体" w:hAnsi="宋体"/>
        </w:rPr>
        <w:t>）技术部分：见评审办法前附表；</w:t>
      </w:r>
    </w:p>
    <w:p w14:paraId="2472B116">
      <w:pPr>
        <w:spacing w:line="400" w:lineRule="exact"/>
        <w:ind w:firstLine="420"/>
        <w:rPr>
          <w:rFonts w:ascii="宋体" w:hAnsi="宋体"/>
        </w:rPr>
      </w:pPr>
      <w:r>
        <w:rPr>
          <w:rFonts w:ascii="宋体" w:hAnsi="宋体"/>
        </w:rPr>
        <w:t>（</w:t>
      </w:r>
      <w:r>
        <w:t>3</w:t>
      </w:r>
      <w:r>
        <w:rPr>
          <w:rFonts w:ascii="宋体" w:hAnsi="宋体"/>
        </w:rPr>
        <w:t>）报价：见评审办法前附表；</w:t>
      </w:r>
    </w:p>
    <w:p w14:paraId="497BB7F5">
      <w:pPr>
        <w:spacing w:line="400" w:lineRule="exact"/>
        <w:ind w:firstLine="420" w:firstLineChars="200"/>
        <w:rPr>
          <w:rFonts w:ascii="宋体" w:hAnsi="宋体"/>
        </w:rPr>
      </w:pPr>
      <w:r>
        <w:rPr>
          <w:rFonts w:ascii="宋体" w:hAnsi="宋体"/>
        </w:rPr>
        <w:t>（</w:t>
      </w:r>
      <w:r>
        <w:t>4</w:t>
      </w:r>
      <w:r>
        <w:rPr>
          <w:rFonts w:ascii="宋体" w:hAnsi="宋体"/>
        </w:rPr>
        <w:t>）其他评分因素：见评审办法前附表。</w:t>
      </w:r>
    </w:p>
    <w:p w14:paraId="784F6ABE">
      <w:pPr>
        <w:widowControl/>
        <w:spacing w:before="100" w:beforeAutospacing="1" w:after="100" w:afterAutospacing="1" w:line="400" w:lineRule="exact"/>
        <w:ind w:left="2" w:leftChars="1"/>
        <w:jc w:val="left"/>
        <w:outlineLvl w:val="2"/>
        <w:rPr>
          <w:rFonts w:eastAsia="黑体"/>
          <w:sz w:val="24"/>
        </w:rPr>
      </w:pPr>
      <w:r>
        <w:rPr>
          <w:rFonts w:eastAsia="黑体"/>
          <w:sz w:val="24"/>
        </w:rPr>
        <w:t>3.2 评审基准价计算</w:t>
      </w:r>
    </w:p>
    <w:p w14:paraId="4C354083">
      <w:pPr>
        <w:spacing w:line="400" w:lineRule="exact"/>
        <w:ind w:firstLine="420" w:firstLineChars="200"/>
        <w:rPr>
          <w:rFonts w:ascii="宋体" w:hAnsi="宋体"/>
        </w:rPr>
      </w:pPr>
      <w:r>
        <w:rPr>
          <w:rFonts w:ascii="宋体" w:hAnsi="宋体"/>
        </w:rPr>
        <w:t>（</w:t>
      </w:r>
      <w:r>
        <w:t>1</w:t>
      </w:r>
      <w:r>
        <w:rPr>
          <w:rFonts w:ascii="宋体" w:hAnsi="宋体"/>
        </w:rPr>
        <w:t>）评审价格：评审价格为按照本章第</w:t>
      </w:r>
      <w:r>
        <w:t>2</w:t>
      </w:r>
      <w:r>
        <w:rPr>
          <w:rFonts w:ascii="宋体" w:hAnsi="宋体"/>
        </w:rPr>
        <w:t>.</w:t>
      </w:r>
      <w:r>
        <w:t>2</w:t>
      </w:r>
      <w:r>
        <w:rPr>
          <w:rFonts w:ascii="宋体" w:hAnsi="宋体"/>
        </w:rPr>
        <w:t>.</w:t>
      </w:r>
      <w:r>
        <w:t>2</w:t>
      </w:r>
      <w:r>
        <w:rPr>
          <w:rFonts w:ascii="宋体" w:hAnsi="宋体"/>
        </w:rPr>
        <w:t>项规定确定的价格。</w:t>
      </w:r>
    </w:p>
    <w:p w14:paraId="144C65E6">
      <w:pPr>
        <w:spacing w:line="400" w:lineRule="exact"/>
        <w:ind w:firstLine="420" w:firstLineChars="200"/>
        <w:rPr>
          <w:rFonts w:ascii="宋体" w:hAnsi="宋体"/>
        </w:rPr>
      </w:pPr>
      <w:r>
        <w:rPr>
          <w:rFonts w:ascii="宋体" w:hAnsi="宋体"/>
        </w:rPr>
        <w:t>（</w:t>
      </w:r>
      <w:r>
        <w:t>2</w:t>
      </w:r>
      <w:r>
        <w:rPr>
          <w:rFonts w:ascii="宋体" w:hAnsi="宋体"/>
        </w:rPr>
        <w:t>）评审基准价计算方法见评审办法前附表。</w:t>
      </w:r>
    </w:p>
    <w:p w14:paraId="7D32BF81">
      <w:pPr>
        <w:widowControl/>
        <w:spacing w:before="100" w:beforeAutospacing="1" w:after="100" w:afterAutospacing="1" w:line="400" w:lineRule="exact"/>
        <w:ind w:left="2" w:leftChars="1"/>
        <w:jc w:val="left"/>
        <w:outlineLvl w:val="2"/>
        <w:rPr>
          <w:rFonts w:eastAsia="黑体"/>
          <w:sz w:val="24"/>
        </w:rPr>
      </w:pPr>
      <w:r>
        <w:rPr>
          <w:rFonts w:eastAsia="黑体"/>
          <w:sz w:val="24"/>
        </w:rPr>
        <w:t>3.3评分标准</w:t>
      </w:r>
    </w:p>
    <w:p w14:paraId="781F0562">
      <w:pPr>
        <w:spacing w:line="400" w:lineRule="exact"/>
        <w:ind w:firstLine="420" w:firstLineChars="200"/>
        <w:rPr>
          <w:rFonts w:ascii="宋体" w:hAnsi="宋体"/>
        </w:rPr>
      </w:pPr>
      <w:r>
        <w:rPr>
          <w:rFonts w:ascii="宋体" w:hAnsi="宋体"/>
        </w:rPr>
        <w:t>（</w:t>
      </w:r>
      <w:r>
        <w:t>1</w:t>
      </w:r>
      <w:r>
        <w:rPr>
          <w:rFonts w:ascii="宋体" w:hAnsi="宋体"/>
        </w:rPr>
        <w:t>）商务评分标准：见评审办法前附表；</w:t>
      </w:r>
    </w:p>
    <w:p w14:paraId="6FD82428">
      <w:pPr>
        <w:spacing w:line="400" w:lineRule="exact"/>
        <w:ind w:firstLine="420"/>
        <w:rPr>
          <w:rFonts w:ascii="宋体" w:hAnsi="宋体"/>
        </w:rPr>
      </w:pPr>
      <w:r>
        <w:rPr>
          <w:rFonts w:ascii="宋体" w:hAnsi="宋体"/>
        </w:rPr>
        <w:t>（</w:t>
      </w:r>
      <w:r>
        <w:t>2</w:t>
      </w:r>
      <w:r>
        <w:rPr>
          <w:rFonts w:ascii="宋体" w:hAnsi="宋体"/>
        </w:rPr>
        <w:t>）技术评分标准：见评审办法前附表；</w:t>
      </w:r>
    </w:p>
    <w:p w14:paraId="70BCEED3">
      <w:pPr>
        <w:spacing w:line="400" w:lineRule="exact"/>
        <w:ind w:firstLine="420"/>
        <w:rPr>
          <w:rFonts w:ascii="宋体" w:hAnsi="宋体"/>
        </w:rPr>
      </w:pPr>
      <w:r>
        <w:rPr>
          <w:rFonts w:ascii="宋体" w:hAnsi="宋体"/>
        </w:rPr>
        <w:t>（</w:t>
      </w:r>
      <w:r>
        <w:t>3</w:t>
      </w:r>
      <w:r>
        <w:rPr>
          <w:rFonts w:ascii="宋体" w:hAnsi="宋体"/>
        </w:rPr>
        <w:t>）报价评分标准：</w:t>
      </w:r>
    </w:p>
    <w:p w14:paraId="58202F74">
      <w:pPr>
        <w:spacing w:line="400" w:lineRule="exact"/>
        <w:ind w:firstLine="420" w:firstLineChars="200"/>
        <w:rPr>
          <w:rFonts w:ascii="宋体" w:hAnsi="宋体"/>
        </w:rPr>
      </w:pPr>
      <w:r>
        <w:rPr>
          <w:rFonts w:ascii="宋体" w:hAnsi="宋体"/>
        </w:rPr>
        <w:t>报价得分可采用如下方法计算：</w:t>
      </w:r>
    </w:p>
    <w:p w14:paraId="2E7D595C">
      <w:pPr>
        <w:spacing w:line="380" w:lineRule="atLeast"/>
        <w:ind w:firstLine="420"/>
        <w:rPr>
          <w:rFonts w:ascii="宋体" w:hAnsi="宋体"/>
          <w:szCs w:val="21"/>
        </w:rPr>
      </w:pPr>
      <w:r>
        <w:rPr>
          <w:rFonts w:ascii="宋体" w:hAnsi="宋体"/>
        </w:rPr>
        <w:t>方法</w:t>
      </w:r>
      <w:r>
        <w:rPr>
          <w:rFonts w:hint="eastAsia"/>
        </w:rPr>
        <w:t>1</w:t>
      </w:r>
      <w:r>
        <w:rPr>
          <w:rFonts w:ascii="宋体" w:hAnsi="宋体"/>
        </w:rPr>
        <w:t>：</w:t>
      </w:r>
      <w:r>
        <w:rPr>
          <w:rFonts w:ascii="宋体" w:hAnsi="宋体"/>
          <w:szCs w:val="21"/>
        </w:rPr>
        <w:t>偏差率=（供应商评审价格</w:t>
      </w:r>
      <w:r>
        <w:rPr>
          <w:rFonts w:hint="eastAsia" w:ascii="微软雅黑" w:hAnsi="微软雅黑" w:eastAsia="微软雅黑" w:cs="微软雅黑"/>
          <w:szCs w:val="21"/>
        </w:rPr>
        <w:t>−</w:t>
      </w:r>
      <w:r>
        <w:rPr>
          <w:rFonts w:ascii="宋体" w:hAnsi="宋体"/>
          <w:szCs w:val="21"/>
        </w:rPr>
        <w:t>评审基准价）/评审基准价×</w:t>
      </w:r>
      <w:r>
        <w:rPr>
          <w:szCs w:val="21"/>
        </w:rPr>
        <w:t>100</w:t>
      </w:r>
      <w:r>
        <w:rPr>
          <w:rFonts w:ascii="宋体" w:hAnsi="宋体"/>
          <w:szCs w:val="21"/>
        </w:rPr>
        <w:t xml:space="preserve">% </w:t>
      </w:r>
    </w:p>
    <w:p w14:paraId="696E1E71">
      <w:pPr>
        <w:spacing w:line="400" w:lineRule="exact"/>
        <w:ind w:firstLine="420" w:firstLineChars="200"/>
        <w:rPr>
          <w:rFonts w:ascii="宋体" w:hAnsi="宋体"/>
          <w:szCs w:val="21"/>
        </w:rPr>
      </w:pPr>
      <w:r>
        <w:rPr>
          <w:rFonts w:hint="eastAsia" w:ascii="宋体" w:hAnsi="宋体" w:cs="宋体"/>
        </w:rPr>
        <w:t>①</w:t>
      </w:r>
      <w:r>
        <w:rPr>
          <w:rFonts w:ascii="宋体" w:hAnsi="宋体"/>
        </w:rPr>
        <w:t xml:space="preserve"> </w:t>
      </w:r>
      <w:r>
        <w:rPr>
          <w:rFonts w:ascii="宋体" w:hAnsi="宋体"/>
          <w:szCs w:val="21"/>
        </w:rPr>
        <w:t>如果供应商的</w:t>
      </w:r>
      <w:r>
        <w:rPr>
          <w:rFonts w:ascii="宋体" w:hAnsi="宋体"/>
        </w:rPr>
        <w:t>评审</w:t>
      </w:r>
      <w:r>
        <w:rPr>
          <w:rFonts w:ascii="宋体" w:hAnsi="宋体"/>
          <w:szCs w:val="21"/>
        </w:rPr>
        <w:t>价格&gt;评审基准价，则报价得分＝</w:t>
      </w:r>
      <w:r>
        <w:rPr>
          <w:szCs w:val="21"/>
        </w:rPr>
        <w:t>F</w:t>
      </w:r>
      <w:r>
        <w:rPr>
          <w:rFonts w:ascii="宋体" w:hAnsi="宋体"/>
          <w:szCs w:val="21"/>
        </w:rPr>
        <w:t>－偏差率×</w:t>
      </w:r>
      <w:r>
        <w:rPr>
          <w:szCs w:val="21"/>
        </w:rPr>
        <w:t>100</w:t>
      </w:r>
      <w:r>
        <w:rPr>
          <w:rFonts w:ascii="宋体" w:hAnsi="宋体"/>
          <w:szCs w:val="21"/>
        </w:rPr>
        <w:t xml:space="preserve">× </w:t>
      </w:r>
      <w:r>
        <w:rPr>
          <w:szCs w:val="21"/>
        </w:rPr>
        <w:t>E</w:t>
      </w:r>
      <w:r>
        <w:rPr>
          <w:szCs w:val="21"/>
          <w:vertAlign w:val="subscript"/>
        </w:rPr>
        <w:t>1</w:t>
      </w:r>
      <w:r>
        <w:rPr>
          <w:rFonts w:ascii="宋体" w:hAnsi="宋体"/>
          <w:szCs w:val="21"/>
        </w:rPr>
        <w:t>；</w:t>
      </w:r>
    </w:p>
    <w:p w14:paraId="7001E78C">
      <w:pPr>
        <w:spacing w:line="400" w:lineRule="exact"/>
        <w:ind w:firstLine="420"/>
        <w:rPr>
          <w:rFonts w:ascii="宋体" w:hAnsi="宋体"/>
        </w:rPr>
      </w:pPr>
      <w:r>
        <w:rPr>
          <w:rFonts w:hint="eastAsia" w:ascii="宋体" w:hAnsi="宋体" w:cs="宋体"/>
        </w:rPr>
        <w:t>②</w:t>
      </w:r>
      <w:r>
        <w:rPr>
          <w:rFonts w:ascii="宋体" w:hAnsi="宋体"/>
        </w:rPr>
        <w:t xml:space="preserve"> 如果供应商的评审价格≤评审基准价，则报价得分＝</w:t>
      </w:r>
      <w:r>
        <w:t>F</w:t>
      </w:r>
      <w:r>
        <w:rPr>
          <w:rFonts w:ascii="宋体" w:hAnsi="宋体"/>
        </w:rPr>
        <w:t>＋偏差率×</w:t>
      </w:r>
      <w:r>
        <w:t>100</w:t>
      </w:r>
      <w:r>
        <w:rPr>
          <w:rFonts w:ascii="宋体" w:hAnsi="宋体"/>
        </w:rPr>
        <w:t xml:space="preserve">× </w:t>
      </w:r>
      <w:r>
        <w:t>E</w:t>
      </w:r>
      <w:r>
        <w:rPr>
          <w:vertAlign w:val="subscript"/>
        </w:rPr>
        <w:t>2</w:t>
      </w:r>
      <w:r>
        <w:rPr>
          <w:rFonts w:ascii="宋体" w:hAnsi="宋体"/>
        </w:rPr>
        <w:t>。</w:t>
      </w:r>
    </w:p>
    <w:p w14:paraId="08B1571C">
      <w:pPr>
        <w:spacing w:line="400" w:lineRule="exact"/>
        <w:ind w:firstLine="420" w:firstLineChars="200"/>
        <w:rPr>
          <w:rFonts w:ascii="宋体" w:hAnsi="宋体"/>
        </w:rPr>
      </w:pPr>
      <w:r>
        <w:rPr>
          <w:rFonts w:ascii="宋体" w:hAnsi="宋体"/>
        </w:rPr>
        <w:t>其中</w:t>
      </w:r>
      <w:r>
        <w:t>F</w:t>
      </w:r>
      <w:r>
        <w:rPr>
          <w:rFonts w:ascii="宋体" w:hAnsi="宋体"/>
        </w:rPr>
        <w:t>为本章前附表第</w:t>
      </w:r>
      <w:r>
        <w:t>3</w:t>
      </w:r>
      <w:r>
        <w:rPr>
          <w:rFonts w:ascii="宋体" w:hAnsi="宋体"/>
        </w:rPr>
        <w:t>.</w:t>
      </w:r>
      <w:r>
        <w:t>1</w:t>
      </w:r>
      <w:r>
        <w:rPr>
          <w:rFonts w:ascii="宋体" w:hAnsi="宋体"/>
        </w:rPr>
        <w:t>（</w:t>
      </w:r>
      <w:r>
        <w:t>3</w:t>
      </w:r>
      <w:r>
        <w:rPr>
          <w:rFonts w:ascii="宋体" w:hAnsi="宋体"/>
        </w:rPr>
        <w:t>）项规定的报价所占的分值；</w:t>
      </w:r>
      <w:r>
        <w:t>E</w:t>
      </w:r>
      <w:r>
        <w:rPr>
          <w:vertAlign w:val="subscript"/>
        </w:rPr>
        <w:t>1</w:t>
      </w:r>
      <w:r>
        <w:rPr>
          <w:rFonts w:ascii="宋体" w:hAnsi="宋体"/>
        </w:rPr>
        <w:t>是评审价格每高于评审基准价一个百分点的扣分值、</w:t>
      </w:r>
      <w:r>
        <w:t>E</w:t>
      </w:r>
      <w:r>
        <w:rPr>
          <w:vertAlign w:val="subscript"/>
        </w:rPr>
        <w:t>2</w:t>
      </w:r>
      <w:r>
        <w:rPr>
          <w:rFonts w:ascii="宋体" w:hAnsi="宋体"/>
        </w:rPr>
        <w:t>是评审价格每低于评审基准价一个百分点的扣分值，</w:t>
      </w:r>
      <w:r>
        <w:t>E</w:t>
      </w:r>
      <w:r>
        <w:rPr>
          <w:vertAlign w:val="subscript"/>
        </w:rPr>
        <w:t>1</w:t>
      </w:r>
      <w:r>
        <w:rPr>
          <w:rFonts w:ascii="宋体" w:hAnsi="宋体"/>
        </w:rPr>
        <w:t>可大于或等于</w:t>
      </w:r>
      <w:r>
        <w:t>E</w:t>
      </w:r>
      <w:r>
        <w:rPr>
          <w:vertAlign w:val="subscript"/>
        </w:rPr>
        <w:t>2</w:t>
      </w:r>
      <w:r>
        <w:rPr>
          <w:rFonts w:ascii="宋体" w:hAnsi="宋体"/>
        </w:rPr>
        <w:t>。</w:t>
      </w:r>
      <w:r>
        <w:t>E</w:t>
      </w:r>
      <w:r>
        <w:rPr>
          <w:vertAlign w:val="subscript"/>
        </w:rPr>
        <w:t>1</w:t>
      </w:r>
      <w:r>
        <w:rPr>
          <w:rFonts w:ascii="宋体" w:hAnsi="宋体"/>
        </w:rPr>
        <w:t>、</w:t>
      </w:r>
      <w:r>
        <w:t>E</w:t>
      </w:r>
      <w:r>
        <w:rPr>
          <w:vertAlign w:val="subscript"/>
        </w:rPr>
        <w:t>2</w:t>
      </w:r>
      <w:r>
        <w:rPr>
          <w:rFonts w:ascii="宋体" w:hAnsi="宋体"/>
        </w:rPr>
        <w:t>的取值见评审办法前附表。</w:t>
      </w:r>
    </w:p>
    <w:p w14:paraId="578E2CA1">
      <w:pPr>
        <w:spacing w:line="400" w:lineRule="exact"/>
        <w:ind w:firstLine="420" w:firstLineChars="200"/>
        <w:rPr>
          <w:rFonts w:ascii="宋体" w:hAnsi="宋体"/>
        </w:rPr>
      </w:pPr>
      <w:r>
        <w:rPr>
          <w:rFonts w:ascii="宋体" w:hAnsi="宋体"/>
        </w:rPr>
        <w:t>方法</w:t>
      </w:r>
      <w:r>
        <w:rPr>
          <w:rFonts w:hint="eastAsia"/>
        </w:rPr>
        <w:t>2</w:t>
      </w:r>
      <w:r>
        <w:rPr>
          <w:rFonts w:ascii="宋体" w:hAnsi="宋体"/>
        </w:rPr>
        <w:t>：报价得分=（通过初步评审的所有供应商的最低评审价格／供应商评审价格）×</w:t>
      </w:r>
      <w:r>
        <w:t>F</w:t>
      </w:r>
      <w:r>
        <w:rPr>
          <w:rFonts w:ascii="宋体" w:hAnsi="宋体"/>
        </w:rPr>
        <w:t>，</w:t>
      </w:r>
      <w:r>
        <w:t>F</w:t>
      </w:r>
      <w:r>
        <w:rPr>
          <w:rFonts w:ascii="宋体" w:hAnsi="宋体"/>
        </w:rPr>
        <w:t>为本章前附表第</w:t>
      </w:r>
      <w:r>
        <w:t>3</w:t>
      </w:r>
      <w:r>
        <w:rPr>
          <w:rFonts w:ascii="宋体" w:hAnsi="宋体"/>
        </w:rPr>
        <w:t>.</w:t>
      </w:r>
      <w:r>
        <w:t>1</w:t>
      </w:r>
      <w:r>
        <w:rPr>
          <w:rFonts w:ascii="宋体" w:hAnsi="宋体"/>
        </w:rPr>
        <w:t>（</w:t>
      </w:r>
      <w:r>
        <w:t>3</w:t>
      </w:r>
      <w:r>
        <w:rPr>
          <w:rFonts w:ascii="宋体" w:hAnsi="宋体"/>
        </w:rPr>
        <w:t>）项规定的报价所占的分值。</w:t>
      </w:r>
    </w:p>
    <w:p w14:paraId="63278929">
      <w:pPr>
        <w:spacing w:line="400" w:lineRule="exact"/>
        <w:ind w:firstLine="420" w:firstLineChars="200"/>
        <w:rPr>
          <w:rFonts w:ascii="宋体" w:hAnsi="宋体"/>
        </w:rPr>
      </w:pPr>
      <w:r>
        <w:rPr>
          <w:rFonts w:ascii="宋体" w:hAnsi="宋体"/>
        </w:rPr>
        <w:t>方法</w:t>
      </w:r>
      <w:r>
        <w:rPr>
          <w:rFonts w:hint="eastAsia"/>
        </w:rPr>
        <w:t>3</w:t>
      </w:r>
      <w:r>
        <w:rPr>
          <w:rFonts w:ascii="宋体" w:hAnsi="宋体"/>
        </w:rPr>
        <w:t>：采购人确定的其他方法。</w:t>
      </w:r>
    </w:p>
    <w:p w14:paraId="263EABE4">
      <w:pPr>
        <w:spacing w:line="400" w:lineRule="exact"/>
        <w:ind w:firstLine="420" w:firstLineChars="200"/>
        <w:rPr>
          <w:rFonts w:ascii="宋体" w:hAnsi="宋体"/>
        </w:rPr>
      </w:pPr>
      <w:r>
        <w:rPr>
          <w:rFonts w:ascii="宋体" w:hAnsi="宋体"/>
        </w:rPr>
        <w:t>报价得分计算方法见评审办法前附表。</w:t>
      </w:r>
    </w:p>
    <w:p w14:paraId="2F97A860">
      <w:pPr>
        <w:spacing w:line="400" w:lineRule="exact"/>
        <w:ind w:firstLine="420"/>
        <w:rPr>
          <w:rFonts w:ascii="宋体" w:hAnsi="宋体"/>
        </w:rPr>
      </w:pPr>
      <w:r>
        <w:rPr>
          <w:rFonts w:ascii="宋体" w:hAnsi="宋体"/>
        </w:rPr>
        <w:t>（</w:t>
      </w:r>
      <w:r>
        <w:t>4</w:t>
      </w:r>
      <w:r>
        <w:rPr>
          <w:rFonts w:ascii="宋体" w:hAnsi="宋体"/>
        </w:rPr>
        <w:t>）其他因素评分标准：见评审办法前附表。</w:t>
      </w:r>
    </w:p>
    <w:p w14:paraId="1F945067">
      <w:pPr>
        <w:widowControl/>
        <w:spacing w:before="100" w:beforeAutospacing="1" w:after="100" w:afterAutospacing="1" w:line="400" w:lineRule="exact"/>
        <w:ind w:left="2" w:leftChars="1"/>
        <w:jc w:val="left"/>
        <w:outlineLvl w:val="2"/>
        <w:rPr>
          <w:rFonts w:eastAsia="黑体"/>
          <w:sz w:val="24"/>
        </w:rPr>
      </w:pPr>
      <w:r>
        <w:rPr>
          <w:rFonts w:eastAsia="黑体"/>
          <w:sz w:val="24"/>
        </w:rPr>
        <w:t>3.4 评分</w:t>
      </w:r>
    </w:p>
    <w:p w14:paraId="6E92224B">
      <w:pPr>
        <w:spacing w:line="400" w:lineRule="exact"/>
        <w:ind w:firstLine="420" w:firstLineChars="200"/>
        <w:rPr>
          <w:rFonts w:ascii="宋体" w:hAnsi="宋体"/>
        </w:rPr>
      </w:pPr>
      <w:r>
        <w:rPr>
          <w:rFonts w:ascii="宋体" w:hAnsi="宋体"/>
        </w:rPr>
        <w:t>评审小组成员按照评分标准独立对供应商的商务、技术和其他因素进行评分。报价评分由评审小组统一计算。各项得分汇总后为该成员给供应商的评分总分。评分分值计算保留小数点后两位，小数点后第三位“四舍五入”。</w:t>
      </w:r>
    </w:p>
    <w:p w14:paraId="064A12BC">
      <w:pPr>
        <w:widowControl/>
        <w:spacing w:before="100" w:beforeAutospacing="1" w:after="100" w:afterAutospacing="1" w:line="400" w:lineRule="exact"/>
        <w:ind w:left="2" w:leftChars="1"/>
        <w:jc w:val="left"/>
        <w:outlineLvl w:val="2"/>
        <w:rPr>
          <w:rFonts w:eastAsia="黑体"/>
          <w:sz w:val="24"/>
        </w:rPr>
      </w:pPr>
      <w:r>
        <w:rPr>
          <w:rFonts w:eastAsia="黑体"/>
          <w:sz w:val="24"/>
        </w:rPr>
        <w:t>3.5汇总</w:t>
      </w:r>
    </w:p>
    <w:p w14:paraId="14885CE4">
      <w:pPr>
        <w:spacing w:line="400" w:lineRule="exact"/>
        <w:ind w:firstLine="420" w:firstLineChars="200"/>
        <w:rPr>
          <w:rFonts w:ascii="宋体" w:hAnsi="宋体"/>
        </w:rPr>
      </w:pPr>
      <w:r>
        <w:rPr>
          <w:rFonts w:ascii="宋体" w:hAnsi="宋体"/>
        </w:rPr>
        <w:t>评审小组汇总每个成员对供应商的评分总分，每个供应商的评分总分的算术平均值为供应商最终得分。</w:t>
      </w:r>
    </w:p>
    <w:p w14:paraId="44E3B4DC">
      <w:pPr>
        <w:widowControl/>
        <w:spacing w:before="100" w:beforeAutospacing="1" w:after="100" w:afterAutospacing="1" w:line="400" w:lineRule="exact"/>
        <w:ind w:left="2" w:leftChars="1"/>
        <w:jc w:val="left"/>
        <w:outlineLvl w:val="2"/>
        <w:rPr>
          <w:rFonts w:eastAsia="黑体"/>
          <w:sz w:val="24"/>
        </w:rPr>
      </w:pPr>
      <w:r>
        <w:rPr>
          <w:rFonts w:eastAsia="黑体"/>
          <w:sz w:val="24"/>
        </w:rPr>
        <w:t xml:space="preserve">3.6排序 </w:t>
      </w:r>
    </w:p>
    <w:p w14:paraId="36D460B1">
      <w:pPr>
        <w:spacing w:line="400" w:lineRule="exact"/>
        <w:ind w:firstLine="420" w:firstLineChars="200"/>
        <w:rPr>
          <w:rFonts w:ascii="宋体" w:hAnsi="宋体"/>
        </w:rPr>
      </w:pPr>
      <w:r>
        <w:rPr>
          <w:rFonts w:ascii="宋体" w:hAnsi="宋体"/>
        </w:rPr>
        <w:t>除评审办法前附表另有规定外，评审小组对供应商最终得分进行比较后，可以按照供应商最终得分由高到低的顺序对供应商排序。最终得分相等时，以评审价格低的优先；评审价格也相等的，以技术得分高的优先；如果技术得分也相等，由评审小组投票确定供应商优先顺序。</w:t>
      </w:r>
    </w:p>
    <w:p w14:paraId="0F6C37DE">
      <w:pPr>
        <w:keepNext/>
        <w:keepLines/>
        <w:widowControl/>
        <w:spacing w:before="260" w:after="260"/>
        <w:outlineLvl w:val="1"/>
        <w:rPr>
          <w:rFonts w:eastAsia="黑体"/>
          <w:b/>
          <w:sz w:val="28"/>
          <w:szCs w:val="18"/>
        </w:rPr>
      </w:pPr>
      <w:bookmarkStart w:id="415" w:name="_Toc7606"/>
      <w:bookmarkStart w:id="416" w:name="_Toc501460721"/>
      <w:bookmarkStart w:id="417" w:name="_Toc9277"/>
      <w:bookmarkStart w:id="418" w:name="_Toc118806289"/>
      <w:bookmarkStart w:id="419" w:name="_Toc17801_WPSOffice_Level3"/>
      <w:bookmarkStart w:id="420" w:name="_Toc23953"/>
      <w:bookmarkStart w:id="421" w:name="_Toc118805541"/>
      <w:bookmarkStart w:id="422" w:name="_Toc118805918"/>
      <w:bookmarkStart w:id="423" w:name="_Toc12533"/>
      <w:bookmarkStart w:id="424" w:name="_Toc149140259"/>
      <w:bookmarkStart w:id="425" w:name="_Toc17017"/>
      <w:bookmarkStart w:id="426" w:name="_Toc118805164"/>
      <w:bookmarkStart w:id="427" w:name="_Toc138604687"/>
      <w:bookmarkStart w:id="428" w:name="_Toc20501"/>
      <w:r>
        <w:rPr>
          <w:rFonts w:eastAsia="黑体"/>
          <w:b/>
          <w:sz w:val="28"/>
          <w:szCs w:val="18"/>
        </w:rPr>
        <w:t>4. 评审结果</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76C77B94">
      <w:pPr>
        <w:widowControl/>
        <w:spacing w:before="100" w:beforeAutospacing="1" w:after="100" w:afterAutospacing="1" w:line="400" w:lineRule="exact"/>
        <w:ind w:left="2" w:leftChars="1"/>
        <w:jc w:val="left"/>
        <w:outlineLvl w:val="2"/>
        <w:rPr>
          <w:rFonts w:eastAsia="黑体"/>
          <w:sz w:val="24"/>
        </w:rPr>
      </w:pPr>
      <w:r>
        <w:rPr>
          <w:rFonts w:eastAsia="黑体"/>
          <w:sz w:val="24"/>
        </w:rPr>
        <w:t>4.1提交评审报告</w:t>
      </w:r>
    </w:p>
    <w:p w14:paraId="11E095B6">
      <w:pPr>
        <w:spacing w:line="400" w:lineRule="exact"/>
        <w:ind w:firstLine="420" w:firstLineChars="200"/>
        <w:rPr>
          <w:rFonts w:ascii="宋体" w:hAnsi="宋体"/>
        </w:rPr>
      </w:pPr>
      <w:r>
        <w:rPr>
          <w:rFonts w:ascii="宋体" w:hAnsi="宋体"/>
        </w:rPr>
        <w:t>评审小组完成评审后，应当向采购人提交评审报告。</w:t>
      </w:r>
    </w:p>
    <w:p w14:paraId="2AB447F4">
      <w:pPr>
        <w:widowControl/>
        <w:spacing w:before="100" w:beforeAutospacing="1" w:after="100" w:afterAutospacing="1" w:line="400" w:lineRule="exact"/>
        <w:ind w:left="2" w:leftChars="1"/>
        <w:jc w:val="left"/>
        <w:outlineLvl w:val="2"/>
        <w:rPr>
          <w:rFonts w:eastAsia="黑体"/>
          <w:sz w:val="24"/>
        </w:rPr>
      </w:pPr>
      <w:r>
        <w:rPr>
          <w:rFonts w:eastAsia="黑体"/>
          <w:sz w:val="24"/>
        </w:rPr>
        <w:t>4.2推荐候选成交供应商数量</w:t>
      </w:r>
    </w:p>
    <w:p w14:paraId="715EAE7C">
      <w:pPr>
        <w:spacing w:line="400" w:lineRule="exact"/>
        <w:ind w:firstLine="420" w:firstLineChars="200"/>
        <w:rPr>
          <w:rFonts w:ascii="宋体" w:hAnsi="宋体"/>
        </w:rPr>
      </w:pPr>
      <w:r>
        <w:rPr>
          <w:rFonts w:ascii="宋体" w:hAnsi="宋体"/>
        </w:rPr>
        <w:t>评审小组应在评审报告中按照供应商排列的优先顺序向采购人推荐候选成交供应商。候选成交供应商数量见第二章“供应商须知”。</w:t>
      </w:r>
    </w:p>
    <w:p w14:paraId="56F7038B">
      <w:pPr>
        <w:widowControl/>
        <w:spacing w:before="100" w:beforeAutospacing="1" w:after="100" w:afterAutospacing="1" w:line="400" w:lineRule="exact"/>
        <w:ind w:left="2" w:leftChars="1"/>
        <w:jc w:val="left"/>
        <w:outlineLvl w:val="2"/>
        <w:rPr>
          <w:rFonts w:eastAsia="黑体"/>
          <w:sz w:val="24"/>
        </w:rPr>
      </w:pPr>
      <w:r>
        <w:rPr>
          <w:rFonts w:eastAsia="黑体"/>
          <w:sz w:val="24"/>
        </w:rPr>
        <w:t>4.3多标段候选成交供应商资格的确定原则</w:t>
      </w:r>
    </w:p>
    <w:p w14:paraId="4CF6BEDD">
      <w:pPr>
        <w:spacing w:line="400" w:lineRule="exact"/>
        <w:ind w:firstLine="420" w:firstLineChars="200"/>
        <w:rPr>
          <w:rFonts w:ascii="宋体" w:hAnsi="宋体"/>
        </w:rPr>
      </w:pPr>
      <w:r>
        <w:rPr>
          <w:rFonts w:ascii="宋体" w:hAnsi="宋体"/>
          <w:szCs w:val="21"/>
        </w:rPr>
        <w:t>如果同一供应商在多个标段中均排名第一，候选成交供应商资格的确定原则</w:t>
      </w:r>
      <w:r>
        <w:rPr>
          <w:rFonts w:ascii="宋体" w:hAnsi="宋体"/>
        </w:rPr>
        <w:t>按照评审办法前附表的规定执行。</w:t>
      </w:r>
      <w:r>
        <w:rPr>
          <w:rFonts w:ascii="宋体" w:hAnsi="宋体"/>
        </w:rPr>
        <w:br w:type="page"/>
      </w:r>
    </w:p>
    <w:p w14:paraId="31ED6E4E">
      <w:pPr>
        <w:spacing w:line="400" w:lineRule="exact"/>
        <w:ind w:firstLine="420" w:firstLineChars="200"/>
        <w:rPr>
          <w:rFonts w:ascii="宋体" w:hAnsi="宋体"/>
        </w:rPr>
      </w:pPr>
      <w:bookmarkStart w:id="429" w:name="_Hlk138879241"/>
    </w:p>
    <w:p w14:paraId="5A4196FF">
      <w:pPr>
        <w:spacing w:line="400" w:lineRule="exact"/>
        <w:ind w:firstLine="420" w:firstLineChars="200"/>
        <w:rPr>
          <w:rFonts w:ascii="宋体" w:hAnsi="宋体"/>
        </w:rPr>
      </w:pPr>
    </w:p>
    <w:p w14:paraId="0626C72B">
      <w:pPr>
        <w:pStyle w:val="108"/>
        <w:rPr>
          <w:rFonts w:ascii="宋体" w:hAnsi="宋体" w:eastAsia="宋体"/>
        </w:rPr>
      </w:pPr>
    </w:p>
    <w:p w14:paraId="0688B295">
      <w:pPr>
        <w:pStyle w:val="108"/>
        <w:rPr>
          <w:rFonts w:ascii="宋体" w:hAnsi="宋体" w:eastAsia="宋体"/>
        </w:rPr>
      </w:pPr>
    </w:p>
    <w:p w14:paraId="35A56EEC">
      <w:pPr>
        <w:pStyle w:val="108"/>
        <w:rPr>
          <w:rFonts w:ascii="宋体" w:hAnsi="宋体" w:eastAsia="宋体"/>
        </w:rPr>
      </w:pPr>
    </w:p>
    <w:p w14:paraId="1747F385">
      <w:pPr>
        <w:pStyle w:val="108"/>
        <w:rPr>
          <w:rFonts w:ascii="宋体" w:hAnsi="宋体" w:eastAsia="宋体"/>
        </w:rPr>
      </w:pPr>
    </w:p>
    <w:p w14:paraId="2B2D2D42">
      <w:pPr>
        <w:pStyle w:val="108"/>
        <w:rPr>
          <w:rFonts w:ascii="宋体" w:hAnsi="宋体" w:eastAsia="宋体"/>
        </w:rPr>
      </w:pPr>
    </w:p>
    <w:p w14:paraId="32BD644E">
      <w:pPr>
        <w:pStyle w:val="108"/>
        <w:rPr>
          <w:rFonts w:ascii="宋体" w:hAnsi="宋体" w:eastAsia="宋体"/>
        </w:rPr>
      </w:pPr>
    </w:p>
    <w:p w14:paraId="3C8EF1D1">
      <w:pPr>
        <w:pStyle w:val="108"/>
        <w:rPr>
          <w:rFonts w:ascii="宋体" w:hAnsi="宋体" w:eastAsia="宋体"/>
        </w:rPr>
      </w:pPr>
    </w:p>
    <w:p w14:paraId="7192E07E">
      <w:pPr>
        <w:pStyle w:val="108"/>
        <w:rPr>
          <w:rFonts w:ascii="宋体" w:hAnsi="宋体" w:eastAsia="宋体"/>
        </w:rPr>
      </w:pPr>
    </w:p>
    <w:p w14:paraId="06654274">
      <w:pPr>
        <w:pStyle w:val="108"/>
        <w:rPr>
          <w:rFonts w:ascii="宋体" w:hAnsi="宋体" w:eastAsia="宋体"/>
        </w:rPr>
      </w:pPr>
    </w:p>
    <w:bookmarkEnd w:id="429"/>
    <w:p w14:paraId="30413072">
      <w:pPr>
        <w:pStyle w:val="2"/>
        <w:jc w:val="center"/>
        <w:rPr>
          <w:rFonts w:ascii="宋体" w:hAnsi="宋体"/>
        </w:rPr>
      </w:pPr>
      <w:bookmarkStart w:id="430" w:name="_Toc149140267"/>
      <w:bookmarkStart w:id="431" w:name="_第四章_合同条款及格式"/>
      <w:r>
        <w:rPr>
          <w:rFonts w:ascii="宋体" w:hAnsi="宋体"/>
        </w:rPr>
        <w:t xml:space="preserve">第四章 </w:t>
      </w:r>
      <w:bookmarkEnd w:id="322"/>
      <w:r>
        <w:rPr>
          <w:rFonts w:ascii="宋体" w:hAnsi="宋体"/>
        </w:rPr>
        <w:t>框架协议格式</w:t>
      </w:r>
      <w:bookmarkEnd w:id="430"/>
    </w:p>
    <w:bookmarkEnd w:id="431"/>
    <w:p w14:paraId="6441920F">
      <w:pPr>
        <w:jc w:val="center"/>
        <w:rPr>
          <w:rFonts w:ascii="宋体" w:hAnsi="宋体"/>
        </w:rPr>
      </w:pPr>
      <w:bookmarkStart w:id="432" w:name="_Toc535049410"/>
      <w:bookmarkStart w:id="433" w:name="_Toc11848939"/>
      <w:r>
        <w:rPr>
          <w:rFonts w:ascii="宋体" w:hAnsi="宋体"/>
        </w:rPr>
        <w:br w:type="page"/>
      </w:r>
      <w:bookmarkEnd w:id="432"/>
      <w:bookmarkEnd w:id="433"/>
      <w:bookmarkStart w:id="434" w:name="_Toc48146152"/>
      <w:bookmarkStart w:id="435" w:name="_第五章_采购需求"/>
    </w:p>
    <w:p w14:paraId="5046FBC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战略合作框架协议</w:t>
      </w:r>
    </w:p>
    <w:p w14:paraId="3A173D8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b w:val="0"/>
          <w:bCs w:val="0"/>
          <w:color w:val="auto"/>
          <w:sz w:val="24"/>
          <w:szCs w:val="24"/>
          <w:lang w:eastAsia="zh-CN"/>
        </w:rPr>
      </w:pPr>
    </w:p>
    <w:p w14:paraId="030367A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4"/>
          <w:szCs w:val="24"/>
        </w:rPr>
      </w:pPr>
      <w:r>
        <w:rPr>
          <w:rFonts w:hint="eastAsia" w:ascii="仿宋" w:hAnsi="仿宋" w:eastAsia="仿宋" w:cs="仿宋"/>
          <w:sz w:val="24"/>
          <w:szCs w:val="24"/>
        </w:rPr>
        <w:t>甲方：</w:t>
      </w:r>
      <w:r>
        <w:rPr>
          <w:rFonts w:hint="eastAsia" w:ascii="仿宋" w:hAnsi="仿宋" w:eastAsia="仿宋" w:cs="仿宋"/>
          <w:sz w:val="24"/>
          <w:szCs w:val="24"/>
          <w:u w:val="single"/>
        </w:rPr>
        <w:t>河北交投绿色建材有限公司</w:t>
      </w:r>
    </w:p>
    <w:p w14:paraId="2B1188E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4"/>
          <w:szCs w:val="24"/>
          <w:shd w:val="clear" w:color="auto" w:fill="FFFFFF"/>
        </w:rPr>
      </w:pPr>
      <w:r>
        <w:rPr>
          <w:rFonts w:hint="eastAsia" w:ascii="仿宋" w:hAnsi="仿宋" w:eastAsia="仿宋" w:cs="仿宋"/>
          <w:sz w:val="24"/>
          <w:szCs w:val="24"/>
        </w:rPr>
        <w:t>乙方：</w:t>
      </w:r>
      <w:r>
        <w:rPr>
          <w:rFonts w:hint="eastAsia" w:ascii="仿宋" w:hAnsi="仿宋" w:eastAsia="仿宋" w:cs="仿宋"/>
          <w:sz w:val="24"/>
          <w:szCs w:val="24"/>
          <w:u w:val="single"/>
          <w:lang w:val="en-US" w:eastAsia="zh-CN"/>
        </w:rPr>
        <w:t xml:space="preserve">                        </w:t>
      </w:r>
    </w:p>
    <w:p w14:paraId="2BB80BC5">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乙方作为甲方的</w:t>
      </w:r>
      <w:r>
        <w:rPr>
          <w:rFonts w:hint="eastAsia" w:ascii="仿宋" w:hAnsi="仿宋" w:eastAsia="仿宋" w:cs="仿宋"/>
          <w:sz w:val="24"/>
          <w:szCs w:val="24"/>
          <w:u w:val="single"/>
          <w:shd w:val="clear" w:color="auto" w:fill="FFFFFF"/>
          <w:lang w:val="en-US" w:eastAsia="zh-CN"/>
        </w:rPr>
        <w:t xml:space="preserve">               </w:t>
      </w:r>
      <w:r>
        <w:rPr>
          <w:rFonts w:hint="eastAsia" w:ascii="仿宋" w:hAnsi="仿宋" w:eastAsia="仿宋" w:cs="仿宋"/>
          <w:sz w:val="24"/>
          <w:szCs w:val="24"/>
          <w:shd w:val="clear" w:color="auto" w:fill="FFFFFF"/>
        </w:rPr>
        <w:t>供应商入库单位，为明确甲、乙双方各自所承担的义务和责任，甲乙双方本着平等互惠友好合作的原则，根据《中华人民共和国民法典》等相关法律、法规</w:t>
      </w:r>
      <w:r>
        <w:rPr>
          <w:rFonts w:hint="eastAsia" w:ascii="仿宋" w:hAnsi="仿宋" w:eastAsia="仿宋" w:cs="仿宋"/>
          <w:sz w:val="24"/>
          <w:szCs w:val="24"/>
          <w:shd w:val="clear" w:color="auto" w:fill="FFFFFF"/>
          <w:lang w:val="en-US" w:eastAsia="zh-CN"/>
        </w:rPr>
        <w:t>和</w:t>
      </w:r>
      <w:r>
        <w:rPr>
          <w:rFonts w:hint="eastAsia" w:ascii="仿宋" w:hAnsi="仿宋" w:eastAsia="仿宋" w:cs="仿宋"/>
          <w:sz w:val="24"/>
          <w:szCs w:val="24"/>
          <w:shd w:val="clear" w:color="auto" w:fill="FFFFFF"/>
        </w:rPr>
        <w:t>河北交投绿色建材有限公司</w:t>
      </w:r>
      <w:r>
        <w:rPr>
          <w:rFonts w:hint="eastAsia" w:ascii="仿宋" w:hAnsi="仿宋" w:eastAsia="仿宋" w:cs="仿宋"/>
          <w:sz w:val="24"/>
          <w:szCs w:val="24"/>
          <w:u w:val="single"/>
          <w:shd w:val="clear" w:color="auto" w:fill="FFFFFF"/>
          <w:lang w:val="en-US" w:eastAsia="zh-CN"/>
        </w:rPr>
        <w:t xml:space="preserve">                </w:t>
      </w:r>
      <w:r>
        <w:rPr>
          <w:rFonts w:hint="eastAsia" w:ascii="仿宋" w:hAnsi="仿宋" w:eastAsia="仿宋" w:cs="仿宋"/>
          <w:sz w:val="24"/>
          <w:szCs w:val="24"/>
          <w:shd w:val="clear" w:color="auto" w:fill="FFFFFF"/>
        </w:rPr>
        <w:t>供应商入库招标文件</w:t>
      </w:r>
      <w:r>
        <w:rPr>
          <w:rFonts w:hint="eastAsia" w:ascii="仿宋" w:hAnsi="仿宋" w:eastAsia="仿宋" w:cs="仿宋"/>
          <w:sz w:val="24"/>
          <w:szCs w:val="24"/>
          <w:shd w:val="clear" w:color="auto" w:fill="FFFFFF"/>
          <w:lang w:val="en-US" w:eastAsia="zh-CN"/>
        </w:rPr>
        <w:t>及乙方的投标文件</w:t>
      </w:r>
      <w:r>
        <w:rPr>
          <w:rFonts w:hint="eastAsia" w:ascii="仿宋" w:hAnsi="仿宋" w:eastAsia="仿宋" w:cs="仿宋"/>
          <w:sz w:val="24"/>
          <w:szCs w:val="24"/>
          <w:shd w:val="clear" w:color="auto" w:fill="FFFFFF"/>
        </w:rPr>
        <w:t>，经甲、乙双方充分协商，签订本框架协议，甲乙双方共同遵守执行。</w:t>
      </w:r>
    </w:p>
    <w:p w14:paraId="6AEE5E5A">
      <w:pPr>
        <w:keepNext w:val="0"/>
        <w:keepLines w:val="0"/>
        <w:pageBreakBefore w:val="0"/>
        <w:widowControl w:val="0"/>
        <w:kinsoku/>
        <w:wordWrap/>
        <w:overflowPunct/>
        <w:topLinePunct w:val="0"/>
        <w:autoSpaceDE/>
        <w:autoSpaceDN/>
        <w:bidi w:val="0"/>
        <w:adjustRightInd/>
        <w:snapToGrid/>
        <w:spacing w:line="480" w:lineRule="exact"/>
        <w:ind w:firstLine="480"/>
        <w:jc w:val="left"/>
        <w:textAlignment w:val="auto"/>
        <w:rPr>
          <w:rFonts w:hint="eastAsia"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lang w:val="en-US" w:eastAsia="zh-CN"/>
        </w:rPr>
        <w:t xml:space="preserve">第一条 </w:t>
      </w:r>
      <w:r>
        <w:rPr>
          <w:rFonts w:hint="eastAsia" w:ascii="仿宋" w:hAnsi="仿宋" w:eastAsia="仿宋" w:cs="仿宋"/>
          <w:b/>
          <w:bCs/>
          <w:sz w:val="24"/>
          <w:szCs w:val="24"/>
          <w:shd w:val="clear" w:color="auto" w:fill="FFFFFF"/>
        </w:rPr>
        <w:t>合作宗旨</w:t>
      </w:r>
    </w:p>
    <w:p w14:paraId="63DE3358">
      <w:pPr>
        <w:keepNext w:val="0"/>
        <w:keepLines w:val="0"/>
        <w:pageBreakBefore w:val="0"/>
        <w:widowControl w:val="0"/>
        <w:kinsoku/>
        <w:wordWrap/>
        <w:overflowPunct/>
        <w:topLinePunct w:val="0"/>
        <w:autoSpaceDE/>
        <w:autoSpaceDN/>
        <w:bidi w:val="0"/>
        <w:adjustRightInd/>
        <w:snapToGrid/>
        <w:spacing w:line="480" w:lineRule="exact"/>
        <w:ind w:firstLine="480"/>
        <w:jc w:val="left"/>
        <w:textAlignment w:val="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1</w:t>
      </w:r>
      <w:r>
        <w:rPr>
          <w:rFonts w:hint="eastAsia" w:ascii="仿宋" w:hAnsi="仿宋" w:eastAsia="仿宋" w:cs="仿宋"/>
          <w:sz w:val="24"/>
          <w:szCs w:val="24"/>
          <w:shd w:val="clear" w:color="auto" w:fill="FFFFFF"/>
          <w:lang w:val="en-US" w:eastAsia="zh-CN"/>
        </w:rPr>
        <w:t>.</w:t>
      </w:r>
      <w:r>
        <w:rPr>
          <w:rFonts w:hint="eastAsia" w:ascii="仿宋" w:hAnsi="仿宋" w:eastAsia="仿宋" w:cs="仿宋"/>
          <w:sz w:val="24"/>
          <w:szCs w:val="24"/>
          <w:shd w:val="clear" w:color="auto" w:fill="FFFFFF"/>
        </w:rPr>
        <w:t>甲乙双方在遵守国家相关法律、法规的前提下，在互惠互利、确保</w:t>
      </w:r>
      <w:r>
        <w:rPr>
          <w:rFonts w:hint="eastAsia" w:ascii="仿宋" w:hAnsi="仿宋" w:eastAsia="仿宋" w:cs="仿宋"/>
          <w:sz w:val="24"/>
          <w:szCs w:val="24"/>
          <w:shd w:val="clear" w:color="auto" w:fill="FFFFFF"/>
          <w:lang w:val="en-US" w:eastAsia="zh-CN"/>
        </w:rPr>
        <w:t>服务</w:t>
      </w:r>
      <w:r>
        <w:rPr>
          <w:rFonts w:hint="eastAsia" w:ascii="仿宋" w:hAnsi="仿宋" w:eastAsia="仿宋" w:cs="仿宋"/>
          <w:sz w:val="24"/>
          <w:szCs w:val="24"/>
          <w:shd w:val="clear" w:color="auto" w:fill="FFFFFF"/>
        </w:rPr>
        <w:t>质量、保证</w:t>
      </w:r>
      <w:r>
        <w:rPr>
          <w:rFonts w:hint="eastAsia" w:ascii="仿宋" w:hAnsi="仿宋" w:eastAsia="仿宋" w:cs="仿宋"/>
          <w:sz w:val="24"/>
          <w:szCs w:val="24"/>
          <w:shd w:val="clear" w:color="auto" w:fill="FFFFFF"/>
          <w:lang w:val="en-US" w:eastAsia="zh-CN"/>
        </w:rPr>
        <w:t>运输车辆满足运输需求</w:t>
      </w:r>
      <w:r>
        <w:rPr>
          <w:rFonts w:hint="eastAsia" w:ascii="仿宋" w:hAnsi="仿宋" w:eastAsia="仿宋" w:cs="仿宋"/>
          <w:sz w:val="24"/>
          <w:szCs w:val="24"/>
          <w:shd w:val="clear" w:color="auto" w:fill="FFFFFF"/>
        </w:rPr>
        <w:t>的原则下开展业务合作关系。</w:t>
      </w:r>
    </w:p>
    <w:p w14:paraId="6EF0FD40">
      <w:pPr>
        <w:keepNext w:val="0"/>
        <w:keepLines w:val="0"/>
        <w:pageBreakBefore w:val="0"/>
        <w:widowControl w:val="0"/>
        <w:kinsoku/>
        <w:wordWrap/>
        <w:overflowPunct/>
        <w:topLinePunct w:val="0"/>
        <w:autoSpaceDE/>
        <w:autoSpaceDN/>
        <w:bidi w:val="0"/>
        <w:adjustRightInd/>
        <w:snapToGrid/>
        <w:spacing w:line="480" w:lineRule="exact"/>
        <w:ind w:firstLine="480"/>
        <w:jc w:val="left"/>
        <w:textAlignment w:val="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2</w:t>
      </w:r>
      <w:r>
        <w:rPr>
          <w:rFonts w:hint="eastAsia" w:ascii="仿宋" w:hAnsi="仿宋" w:eastAsia="仿宋" w:cs="仿宋"/>
          <w:sz w:val="24"/>
          <w:szCs w:val="24"/>
          <w:shd w:val="clear" w:color="auto" w:fill="FFFFFF"/>
          <w:lang w:val="en-US" w:eastAsia="zh-CN"/>
        </w:rPr>
        <w:t>.</w:t>
      </w:r>
      <w:r>
        <w:rPr>
          <w:rFonts w:hint="eastAsia" w:ascii="仿宋" w:hAnsi="仿宋" w:eastAsia="仿宋" w:cs="仿宋"/>
          <w:sz w:val="24"/>
          <w:szCs w:val="24"/>
          <w:shd w:val="clear" w:color="auto" w:fill="FFFFFF"/>
        </w:rPr>
        <w:t>甲乙双方彼此高度重视对方，均将对方作为重要的战略合作伙伴，发挥各自优势，加强协作，谋求共同发展。</w:t>
      </w:r>
    </w:p>
    <w:p w14:paraId="6AEA3EEF">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sz w:val="24"/>
          <w:szCs w:val="24"/>
        </w:rPr>
      </w:pPr>
      <w:r>
        <w:rPr>
          <w:rFonts w:hint="eastAsia" w:ascii="仿宋" w:hAnsi="仿宋" w:eastAsia="仿宋" w:cs="仿宋"/>
          <w:b/>
          <w:bCs/>
          <w:sz w:val="24"/>
          <w:szCs w:val="24"/>
          <w:lang w:val="en-US" w:eastAsia="zh-CN"/>
        </w:rPr>
        <w:t xml:space="preserve">第二条 </w:t>
      </w:r>
      <w:r>
        <w:rPr>
          <w:rFonts w:hint="eastAsia" w:ascii="仿宋" w:hAnsi="仿宋" w:eastAsia="仿宋" w:cs="仿宋"/>
          <w:b/>
          <w:bCs/>
          <w:sz w:val="24"/>
          <w:szCs w:val="24"/>
        </w:rPr>
        <w:t>合作内容和方式</w:t>
      </w:r>
    </w:p>
    <w:p w14:paraId="04838F4D">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甲乙双方在全国范围内就</w:t>
      </w:r>
      <w:r>
        <w:rPr>
          <w:rFonts w:hint="eastAsia" w:ascii="仿宋" w:hAnsi="仿宋" w:eastAsia="仿宋" w:cs="仿宋"/>
          <w:sz w:val="24"/>
          <w:szCs w:val="24"/>
          <w:u w:val="single"/>
          <w:shd w:val="clear" w:color="auto" w:fill="FFFFFF"/>
          <w:lang w:val="en-US" w:eastAsia="zh-CN"/>
        </w:rPr>
        <w:t xml:space="preserve">  预制构件  </w:t>
      </w:r>
      <w:r>
        <w:rPr>
          <w:rFonts w:hint="eastAsia" w:ascii="仿宋" w:hAnsi="仿宋" w:eastAsia="仿宋" w:cs="仿宋"/>
          <w:sz w:val="24"/>
          <w:szCs w:val="24"/>
          <w:shd w:val="clear" w:color="auto" w:fill="FFFFFF"/>
        </w:rPr>
        <w:t>产品</w:t>
      </w:r>
      <w:r>
        <w:rPr>
          <w:rFonts w:hint="eastAsia" w:ascii="仿宋" w:hAnsi="仿宋" w:eastAsia="仿宋" w:cs="仿宋"/>
          <w:sz w:val="24"/>
          <w:szCs w:val="24"/>
          <w:shd w:val="clear" w:color="auto" w:fill="FFFFFF"/>
          <w:lang w:val="en-US" w:eastAsia="zh-CN"/>
        </w:rPr>
        <w:t>运输</w:t>
      </w:r>
      <w:r>
        <w:rPr>
          <w:rFonts w:hint="eastAsia" w:ascii="仿宋" w:hAnsi="仿宋" w:eastAsia="仿宋" w:cs="仿宋"/>
          <w:sz w:val="24"/>
          <w:szCs w:val="24"/>
        </w:rPr>
        <w:t>进行合作，合作方式视具体项目情况另行议定。</w:t>
      </w:r>
    </w:p>
    <w:p w14:paraId="5A1A5380">
      <w:pPr>
        <w:keepNext w:val="0"/>
        <w:keepLines w:val="0"/>
        <w:pageBreakBefore w:val="0"/>
        <w:widowControl w:val="0"/>
        <w:kinsoku/>
        <w:wordWrap/>
        <w:overflowPunct/>
        <w:topLinePunct w:val="0"/>
        <w:autoSpaceDE/>
        <w:autoSpaceDN/>
        <w:bidi w:val="0"/>
        <w:adjustRightInd/>
        <w:snapToGrid/>
        <w:spacing w:line="480" w:lineRule="exact"/>
        <w:ind w:firstLine="480"/>
        <w:jc w:val="left"/>
        <w:textAlignment w:val="auto"/>
        <w:rPr>
          <w:rFonts w:hint="eastAsia" w:ascii="仿宋" w:hAnsi="仿宋" w:eastAsia="仿宋" w:cs="仿宋"/>
          <w:sz w:val="24"/>
          <w:szCs w:val="24"/>
          <w:shd w:val="clear" w:color="auto" w:fill="FFFFFF"/>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shd w:val="clear" w:color="auto" w:fill="FFFFFF"/>
        </w:rPr>
        <w:t>甲方</w:t>
      </w:r>
      <w:r>
        <w:rPr>
          <w:rFonts w:hint="eastAsia" w:ascii="仿宋" w:hAnsi="仿宋" w:eastAsia="仿宋" w:cs="仿宋"/>
          <w:sz w:val="24"/>
          <w:szCs w:val="24"/>
          <w:shd w:val="clear" w:color="auto" w:fill="FFFFFF"/>
          <w:lang w:val="en-US" w:eastAsia="zh-CN"/>
        </w:rPr>
        <w:t>委托</w:t>
      </w:r>
      <w:r>
        <w:rPr>
          <w:rFonts w:hint="eastAsia" w:ascii="仿宋" w:hAnsi="仿宋" w:eastAsia="仿宋" w:cs="仿宋"/>
          <w:sz w:val="24"/>
          <w:szCs w:val="24"/>
          <w:shd w:val="clear" w:color="auto" w:fill="FFFFFF"/>
        </w:rPr>
        <w:t>乙方</w:t>
      </w:r>
      <w:r>
        <w:rPr>
          <w:rFonts w:hint="eastAsia" w:ascii="仿宋" w:hAnsi="仿宋" w:eastAsia="仿宋" w:cs="仿宋"/>
          <w:sz w:val="24"/>
          <w:szCs w:val="24"/>
          <w:shd w:val="clear" w:color="auto" w:fill="FFFFFF"/>
          <w:lang w:val="en-US" w:eastAsia="zh-CN"/>
        </w:rPr>
        <w:t>提供运输服务</w:t>
      </w:r>
      <w:r>
        <w:rPr>
          <w:rFonts w:hint="eastAsia" w:ascii="仿宋" w:hAnsi="仿宋" w:eastAsia="仿宋" w:cs="仿宋"/>
          <w:sz w:val="24"/>
          <w:szCs w:val="24"/>
          <w:shd w:val="clear" w:color="auto" w:fill="FFFFFF"/>
        </w:rPr>
        <w:t>，乙方按要求</w:t>
      </w:r>
      <w:r>
        <w:rPr>
          <w:rFonts w:hint="eastAsia" w:ascii="仿宋" w:hAnsi="仿宋" w:eastAsia="仿宋" w:cs="仿宋"/>
          <w:sz w:val="24"/>
          <w:szCs w:val="24"/>
          <w:shd w:val="clear" w:color="auto" w:fill="FFFFFF"/>
          <w:lang w:val="en-US" w:eastAsia="zh-CN"/>
        </w:rPr>
        <w:t>对预制构件产品进行运输</w:t>
      </w:r>
      <w:r>
        <w:rPr>
          <w:rFonts w:hint="eastAsia" w:ascii="仿宋" w:hAnsi="仿宋" w:eastAsia="仿宋" w:cs="仿宋"/>
          <w:sz w:val="24"/>
          <w:szCs w:val="24"/>
          <w:shd w:val="clear" w:color="auto" w:fill="FFFFFF"/>
        </w:rPr>
        <w:t>，依照《中华人民共和国民法典》依法、合规管理。充分发挥甲乙双方在公司管理、团队管理、</w:t>
      </w:r>
      <w:r>
        <w:rPr>
          <w:rFonts w:hint="eastAsia" w:ascii="仿宋" w:hAnsi="仿宋" w:eastAsia="仿宋" w:cs="仿宋"/>
          <w:sz w:val="24"/>
          <w:szCs w:val="24"/>
          <w:shd w:val="clear" w:color="auto" w:fill="FFFFFF"/>
          <w:lang w:val="en-US" w:eastAsia="zh-CN"/>
        </w:rPr>
        <w:t>物流运输</w:t>
      </w:r>
      <w:r>
        <w:rPr>
          <w:rFonts w:hint="eastAsia" w:ascii="仿宋" w:hAnsi="仿宋" w:eastAsia="仿宋" w:cs="仿宋"/>
          <w:sz w:val="24"/>
          <w:szCs w:val="24"/>
          <w:shd w:val="clear" w:color="auto" w:fill="FFFFFF"/>
        </w:rPr>
        <w:t>等方面的优势，全力相互配合。</w:t>
      </w:r>
    </w:p>
    <w:p w14:paraId="3460B659">
      <w:pPr>
        <w:pStyle w:val="20"/>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3.甲方</w:t>
      </w:r>
      <w:r>
        <w:rPr>
          <w:rFonts w:hint="eastAsia" w:ascii="仿宋" w:hAnsi="仿宋" w:eastAsia="仿宋" w:cs="仿宋"/>
          <w:sz w:val="24"/>
          <w:szCs w:val="24"/>
          <w:highlight w:val="none"/>
        </w:rPr>
        <w:t>根据自身实际</w:t>
      </w:r>
      <w:r>
        <w:rPr>
          <w:rFonts w:hint="eastAsia" w:ascii="仿宋" w:hAnsi="仿宋" w:eastAsia="仿宋" w:cs="仿宋"/>
          <w:sz w:val="24"/>
          <w:szCs w:val="24"/>
          <w:highlight w:val="none"/>
          <w:lang w:val="en-US" w:eastAsia="zh-CN"/>
        </w:rPr>
        <w:t>运输</w:t>
      </w:r>
      <w:r>
        <w:rPr>
          <w:rFonts w:hint="eastAsia" w:ascii="仿宋" w:hAnsi="仿宋" w:eastAsia="仿宋" w:cs="仿宋"/>
          <w:sz w:val="24"/>
          <w:szCs w:val="24"/>
          <w:highlight w:val="none"/>
        </w:rPr>
        <w:t>需求，定期或不定期在入围的供应商库中通过询价或谈判等方式确定签约供应商和签约价格。</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根据市场价格拟定最高限价和最低限价，</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按照</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要求及时响应报价，原则上</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参考第一轮最低报价，依据报价排名进行逐一沟通谈判，确定能够满足</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供应需求的签约供应商数量和最终签约价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签订采购合同并按要求收取履约保证金</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以实际采购合同为准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，合同履约期间，</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依据考核管理制度，对合作供应商定期进行考核，对供应商库进行优化管理。</w:t>
      </w:r>
    </w:p>
    <w:p w14:paraId="386985CD">
      <w:pPr>
        <w:pStyle w:val="20"/>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4.乙方</w:t>
      </w:r>
      <w:r>
        <w:rPr>
          <w:rFonts w:hint="eastAsia" w:ascii="仿宋" w:hAnsi="仿宋" w:eastAsia="仿宋" w:cs="仿宋"/>
          <w:sz w:val="24"/>
          <w:szCs w:val="24"/>
          <w:highlight w:val="none"/>
        </w:rPr>
        <w:t>应当严格遵守和执行</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相关采购管理规定，须无条件参与每一次</w:t>
      </w:r>
      <w:r>
        <w:rPr>
          <w:rFonts w:hint="eastAsia" w:ascii="仿宋" w:hAnsi="仿宋" w:eastAsia="仿宋" w:cs="仿宋"/>
          <w:sz w:val="24"/>
          <w:szCs w:val="24"/>
          <w:highlight w:val="none"/>
          <w:lang w:val="en-US" w:eastAsia="zh-CN"/>
        </w:rPr>
        <w:t>谈判</w:t>
      </w:r>
      <w:r>
        <w:rPr>
          <w:rFonts w:hint="eastAsia" w:ascii="仿宋" w:hAnsi="仿宋" w:eastAsia="仿宋" w:cs="仿宋"/>
          <w:sz w:val="24"/>
          <w:szCs w:val="24"/>
          <w:highlight w:val="none"/>
        </w:rPr>
        <w:t>或询价报价，因竞争报价、政策调整、</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自身经营情况变化调整等因素，</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如在合同</w:t>
      </w:r>
      <w:r>
        <w:rPr>
          <w:rFonts w:hint="eastAsia" w:ascii="仿宋" w:hAnsi="仿宋" w:eastAsia="仿宋" w:cs="仿宋"/>
          <w:sz w:val="24"/>
          <w:szCs w:val="24"/>
          <w:highlight w:val="none"/>
          <w:lang w:eastAsia="zh-CN"/>
        </w:rPr>
        <w:t>服务期限</w:t>
      </w:r>
      <w:r>
        <w:rPr>
          <w:rFonts w:hint="eastAsia" w:ascii="仿宋" w:hAnsi="仿宋" w:eastAsia="仿宋" w:cs="仿宋"/>
          <w:sz w:val="24"/>
          <w:szCs w:val="24"/>
          <w:highlight w:val="none"/>
        </w:rPr>
        <w:t>内未曾获取订单，属于</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自身原因，</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承担竞价未果的全部责任，与</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无关。</w:t>
      </w:r>
    </w:p>
    <w:p w14:paraId="62DB40C5">
      <w:pPr>
        <w:pStyle w:val="20"/>
        <w:keepNext w:val="0"/>
        <w:keepLines w:val="0"/>
        <w:pageBreakBefore w:val="0"/>
        <w:widowControl w:val="0"/>
        <w:kinsoku/>
        <w:wordWrap/>
        <w:overflowPunct/>
        <w:topLinePunct w:val="0"/>
        <w:autoSpaceDE/>
        <w:autoSpaceDN/>
        <w:bidi w:val="0"/>
        <w:adjustRightInd/>
        <w:snapToGrid/>
        <w:spacing w:line="480" w:lineRule="exact"/>
        <w:ind w:firstLine="48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5.乙方</w:t>
      </w:r>
      <w:r>
        <w:rPr>
          <w:rFonts w:hint="eastAsia" w:ascii="仿宋" w:hAnsi="仿宋" w:eastAsia="仿宋" w:cs="仿宋"/>
          <w:sz w:val="24"/>
          <w:szCs w:val="24"/>
          <w:highlight w:val="none"/>
        </w:rPr>
        <w:t>必须</w:t>
      </w:r>
      <w:r>
        <w:rPr>
          <w:rFonts w:hint="eastAsia" w:ascii="仿宋" w:hAnsi="仿宋" w:eastAsia="仿宋" w:cs="仿宋"/>
          <w:sz w:val="24"/>
          <w:szCs w:val="24"/>
          <w:highlight w:val="none"/>
          <w:lang w:val="en-US" w:eastAsia="zh-CN"/>
        </w:rPr>
        <w:t>及时</w:t>
      </w:r>
      <w:r>
        <w:rPr>
          <w:rFonts w:hint="eastAsia" w:ascii="仿宋" w:hAnsi="仿宋" w:eastAsia="仿宋" w:cs="仿宋"/>
          <w:sz w:val="24"/>
          <w:szCs w:val="24"/>
          <w:highlight w:val="none"/>
        </w:rPr>
        <w:t>参与每次</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组织的报价，严禁拒绝报价，否则视为违约</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甲方有权单方解除合同，并不承担任何因解除合同产生的责任；乙方</w:t>
      </w:r>
      <w:r>
        <w:rPr>
          <w:rFonts w:hint="eastAsia" w:ascii="仿宋" w:hAnsi="仿宋" w:eastAsia="仿宋" w:cs="仿宋"/>
          <w:sz w:val="24"/>
          <w:szCs w:val="24"/>
          <w:highlight w:val="none"/>
        </w:rPr>
        <w:t>须严格遵守</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的相关供应商管理规定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每次的报价须考虑各种可预见性的因素，例如：政府会议、环保预警、疫情管控、雨雪天气、交通管制等，</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须采取相应措施，确保</w:t>
      </w:r>
      <w:r>
        <w:rPr>
          <w:rFonts w:hint="eastAsia" w:ascii="仿宋" w:hAnsi="仿宋" w:eastAsia="仿宋" w:cs="仿宋"/>
          <w:sz w:val="24"/>
          <w:szCs w:val="24"/>
          <w:highlight w:val="none"/>
          <w:lang w:val="en-US" w:eastAsia="zh-CN"/>
        </w:rPr>
        <w:t>甲方产品运输到指定部位</w:t>
      </w:r>
      <w:r>
        <w:rPr>
          <w:rFonts w:hint="eastAsia" w:ascii="仿宋" w:hAnsi="仿宋" w:eastAsia="仿宋" w:cs="仿宋"/>
          <w:sz w:val="24"/>
          <w:szCs w:val="24"/>
          <w:highlight w:val="none"/>
        </w:rPr>
        <w:t>。若因以上可预见性因素导致</w:t>
      </w:r>
      <w:r>
        <w:rPr>
          <w:rFonts w:hint="eastAsia" w:ascii="仿宋" w:hAnsi="仿宋" w:eastAsia="仿宋" w:cs="仿宋"/>
          <w:sz w:val="24"/>
          <w:szCs w:val="24"/>
          <w:highlight w:val="none"/>
          <w:lang w:val="en-US" w:eastAsia="zh-CN"/>
        </w:rPr>
        <w:t>运输</w:t>
      </w:r>
      <w:r>
        <w:rPr>
          <w:rFonts w:hint="eastAsia" w:ascii="仿宋" w:hAnsi="仿宋" w:eastAsia="仿宋" w:cs="仿宋"/>
          <w:sz w:val="24"/>
          <w:szCs w:val="24"/>
          <w:highlight w:val="none"/>
        </w:rPr>
        <w:t>不畅，给</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生产造成损失，视为</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违约，</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有权扣除履约保证金，并要求</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承担因此造成的一切损失。</w:t>
      </w:r>
    </w:p>
    <w:p w14:paraId="4BB9A4F0">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双方应自觉保护合作方的商业秘密、知识产权等信息所有权，在他人侵权时应全力支持和配合对方维护权益，提供相关资料。</w:t>
      </w:r>
    </w:p>
    <w:p w14:paraId="4F129BD4">
      <w:pPr>
        <w:keepNext w:val="0"/>
        <w:keepLines w:val="0"/>
        <w:pageBreakBefore w:val="0"/>
        <w:widowControl w:val="0"/>
        <w:kinsoku/>
        <w:wordWrap/>
        <w:overflowPunct/>
        <w:topLinePunct w:val="0"/>
        <w:autoSpaceDE/>
        <w:autoSpaceDN/>
        <w:bidi w:val="0"/>
        <w:adjustRightInd/>
        <w:snapToGrid/>
        <w:spacing w:line="480" w:lineRule="exact"/>
        <w:ind w:firstLine="480"/>
        <w:jc w:val="left"/>
        <w:textAlignment w:val="auto"/>
        <w:rPr>
          <w:rFonts w:hint="eastAsia" w:ascii="仿宋" w:hAnsi="仿宋" w:eastAsia="仿宋" w:cs="仿宋"/>
          <w:sz w:val="24"/>
          <w:szCs w:val="24"/>
          <w:shd w:val="clear" w:color="auto" w:fill="FFFFFF"/>
        </w:rPr>
      </w:pPr>
      <w:r>
        <w:rPr>
          <w:rFonts w:hint="eastAsia" w:ascii="仿宋" w:hAnsi="仿宋" w:eastAsia="仿宋" w:cs="仿宋"/>
          <w:b/>
          <w:bCs/>
          <w:sz w:val="24"/>
          <w:szCs w:val="24"/>
          <w:shd w:val="clear" w:color="auto" w:fill="FFFFFF"/>
          <w:lang w:val="en-US" w:eastAsia="zh-CN"/>
        </w:rPr>
        <w:t xml:space="preserve">第三条 </w:t>
      </w:r>
      <w:r>
        <w:rPr>
          <w:rFonts w:hint="eastAsia" w:ascii="仿宋" w:hAnsi="仿宋" w:eastAsia="仿宋" w:cs="仿宋"/>
          <w:b/>
          <w:bCs/>
          <w:sz w:val="24"/>
          <w:szCs w:val="24"/>
          <w:shd w:val="clear" w:color="auto" w:fill="FFFFFF"/>
        </w:rPr>
        <w:t>甲方的权利和义务</w:t>
      </w:r>
      <w:r>
        <w:rPr>
          <w:rFonts w:hint="eastAsia" w:ascii="仿宋" w:hAnsi="仿宋" w:eastAsia="仿宋" w:cs="仿宋"/>
          <w:sz w:val="24"/>
          <w:szCs w:val="24"/>
          <w:shd w:val="clear" w:color="auto" w:fill="FFFFFF"/>
        </w:rPr>
        <w:t xml:space="preserve"> </w:t>
      </w:r>
    </w:p>
    <w:p w14:paraId="4ACF0FFB">
      <w:pPr>
        <w:keepNext w:val="0"/>
        <w:keepLines w:val="0"/>
        <w:pageBreakBefore w:val="0"/>
        <w:widowControl w:val="0"/>
        <w:kinsoku/>
        <w:wordWrap/>
        <w:overflowPunct/>
        <w:topLinePunct w:val="0"/>
        <w:autoSpaceDE/>
        <w:autoSpaceDN/>
        <w:bidi w:val="0"/>
        <w:adjustRightInd/>
        <w:snapToGrid/>
        <w:spacing w:line="480" w:lineRule="exact"/>
        <w:ind w:firstLine="480"/>
        <w:jc w:val="left"/>
        <w:textAlignment w:val="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1</w:t>
      </w:r>
      <w:r>
        <w:rPr>
          <w:rFonts w:hint="eastAsia" w:ascii="仿宋" w:hAnsi="仿宋" w:eastAsia="仿宋" w:cs="仿宋"/>
          <w:sz w:val="24"/>
          <w:szCs w:val="24"/>
          <w:shd w:val="clear" w:color="auto" w:fill="FFFFFF"/>
          <w:lang w:val="en-US" w:eastAsia="zh-CN"/>
        </w:rPr>
        <w:t>.</w:t>
      </w:r>
      <w:r>
        <w:rPr>
          <w:rFonts w:hint="eastAsia" w:ascii="仿宋" w:hAnsi="仿宋" w:eastAsia="仿宋" w:cs="仿宋"/>
          <w:sz w:val="24"/>
          <w:szCs w:val="24"/>
          <w:shd w:val="clear" w:color="auto" w:fill="FFFFFF"/>
        </w:rPr>
        <w:t>甲方应积极调集资金，按约定支付</w:t>
      </w:r>
      <w:r>
        <w:rPr>
          <w:rFonts w:hint="eastAsia" w:ascii="仿宋" w:hAnsi="仿宋" w:eastAsia="仿宋" w:cs="仿宋"/>
          <w:sz w:val="24"/>
          <w:szCs w:val="24"/>
          <w:u w:val="none"/>
          <w:shd w:val="clear" w:color="auto" w:fill="FFFFFF"/>
          <w:lang w:val="en-US" w:eastAsia="zh-CN"/>
        </w:rPr>
        <w:t>运费</w:t>
      </w:r>
      <w:r>
        <w:rPr>
          <w:rFonts w:hint="eastAsia" w:ascii="仿宋" w:hAnsi="仿宋" w:eastAsia="仿宋" w:cs="仿宋"/>
          <w:sz w:val="24"/>
          <w:szCs w:val="24"/>
          <w:shd w:val="clear" w:color="auto" w:fill="FFFFFF"/>
        </w:rPr>
        <w:t>。</w:t>
      </w:r>
    </w:p>
    <w:p w14:paraId="7366981F">
      <w:pPr>
        <w:keepNext w:val="0"/>
        <w:keepLines w:val="0"/>
        <w:pageBreakBefore w:val="0"/>
        <w:widowControl w:val="0"/>
        <w:kinsoku/>
        <w:wordWrap/>
        <w:overflowPunct/>
        <w:topLinePunct w:val="0"/>
        <w:autoSpaceDE/>
        <w:autoSpaceDN/>
        <w:bidi w:val="0"/>
        <w:adjustRightInd/>
        <w:snapToGrid/>
        <w:spacing w:line="480" w:lineRule="exact"/>
        <w:ind w:firstLine="480"/>
        <w:jc w:val="left"/>
        <w:textAlignment w:val="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2</w:t>
      </w:r>
      <w:r>
        <w:rPr>
          <w:rFonts w:hint="eastAsia" w:ascii="仿宋" w:hAnsi="仿宋" w:eastAsia="仿宋" w:cs="仿宋"/>
          <w:sz w:val="24"/>
          <w:szCs w:val="24"/>
          <w:shd w:val="clear" w:color="auto" w:fill="FFFFFF"/>
          <w:lang w:val="en-US" w:eastAsia="zh-CN"/>
        </w:rPr>
        <w:t>.</w:t>
      </w:r>
      <w:r>
        <w:rPr>
          <w:rFonts w:hint="eastAsia" w:ascii="仿宋" w:hAnsi="仿宋" w:eastAsia="仿宋" w:cs="仿宋"/>
          <w:sz w:val="24"/>
          <w:szCs w:val="24"/>
          <w:shd w:val="clear" w:color="auto" w:fill="FFFFFF"/>
        </w:rPr>
        <w:t>甲方负责向乙方提供</w:t>
      </w:r>
      <w:r>
        <w:rPr>
          <w:rFonts w:hint="eastAsia" w:ascii="仿宋" w:hAnsi="仿宋" w:eastAsia="仿宋" w:cs="仿宋"/>
          <w:sz w:val="24"/>
          <w:szCs w:val="24"/>
          <w:u w:val="single"/>
          <w:shd w:val="clear" w:color="auto" w:fill="FFFFFF"/>
          <w:lang w:val="en-US" w:eastAsia="zh-CN"/>
        </w:rPr>
        <w:t xml:space="preserve"> 预制构件 </w:t>
      </w:r>
      <w:r>
        <w:rPr>
          <w:rFonts w:hint="eastAsia" w:ascii="仿宋" w:hAnsi="仿宋" w:eastAsia="仿宋" w:cs="仿宋"/>
          <w:sz w:val="24"/>
          <w:szCs w:val="24"/>
          <w:u w:val="none"/>
          <w:shd w:val="clear" w:color="auto" w:fill="FFFFFF"/>
          <w:lang w:val="en-US" w:eastAsia="zh-CN"/>
        </w:rPr>
        <w:t>产品</w:t>
      </w:r>
      <w:r>
        <w:rPr>
          <w:rFonts w:hint="eastAsia" w:ascii="仿宋" w:hAnsi="仿宋" w:eastAsia="仿宋" w:cs="仿宋"/>
          <w:sz w:val="24"/>
          <w:szCs w:val="24"/>
          <w:shd w:val="clear" w:color="auto" w:fill="FFFFFF"/>
        </w:rPr>
        <w:t>的</w:t>
      </w:r>
      <w:r>
        <w:rPr>
          <w:rFonts w:hint="eastAsia" w:ascii="仿宋" w:hAnsi="仿宋" w:eastAsia="仿宋" w:cs="仿宋"/>
          <w:sz w:val="24"/>
          <w:szCs w:val="24"/>
          <w:shd w:val="clear" w:color="auto" w:fill="FFFFFF"/>
          <w:lang w:val="en-US" w:eastAsia="zh-CN"/>
        </w:rPr>
        <w:t>运输</w:t>
      </w:r>
      <w:r>
        <w:rPr>
          <w:rFonts w:hint="eastAsia" w:ascii="仿宋" w:hAnsi="仿宋" w:eastAsia="仿宋" w:cs="仿宋"/>
          <w:sz w:val="24"/>
          <w:szCs w:val="24"/>
          <w:shd w:val="clear" w:color="auto" w:fill="FFFFFF"/>
        </w:rPr>
        <w:t>要求。</w:t>
      </w:r>
    </w:p>
    <w:p w14:paraId="4B37EF0E">
      <w:pPr>
        <w:pStyle w:val="20"/>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3.甲方</w:t>
      </w:r>
      <w:r>
        <w:rPr>
          <w:rFonts w:hint="eastAsia" w:ascii="仿宋" w:hAnsi="仿宋" w:eastAsia="仿宋" w:cs="仿宋"/>
          <w:sz w:val="24"/>
          <w:szCs w:val="24"/>
          <w:highlight w:val="none"/>
        </w:rPr>
        <w:t>在服务期限内，可根据实际</w:t>
      </w:r>
      <w:r>
        <w:rPr>
          <w:rFonts w:hint="eastAsia" w:ascii="仿宋" w:hAnsi="仿宋" w:eastAsia="仿宋" w:cs="仿宋"/>
          <w:sz w:val="24"/>
          <w:szCs w:val="24"/>
          <w:highlight w:val="none"/>
          <w:lang w:val="en-US" w:eastAsia="zh-CN"/>
        </w:rPr>
        <w:t>运输</w:t>
      </w:r>
      <w:r>
        <w:rPr>
          <w:rFonts w:hint="eastAsia" w:ascii="仿宋" w:hAnsi="仿宋" w:eastAsia="仿宋" w:cs="仿宋"/>
          <w:sz w:val="24"/>
          <w:szCs w:val="24"/>
          <w:highlight w:val="none"/>
        </w:rPr>
        <w:t>需求，不定时通过</w:t>
      </w:r>
      <w:r>
        <w:rPr>
          <w:rFonts w:hint="eastAsia" w:ascii="仿宋" w:hAnsi="仿宋" w:eastAsia="仿宋" w:cs="仿宋"/>
          <w:sz w:val="24"/>
          <w:szCs w:val="24"/>
          <w:highlight w:val="none"/>
          <w:lang w:val="en-US" w:eastAsia="zh-CN"/>
        </w:rPr>
        <w:t>框架协议采购</w:t>
      </w:r>
      <w:r>
        <w:rPr>
          <w:rFonts w:hint="eastAsia" w:ascii="仿宋" w:hAnsi="仿宋" w:eastAsia="仿宋" w:cs="仿宋"/>
          <w:sz w:val="24"/>
          <w:szCs w:val="24"/>
          <w:highlight w:val="none"/>
        </w:rPr>
        <w:t>或其他招标采购方式，补充或扩充供应商库，则新入库供应商服务期限仍截至</w:t>
      </w:r>
      <w:r>
        <w:rPr>
          <w:rFonts w:hint="eastAsia" w:ascii="仿宋" w:hAnsi="仿宋" w:eastAsia="仿宋" w:cs="仿宋"/>
          <w:sz w:val="24"/>
          <w:szCs w:val="24"/>
          <w:highlight w:val="none"/>
          <w:u w:val="single"/>
          <w:lang w:val="en-US" w:eastAsia="zh-CN"/>
        </w:rPr>
        <w:t>2027</w:t>
      </w:r>
      <w:r>
        <w:rPr>
          <w:rFonts w:hint="eastAsia" w:ascii="仿宋" w:hAnsi="仿宋" w:eastAsia="仿宋" w:cs="仿宋"/>
          <w:sz w:val="24"/>
          <w:szCs w:val="24"/>
          <w:highlight w:val="none"/>
          <w:u w:val="single"/>
        </w:rPr>
        <w:t>年</w:t>
      </w:r>
      <w:r>
        <w:rPr>
          <w:rFonts w:hint="eastAsia" w:ascii="仿宋" w:hAnsi="仿宋" w:eastAsia="仿宋" w:cs="仿宋"/>
          <w:sz w:val="24"/>
          <w:szCs w:val="24"/>
          <w:highlight w:val="none"/>
          <w:u w:val="single"/>
          <w:lang w:val="en-US" w:eastAsia="zh-CN"/>
        </w:rPr>
        <w:t>12</w:t>
      </w:r>
      <w:r>
        <w:rPr>
          <w:rFonts w:hint="eastAsia" w:ascii="仿宋" w:hAnsi="仿宋" w:eastAsia="仿宋" w:cs="仿宋"/>
          <w:sz w:val="24"/>
          <w:szCs w:val="24"/>
          <w:highlight w:val="none"/>
          <w:u w:val="single"/>
        </w:rPr>
        <w:t>月</w:t>
      </w:r>
      <w:r>
        <w:rPr>
          <w:rFonts w:hint="eastAsia" w:ascii="仿宋" w:hAnsi="仿宋" w:eastAsia="仿宋" w:cs="仿宋"/>
          <w:sz w:val="24"/>
          <w:szCs w:val="24"/>
          <w:highlight w:val="none"/>
          <w:u w:val="single"/>
          <w:lang w:val="en-US" w:eastAsia="zh-CN"/>
        </w:rPr>
        <w:t>31</w:t>
      </w:r>
      <w:r>
        <w:rPr>
          <w:rFonts w:hint="eastAsia" w:ascii="仿宋" w:hAnsi="仿宋" w:eastAsia="仿宋" w:cs="仿宋"/>
          <w:sz w:val="24"/>
          <w:szCs w:val="24"/>
          <w:highlight w:val="none"/>
          <w:u w:val="single"/>
        </w:rPr>
        <w:t>日</w:t>
      </w:r>
      <w:r>
        <w:rPr>
          <w:rFonts w:hint="eastAsia" w:ascii="仿宋" w:hAnsi="仿宋" w:eastAsia="仿宋" w:cs="仿宋"/>
          <w:sz w:val="24"/>
          <w:szCs w:val="24"/>
          <w:highlight w:val="none"/>
        </w:rPr>
        <w:t>。特殊情况下，在服务期限内，</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可根据实际</w:t>
      </w:r>
      <w:r>
        <w:rPr>
          <w:rFonts w:hint="eastAsia" w:ascii="仿宋" w:hAnsi="仿宋" w:eastAsia="仿宋" w:cs="仿宋"/>
          <w:sz w:val="24"/>
          <w:szCs w:val="24"/>
          <w:highlight w:val="none"/>
          <w:lang w:val="en-US" w:eastAsia="zh-CN"/>
        </w:rPr>
        <w:t>运输</w:t>
      </w:r>
      <w:r>
        <w:rPr>
          <w:rFonts w:hint="eastAsia" w:ascii="仿宋" w:hAnsi="仿宋" w:eastAsia="仿宋" w:cs="仿宋"/>
          <w:sz w:val="24"/>
          <w:szCs w:val="24"/>
          <w:highlight w:val="none"/>
        </w:rPr>
        <w:t>需要，按照本项目</w:t>
      </w:r>
      <w:r>
        <w:rPr>
          <w:rFonts w:hint="eastAsia" w:ascii="仿宋" w:hAnsi="仿宋" w:eastAsia="仿宋" w:cs="仿宋"/>
          <w:sz w:val="24"/>
          <w:szCs w:val="24"/>
          <w:highlight w:val="none"/>
          <w:lang w:val="en-US" w:eastAsia="zh-CN"/>
        </w:rPr>
        <w:t>招标文件</w:t>
      </w:r>
      <w:r>
        <w:rPr>
          <w:rFonts w:hint="eastAsia" w:ascii="仿宋" w:hAnsi="仿宋" w:eastAsia="仿宋" w:cs="仿宋"/>
          <w:sz w:val="24"/>
          <w:szCs w:val="24"/>
          <w:highlight w:val="none"/>
        </w:rPr>
        <w:t>资格要求，另行引入符合条件的供应商。</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具有最终解释权，</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须无条件接受。</w:t>
      </w:r>
    </w:p>
    <w:p w14:paraId="5046D43D">
      <w:pPr>
        <w:keepNext w:val="0"/>
        <w:keepLines w:val="0"/>
        <w:pageBreakBefore w:val="0"/>
        <w:widowControl w:val="0"/>
        <w:kinsoku/>
        <w:wordWrap/>
        <w:overflowPunct/>
        <w:topLinePunct w:val="0"/>
        <w:autoSpaceDE/>
        <w:autoSpaceDN/>
        <w:bidi w:val="0"/>
        <w:adjustRightInd/>
        <w:snapToGrid/>
        <w:spacing w:line="480" w:lineRule="exact"/>
        <w:ind w:firstLine="48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在报价过程中，若</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涉嫌通过围标、串标等不正当竞争方式取得</w:t>
      </w:r>
      <w:r>
        <w:rPr>
          <w:rFonts w:hint="eastAsia" w:ascii="仿宋" w:hAnsi="仿宋" w:eastAsia="仿宋" w:cs="仿宋"/>
          <w:sz w:val="24"/>
          <w:szCs w:val="24"/>
          <w:highlight w:val="none"/>
          <w:lang w:val="en-US" w:eastAsia="zh-CN"/>
        </w:rPr>
        <w:t>运输</w:t>
      </w:r>
      <w:r>
        <w:rPr>
          <w:rFonts w:hint="eastAsia" w:ascii="仿宋" w:hAnsi="仿宋" w:eastAsia="仿宋" w:cs="仿宋"/>
          <w:sz w:val="24"/>
          <w:szCs w:val="24"/>
          <w:highlight w:val="none"/>
        </w:rPr>
        <w:t>资格的，</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有权直接取消</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作为合格供方的资格，</w:t>
      </w:r>
      <w:r>
        <w:rPr>
          <w:rFonts w:hint="eastAsia" w:ascii="仿宋" w:hAnsi="仿宋" w:eastAsia="仿宋" w:cs="仿宋"/>
          <w:sz w:val="24"/>
          <w:szCs w:val="24"/>
          <w:highlight w:val="none"/>
          <w:lang w:val="en-US" w:eastAsia="zh-CN"/>
        </w:rPr>
        <w:t>将乙方</w:t>
      </w:r>
      <w:r>
        <w:rPr>
          <w:rFonts w:hint="eastAsia" w:ascii="仿宋" w:hAnsi="仿宋" w:eastAsia="仿宋" w:cs="仿宋"/>
          <w:sz w:val="24"/>
          <w:szCs w:val="24"/>
          <w:highlight w:val="none"/>
        </w:rPr>
        <w:t>列入供应商失信黑名单</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甲方有权单方解除合同，且不承担任何因解除合同产生的责任</w:t>
      </w:r>
      <w:r>
        <w:rPr>
          <w:rFonts w:hint="eastAsia" w:ascii="仿宋" w:hAnsi="仿宋" w:eastAsia="仿宋" w:cs="仿宋"/>
          <w:sz w:val="24"/>
          <w:szCs w:val="24"/>
          <w:highlight w:val="none"/>
        </w:rPr>
        <w:t>。同时，</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保留追究法律责任的权利。</w:t>
      </w:r>
    </w:p>
    <w:p w14:paraId="2DB53ACE">
      <w:pPr>
        <w:keepNext w:val="0"/>
        <w:keepLines w:val="0"/>
        <w:pageBreakBefore w:val="0"/>
        <w:widowControl w:val="0"/>
        <w:kinsoku/>
        <w:wordWrap/>
        <w:overflowPunct/>
        <w:topLinePunct w:val="0"/>
        <w:autoSpaceDE/>
        <w:autoSpaceDN/>
        <w:bidi w:val="0"/>
        <w:adjustRightInd/>
        <w:snapToGrid/>
        <w:spacing w:line="480" w:lineRule="exact"/>
        <w:ind w:firstLine="480"/>
        <w:jc w:val="left"/>
        <w:textAlignment w:val="auto"/>
        <w:rPr>
          <w:rFonts w:hint="eastAsia" w:ascii="仿宋" w:hAnsi="仿宋" w:eastAsia="仿宋" w:cs="仿宋"/>
          <w:b/>
          <w:bCs/>
          <w:sz w:val="24"/>
          <w:szCs w:val="24"/>
          <w:highlight w:val="none"/>
          <w:shd w:val="clear" w:color="auto" w:fill="FFFFFF"/>
        </w:rPr>
      </w:pPr>
      <w:r>
        <w:rPr>
          <w:rFonts w:hint="eastAsia" w:ascii="仿宋" w:hAnsi="仿宋" w:eastAsia="仿宋" w:cs="仿宋"/>
          <w:b/>
          <w:bCs/>
          <w:sz w:val="24"/>
          <w:szCs w:val="24"/>
          <w:highlight w:val="none"/>
          <w:shd w:val="clear" w:color="auto" w:fill="FFFFFF"/>
          <w:lang w:val="en-US" w:eastAsia="zh-CN"/>
        </w:rPr>
        <w:t xml:space="preserve">第四条 </w:t>
      </w:r>
      <w:r>
        <w:rPr>
          <w:rFonts w:hint="eastAsia" w:ascii="仿宋" w:hAnsi="仿宋" w:eastAsia="仿宋" w:cs="仿宋"/>
          <w:b/>
          <w:bCs/>
          <w:sz w:val="24"/>
          <w:szCs w:val="24"/>
          <w:highlight w:val="none"/>
          <w:shd w:val="clear" w:color="auto" w:fill="FFFFFF"/>
        </w:rPr>
        <w:t xml:space="preserve">乙方的权利和义务 </w:t>
      </w:r>
    </w:p>
    <w:p w14:paraId="2847E576">
      <w:pPr>
        <w:keepNext w:val="0"/>
        <w:keepLines w:val="0"/>
        <w:pageBreakBefore w:val="0"/>
        <w:widowControl w:val="0"/>
        <w:kinsoku/>
        <w:wordWrap/>
        <w:overflowPunct/>
        <w:topLinePunct w:val="0"/>
        <w:autoSpaceDE/>
        <w:autoSpaceDN/>
        <w:bidi w:val="0"/>
        <w:adjustRightInd/>
        <w:snapToGrid/>
        <w:spacing w:line="480" w:lineRule="exact"/>
        <w:ind w:firstLine="480"/>
        <w:jc w:val="left"/>
        <w:textAlignment w:val="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1</w:t>
      </w:r>
      <w:r>
        <w:rPr>
          <w:rFonts w:hint="eastAsia" w:ascii="仿宋" w:hAnsi="仿宋" w:eastAsia="仿宋" w:cs="仿宋"/>
          <w:sz w:val="24"/>
          <w:szCs w:val="24"/>
          <w:shd w:val="clear" w:color="auto" w:fill="FFFFFF"/>
          <w:lang w:val="en-US" w:eastAsia="zh-CN"/>
        </w:rPr>
        <w:t>.</w:t>
      </w:r>
      <w:r>
        <w:rPr>
          <w:rFonts w:hint="eastAsia" w:ascii="仿宋" w:hAnsi="仿宋" w:eastAsia="仿宋" w:cs="仿宋"/>
          <w:sz w:val="24"/>
          <w:szCs w:val="24"/>
          <w:shd w:val="clear" w:color="auto" w:fill="FFFFFF"/>
        </w:rPr>
        <w:t>乙方严格按照委托内容及要求提供</w:t>
      </w:r>
      <w:r>
        <w:rPr>
          <w:rFonts w:hint="eastAsia" w:ascii="仿宋" w:hAnsi="仿宋" w:eastAsia="仿宋" w:cs="仿宋"/>
          <w:sz w:val="24"/>
          <w:szCs w:val="24"/>
          <w:shd w:val="clear" w:color="auto" w:fill="FFFFFF"/>
          <w:lang w:val="en-US" w:eastAsia="zh-CN"/>
        </w:rPr>
        <w:t>运输</w:t>
      </w:r>
      <w:r>
        <w:rPr>
          <w:rFonts w:hint="eastAsia" w:ascii="仿宋" w:hAnsi="仿宋" w:eastAsia="仿宋" w:cs="仿宋"/>
          <w:sz w:val="24"/>
          <w:szCs w:val="24"/>
          <w:shd w:val="clear" w:color="auto" w:fill="FFFFFF"/>
        </w:rPr>
        <w:t>服务，并提供全方位的保障措施，并按甲方的要求提交相关计划与</w:t>
      </w:r>
      <w:r>
        <w:rPr>
          <w:rFonts w:hint="eastAsia" w:ascii="仿宋" w:hAnsi="仿宋" w:eastAsia="仿宋" w:cs="仿宋"/>
          <w:sz w:val="24"/>
          <w:szCs w:val="24"/>
          <w:shd w:val="clear" w:color="auto" w:fill="FFFFFF"/>
          <w:lang w:val="en-US" w:eastAsia="zh-CN"/>
        </w:rPr>
        <w:t>运输</w:t>
      </w:r>
      <w:r>
        <w:rPr>
          <w:rFonts w:hint="eastAsia" w:ascii="仿宋" w:hAnsi="仿宋" w:eastAsia="仿宋" w:cs="仿宋"/>
          <w:sz w:val="24"/>
          <w:szCs w:val="24"/>
          <w:shd w:val="clear" w:color="auto" w:fill="FFFFFF"/>
        </w:rPr>
        <w:t>方案。</w:t>
      </w:r>
    </w:p>
    <w:p w14:paraId="083B9EA9">
      <w:pPr>
        <w:keepNext w:val="0"/>
        <w:keepLines w:val="0"/>
        <w:pageBreakBefore w:val="0"/>
        <w:widowControl w:val="0"/>
        <w:kinsoku/>
        <w:wordWrap/>
        <w:overflowPunct/>
        <w:topLinePunct w:val="0"/>
        <w:autoSpaceDE/>
        <w:autoSpaceDN/>
        <w:bidi w:val="0"/>
        <w:adjustRightInd/>
        <w:snapToGrid/>
        <w:spacing w:line="480" w:lineRule="exact"/>
        <w:ind w:firstLine="480"/>
        <w:jc w:val="left"/>
        <w:textAlignment w:val="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2</w:t>
      </w:r>
      <w:r>
        <w:rPr>
          <w:rFonts w:hint="eastAsia" w:ascii="仿宋" w:hAnsi="仿宋" w:eastAsia="仿宋" w:cs="仿宋"/>
          <w:sz w:val="24"/>
          <w:szCs w:val="24"/>
          <w:shd w:val="clear" w:color="auto" w:fill="FFFFFF"/>
          <w:lang w:val="en-US" w:eastAsia="zh-CN"/>
        </w:rPr>
        <w:t>.</w:t>
      </w:r>
      <w:r>
        <w:rPr>
          <w:rFonts w:hint="eastAsia" w:ascii="仿宋" w:hAnsi="仿宋" w:eastAsia="仿宋" w:cs="仿宋"/>
          <w:sz w:val="24"/>
          <w:szCs w:val="24"/>
          <w:shd w:val="clear" w:color="auto" w:fill="FFFFFF"/>
        </w:rPr>
        <w:t>乙方自觉接受甲方对</w:t>
      </w:r>
      <w:r>
        <w:rPr>
          <w:rFonts w:hint="eastAsia" w:ascii="仿宋" w:hAnsi="仿宋" w:eastAsia="仿宋" w:cs="仿宋"/>
          <w:sz w:val="24"/>
          <w:szCs w:val="24"/>
          <w:u w:val="single"/>
          <w:shd w:val="clear" w:color="auto" w:fill="FFFFFF"/>
          <w:lang w:val="en-US" w:eastAsia="zh-CN"/>
        </w:rPr>
        <w:t xml:space="preserve"> 预制构件  </w:t>
      </w:r>
      <w:r>
        <w:rPr>
          <w:rFonts w:hint="eastAsia" w:ascii="仿宋" w:hAnsi="仿宋" w:eastAsia="仿宋" w:cs="仿宋"/>
          <w:sz w:val="24"/>
          <w:szCs w:val="24"/>
          <w:u w:val="none"/>
          <w:shd w:val="clear" w:color="auto" w:fill="FFFFFF"/>
          <w:lang w:val="en-US" w:eastAsia="zh-CN"/>
        </w:rPr>
        <w:t>产品</w:t>
      </w:r>
      <w:r>
        <w:rPr>
          <w:rFonts w:hint="eastAsia" w:ascii="仿宋" w:hAnsi="仿宋" w:eastAsia="仿宋" w:cs="仿宋"/>
          <w:sz w:val="24"/>
          <w:szCs w:val="24"/>
          <w:shd w:val="clear" w:color="auto" w:fill="FFFFFF"/>
          <w:lang w:val="en-US" w:eastAsia="zh-CN"/>
        </w:rPr>
        <w:t>运输</w:t>
      </w:r>
      <w:r>
        <w:rPr>
          <w:rFonts w:hint="eastAsia" w:ascii="仿宋" w:hAnsi="仿宋" w:eastAsia="仿宋" w:cs="仿宋"/>
          <w:sz w:val="24"/>
          <w:szCs w:val="24"/>
          <w:shd w:val="clear" w:color="auto" w:fill="FFFFFF"/>
        </w:rPr>
        <w:t>的监管，按甲方要求及时进行调整。</w:t>
      </w:r>
    </w:p>
    <w:p w14:paraId="63D87272">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3</w:t>
      </w:r>
      <w:r>
        <w:rPr>
          <w:rFonts w:hint="eastAsia" w:ascii="仿宋" w:hAnsi="仿宋" w:eastAsia="仿宋" w:cs="仿宋"/>
          <w:sz w:val="24"/>
          <w:szCs w:val="24"/>
          <w:shd w:val="clear" w:color="auto" w:fill="FFFFFF"/>
          <w:lang w:val="en-US" w:eastAsia="zh-CN"/>
        </w:rPr>
        <w:t>.</w:t>
      </w:r>
      <w:r>
        <w:rPr>
          <w:rFonts w:hint="eastAsia" w:ascii="仿宋" w:hAnsi="仿宋" w:eastAsia="仿宋" w:cs="仿宋"/>
          <w:sz w:val="24"/>
          <w:szCs w:val="24"/>
          <w:shd w:val="clear" w:color="auto" w:fill="FFFFFF"/>
        </w:rPr>
        <w:t>乙方应按甲方的要求，保质、保量、按时、安全、高效地保障</w:t>
      </w:r>
      <w:r>
        <w:rPr>
          <w:rFonts w:hint="eastAsia" w:ascii="仿宋" w:hAnsi="仿宋" w:eastAsia="仿宋" w:cs="仿宋"/>
          <w:sz w:val="24"/>
          <w:szCs w:val="24"/>
          <w:u w:val="single"/>
          <w:shd w:val="clear" w:color="auto" w:fill="FFFFFF"/>
          <w:lang w:val="en-US" w:eastAsia="zh-CN"/>
        </w:rPr>
        <w:t xml:space="preserve">   预制构件   </w:t>
      </w:r>
      <w:r>
        <w:rPr>
          <w:rFonts w:hint="eastAsia" w:ascii="仿宋" w:hAnsi="仿宋" w:eastAsia="仿宋" w:cs="仿宋"/>
          <w:sz w:val="24"/>
          <w:szCs w:val="24"/>
          <w:u w:val="none"/>
          <w:shd w:val="clear" w:color="auto" w:fill="FFFFFF"/>
          <w:lang w:val="en-US" w:eastAsia="zh-CN"/>
        </w:rPr>
        <w:t>产品</w:t>
      </w:r>
      <w:r>
        <w:rPr>
          <w:rFonts w:hint="eastAsia" w:ascii="仿宋" w:hAnsi="仿宋" w:eastAsia="仿宋" w:cs="仿宋"/>
          <w:sz w:val="24"/>
          <w:szCs w:val="24"/>
          <w:shd w:val="clear" w:color="auto" w:fill="FFFFFF"/>
        </w:rPr>
        <w:t>的</w:t>
      </w:r>
      <w:r>
        <w:rPr>
          <w:rFonts w:hint="eastAsia" w:ascii="仿宋" w:hAnsi="仿宋" w:eastAsia="仿宋" w:cs="仿宋"/>
          <w:sz w:val="24"/>
          <w:szCs w:val="24"/>
          <w:shd w:val="clear" w:color="auto" w:fill="FFFFFF"/>
          <w:lang w:val="en-US" w:eastAsia="zh-CN"/>
        </w:rPr>
        <w:t>运输</w:t>
      </w:r>
      <w:r>
        <w:rPr>
          <w:rFonts w:hint="eastAsia" w:ascii="仿宋" w:hAnsi="仿宋" w:eastAsia="仿宋" w:cs="仿宋"/>
          <w:sz w:val="24"/>
          <w:szCs w:val="24"/>
          <w:shd w:val="clear" w:color="auto" w:fill="FFFFFF"/>
        </w:rPr>
        <w:t>。</w:t>
      </w:r>
    </w:p>
    <w:p w14:paraId="3E2F06D3">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default" w:ascii="仿宋" w:hAnsi="仿宋" w:eastAsia="仿宋" w:cs="仿宋"/>
          <w:sz w:val="24"/>
          <w:szCs w:val="24"/>
          <w:lang w:val="en-US" w:eastAsia="zh-CN"/>
        </w:rPr>
      </w:pPr>
      <w:r>
        <w:rPr>
          <w:rFonts w:hint="eastAsia" w:ascii="仿宋" w:hAnsi="仿宋" w:eastAsia="仿宋" w:cs="仿宋"/>
          <w:sz w:val="24"/>
          <w:szCs w:val="24"/>
          <w:shd w:val="clear" w:color="auto" w:fill="FFFFFF"/>
        </w:rPr>
        <w:t>4</w:t>
      </w:r>
      <w:r>
        <w:rPr>
          <w:rFonts w:hint="eastAsia" w:ascii="仿宋" w:hAnsi="仿宋" w:eastAsia="仿宋" w:cs="仿宋"/>
          <w:sz w:val="24"/>
          <w:szCs w:val="24"/>
          <w:shd w:val="clear" w:color="auto" w:fill="FFFFFF"/>
          <w:lang w:val="en-US" w:eastAsia="zh-CN"/>
        </w:rPr>
        <w:t>.</w:t>
      </w:r>
      <w:r>
        <w:rPr>
          <w:rFonts w:hint="eastAsia" w:ascii="仿宋" w:hAnsi="仿宋" w:eastAsia="仿宋" w:cs="仿宋"/>
          <w:sz w:val="24"/>
          <w:szCs w:val="24"/>
          <w:shd w:val="clear" w:color="auto" w:fill="FFFFFF"/>
        </w:rPr>
        <w:t>乙方运输车辆须</w:t>
      </w:r>
      <w:r>
        <w:rPr>
          <w:rFonts w:hint="eastAsia" w:ascii="仿宋" w:hAnsi="仿宋" w:eastAsia="仿宋" w:cs="仿宋"/>
          <w:sz w:val="24"/>
          <w:szCs w:val="24"/>
          <w:shd w:val="clear" w:color="auto" w:fill="FFFFFF"/>
          <w:lang w:val="en-US" w:eastAsia="zh-CN"/>
        </w:rPr>
        <w:t>具备道路运输证，且保险手续齐全，驾驶人员须具有符合所驾驶车型的驾驶证及道路运输从业资格证</w:t>
      </w:r>
    </w:p>
    <w:p w14:paraId="6C2CA08C">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 xml:space="preserve">第五条 </w:t>
      </w:r>
      <w:r>
        <w:rPr>
          <w:rFonts w:hint="eastAsia" w:ascii="仿宋" w:hAnsi="仿宋" w:eastAsia="仿宋" w:cs="仿宋"/>
          <w:b/>
          <w:bCs/>
          <w:sz w:val="24"/>
          <w:szCs w:val="24"/>
        </w:rPr>
        <w:t>合作期限及其他</w:t>
      </w:r>
    </w:p>
    <w:p w14:paraId="1F58AF61">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本协议有效期为：自本协议签订后至</w:t>
      </w:r>
      <w:r>
        <w:rPr>
          <w:rFonts w:hint="eastAsia" w:ascii="仿宋" w:hAnsi="仿宋" w:eastAsia="仿宋" w:cs="仿宋"/>
          <w:sz w:val="24"/>
          <w:szCs w:val="24"/>
          <w:u w:val="single"/>
          <w:lang w:val="en-US" w:eastAsia="zh-CN"/>
        </w:rPr>
        <w:t xml:space="preserve"> 2027</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12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31 </w:t>
      </w:r>
      <w:r>
        <w:rPr>
          <w:rFonts w:hint="eastAsia" w:ascii="仿宋" w:hAnsi="仿宋" w:eastAsia="仿宋" w:cs="仿宋"/>
          <w:sz w:val="24"/>
          <w:szCs w:val="24"/>
        </w:rPr>
        <w:t>日。</w:t>
      </w:r>
    </w:p>
    <w:p w14:paraId="230ACD11">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除本框架协议另有约定之外，一方在未经另一方事先书面同意的情况下，不应将本框架协议项下的全部或部分权利或义务转让给第三方。</w:t>
      </w:r>
    </w:p>
    <w:p w14:paraId="6E4E168C">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w:t>
      </w:r>
      <w:r>
        <w:rPr>
          <w:rFonts w:hint="eastAsia" w:ascii="仿宋" w:hAnsi="仿宋" w:eastAsia="仿宋" w:cs="仿宋"/>
          <w:sz w:val="24"/>
          <w:szCs w:val="24"/>
        </w:rPr>
        <w:t>甲乙双方就具体业务签署具体协议。</w:t>
      </w:r>
    </w:p>
    <w:p w14:paraId="1D493A8D">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val="en-US" w:eastAsia="zh-CN"/>
        </w:rPr>
        <w:t>.</w:t>
      </w:r>
      <w:r>
        <w:rPr>
          <w:rFonts w:hint="eastAsia" w:ascii="仿宋" w:hAnsi="仿宋" w:eastAsia="仿宋" w:cs="仿宋"/>
          <w:sz w:val="24"/>
          <w:szCs w:val="24"/>
        </w:rPr>
        <w:t>本协议一式陆份，双方各执叁份，自双方法定代表人或授权代表人签字并盖章之日起生效。传真件、复印件均具有同等法律效力。</w:t>
      </w:r>
    </w:p>
    <w:p w14:paraId="70D07411">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（以下无正文）</w:t>
      </w:r>
    </w:p>
    <w:tbl>
      <w:tblPr>
        <w:tblStyle w:val="40"/>
        <w:tblpPr w:leftFromText="180" w:rightFromText="180" w:vertAnchor="text" w:horzAnchor="page" w:tblpX="1550" w:tblpY="721"/>
        <w:tblOverlap w:val="never"/>
        <w:tblW w:w="962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43"/>
        <w:gridCol w:w="4881"/>
      </w:tblGrid>
      <w:tr w14:paraId="4986F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trPr>
        <w:tc>
          <w:tcPr>
            <w:tcW w:w="4743" w:type="dxa"/>
            <w:tcBorders>
              <w:top w:val="single" w:color="000000" w:sz="4" w:space="0"/>
              <w:left w:val="single" w:color="000000" w:sz="4" w:space="0"/>
              <w:bottom w:val="single" w:color="000000" w:sz="2" w:space="0"/>
              <w:right w:val="single" w:color="000000" w:sz="4" w:space="0"/>
            </w:tcBorders>
            <w:noWrap w:val="0"/>
            <w:vAlign w:val="center"/>
          </w:tcPr>
          <w:p w14:paraId="0DB2613C">
            <w:pPr>
              <w:snapToGrid w:val="0"/>
              <w:spacing w:line="440" w:lineRule="exact"/>
              <w:ind w:left="600" w:hanging="480" w:hangingChars="200"/>
              <w:jc w:val="center"/>
              <w:rPr>
                <w:rFonts w:hint="eastAsia" w:ascii="仿宋" w:hAnsi="仿宋" w:eastAsia="仿宋" w:cs="仿宋"/>
                <w:sz w:val="24"/>
                <w:szCs w:val="24"/>
              </w:rPr>
            </w:pPr>
            <w:r>
              <w:rPr>
                <w:rFonts w:hint="eastAsia" w:ascii="仿宋" w:hAnsi="仿宋" w:eastAsia="仿宋" w:cs="仿宋"/>
                <w:sz w:val="24"/>
                <w:szCs w:val="24"/>
                <w:lang w:val="en-US" w:eastAsia="zh-CN"/>
              </w:rPr>
              <w:t>甲方</w:t>
            </w:r>
            <w:r>
              <w:rPr>
                <w:rFonts w:hint="eastAsia" w:ascii="仿宋" w:hAnsi="仿宋" w:eastAsia="仿宋" w:cs="仿宋"/>
                <w:sz w:val="24"/>
                <w:szCs w:val="24"/>
              </w:rPr>
              <w:t>：河北交投绿色建材有限公（盖章）</w:t>
            </w:r>
          </w:p>
        </w:tc>
        <w:tc>
          <w:tcPr>
            <w:tcW w:w="4881" w:type="dxa"/>
            <w:tcBorders>
              <w:top w:val="single" w:color="000000" w:sz="4" w:space="0"/>
              <w:left w:val="single" w:color="000000" w:sz="4" w:space="0"/>
              <w:bottom w:val="single" w:color="000000" w:sz="2" w:space="0"/>
              <w:right w:val="single" w:color="000000" w:sz="4" w:space="0"/>
            </w:tcBorders>
            <w:noWrap/>
            <w:vAlign w:val="center"/>
          </w:tcPr>
          <w:p w14:paraId="1229AF12">
            <w:pPr>
              <w:snapToGrid w:val="0"/>
              <w:spacing w:line="440" w:lineRule="exact"/>
              <w:ind w:left="600" w:hanging="480" w:hangingChars="200"/>
              <w:jc w:val="both"/>
              <w:rPr>
                <w:rFonts w:hint="eastAsia" w:ascii="仿宋" w:hAnsi="仿宋" w:eastAsia="仿宋" w:cs="仿宋"/>
                <w:sz w:val="24"/>
                <w:szCs w:val="24"/>
              </w:rPr>
            </w:pPr>
            <w:r>
              <w:rPr>
                <w:rFonts w:hint="eastAsia" w:ascii="仿宋" w:hAnsi="仿宋" w:eastAsia="仿宋" w:cs="仿宋"/>
                <w:sz w:val="24"/>
                <w:szCs w:val="24"/>
                <w:lang w:val="en-US" w:eastAsia="zh-CN"/>
              </w:rPr>
              <w:t>乙方</w:t>
            </w: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（盖章）</w:t>
            </w:r>
          </w:p>
        </w:tc>
      </w:tr>
      <w:tr w14:paraId="58F36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4743" w:type="dxa"/>
            <w:tcBorders>
              <w:top w:val="single" w:color="000000" w:sz="2" w:space="0"/>
              <w:left w:val="single" w:color="000000" w:sz="4" w:space="0"/>
              <w:bottom w:val="single" w:color="000000" w:sz="2" w:space="0"/>
              <w:right w:val="single" w:color="000000" w:sz="4" w:space="0"/>
            </w:tcBorders>
            <w:noWrap w:val="0"/>
            <w:vAlign w:val="center"/>
          </w:tcPr>
          <w:p w14:paraId="61B8E669">
            <w:pPr>
              <w:keepNext w:val="0"/>
              <w:keepLines w:val="0"/>
              <w:pageBreakBefore w:val="0"/>
              <w:widowControl w:val="0"/>
              <w:kinsoku/>
              <w:wordWrap/>
              <w:overflowPunct/>
              <w:topLinePunct w:val="0"/>
              <w:bidi w:val="0"/>
              <w:adjustRightInd w:val="0"/>
              <w:snapToGrid/>
              <w:spacing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w w:val="80"/>
                <w:sz w:val="24"/>
                <w:szCs w:val="24"/>
              </w:rPr>
              <w:t>河北省保定市高碑店市张六庄镇祥瑞路1号</w:t>
            </w:r>
          </w:p>
        </w:tc>
        <w:tc>
          <w:tcPr>
            <w:tcW w:w="4881" w:type="dxa"/>
            <w:tcBorders>
              <w:top w:val="single" w:color="000000" w:sz="2" w:space="0"/>
              <w:left w:val="single" w:color="000000" w:sz="4" w:space="0"/>
              <w:bottom w:val="single" w:color="000000" w:sz="2" w:space="0"/>
              <w:right w:val="single" w:color="000000" w:sz="4" w:space="0"/>
            </w:tcBorders>
            <w:noWrap/>
            <w:vAlign w:val="top"/>
          </w:tcPr>
          <w:p w14:paraId="334099AF">
            <w:pPr>
              <w:keepNext w:val="0"/>
              <w:keepLines w:val="0"/>
              <w:pageBreakBefore w:val="0"/>
              <w:widowControl w:val="0"/>
              <w:kinsoku/>
              <w:wordWrap/>
              <w:overflowPunct/>
              <w:topLinePunct w:val="0"/>
              <w:bidi w:val="0"/>
              <w:adjustRightInd w:val="0"/>
              <w:snapToGrid/>
              <w:spacing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w w:val="80"/>
                <w:sz w:val="24"/>
                <w:szCs w:val="24"/>
                <w:lang w:val="en-US" w:eastAsia="zh-CN"/>
              </w:rPr>
              <w:t xml:space="preserve">  </w:t>
            </w:r>
          </w:p>
        </w:tc>
      </w:tr>
      <w:tr w14:paraId="199E0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4743" w:type="dxa"/>
            <w:tcBorders>
              <w:top w:val="single" w:color="000000" w:sz="2" w:space="0"/>
              <w:left w:val="single" w:color="000000" w:sz="4" w:space="0"/>
              <w:bottom w:val="single" w:color="000000" w:sz="2" w:space="0"/>
              <w:right w:val="single" w:color="000000" w:sz="4" w:space="0"/>
            </w:tcBorders>
            <w:noWrap w:val="0"/>
            <w:vAlign w:val="center"/>
          </w:tcPr>
          <w:p w14:paraId="35039DBA">
            <w:pPr>
              <w:snapToGrid w:val="0"/>
              <w:spacing w:line="440" w:lineRule="exact"/>
              <w:ind w:left="600" w:hanging="480" w:hangingChars="200"/>
              <w:jc w:val="left"/>
              <w:rPr>
                <w:rFonts w:hint="eastAsia" w:ascii="仿宋" w:hAnsi="仿宋" w:eastAsia="仿宋" w:cs="仿宋"/>
                <w:sz w:val="24"/>
                <w:szCs w:val="24"/>
                <w:lang w:val="en-US" w:eastAsia="zh-CN"/>
              </w:rPr>
            </w:pPr>
            <w:r>
              <w:rPr>
                <w:rFonts w:hint="eastAsia" w:ascii="仿宋" w:hAnsi="仿宋" w:eastAsia="仿宋" w:cs="仿宋"/>
                <w:sz w:val="24"/>
                <w:szCs w:val="24"/>
              </w:rPr>
              <w:t>邮编：07400</w:t>
            </w:r>
            <w:r>
              <w:rPr>
                <w:rFonts w:hint="eastAsia" w:ascii="仿宋" w:hAnsi="仿宋" w:eastAsia="仿宋" w:cs="仿宋"/>
                <w:sz w:val="24"/>
                <w:szCs w:val="24"/>
                <w:lang w:val="en-US" w:eastAsia="zh-CN"/>
              </w:rPr>
              <w:t>3</w:t>
            </w:r>
          </w:p>
        </w:tc>
        <w:tc>
          <w:tcPr>
            <w:tcW w:w="4881" w:type="dxa"/>
            <w:tcBorders>
              <w:top w:val="single" w:color="000000" w:sz="2" w:space="0"/>
              <w:left w:val="single" w:color="000000" w:sz="4" w:space="0"/>
              <w:bottom w:val="single" w:color="000000" w:sz="2" w:space="0"/>
              <w:right w:val="single" w:color="000000" w:sz="4" w:space="0"/>
            </w:tcBorders>
            <w:noWrap/>
            <w:vAlign w:val="center"/>
          </w:tcPr>
          <w:p w14:paraId="26245F68">
            <w:pPr>
              <w:snapToGrid w:val="0"/>
              <w:spacing w:line="440" w:lineRule="exact"/>
              <w:ind w:left="600" w:hanging="480" w:hangingChars="200"/>
              <w:jc w:val="left"/>
              <w:rPr>
                <w:rFonts w:hint="eastAsia" w:ascii="仿宋" w:hAnsi="仿宋" w:eastAsia="仿宋" w:cs="仿宋"/>
                <w:sz w:val="24"/>
                <w:szCs w:val="24"/>
                <w:lang w:val="en-US" w:eastAsia="zh-CN"/>
              </w:rPr>
            </w:pPr>
            <w:r>
              <w:rPr>
                <w:rFonts w:hint="eastAsia" w:ascii="仿宋" w:hAnsi="仿宋" w:eastAsia="仿宋" w:cs="仿宋"/>
                <w:sz w:val="24"/>
                <w:szCs w:val="24"/>
              </w:rPr>
              <w:t>邮编：</w:t>
            </w:r>
            <w:r>
              <w:rPr>
                <w:rFonts w:hint="eastAsia" w:ascii="仿宋" w:hAnsi="仿宋" w:eastAsia="仿宋" w:cs="仿宋"/>
                <w:sz w:val="24"/>
                <w:szCs w:val="24"/>
                <w:lang w:val="en-US" w:eastAsia="zh-CN"/>
              </w:rPr>
              <w:t xml:space="preserve"> </w:t>
            </w:r>
          </w:p>
        </w:tc>
      </w:tr>
      <w:tr w14:paraId="1E6D2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4743" w:type="dxa"/>
            <w:tcBorders>
              <w:top w:val="single" w:color="000000" w:sz="2" w:space="0"/>
              <w:left w:val="single" w:color="000000" w:sz="4" w:space="0"/>
              <w:bottom w:val="single" w:color="000000" w:sz="2" w:space="0"/>
              <w:right w:val="single" w:color="000000" w:sz="4" w:space="0"/>
            </w:tcBorders>
            <w:noWrap w:val="0"/>
            <w:vAlign w:val="center"/>
          </w:tcPr>
          <w:p w14:paraId="1D05B3F0">
            <w:pPr>
              <w:snapToGrid w:val="0"/>
              <w:spacing w:line="440" w:lineRule="exact"/>
              <w:ind w:left="600" w:hanging="480" w:hangingChars="200"/>
              <w:jc w:val="left"/>
              <w:rPr>
                <w:rFonts w:hint="eastAsia" w:ascii="仿宋" w:hAnsi="仿宋" w:eastAsia="仿宋" w:cs="仿宋"/>
                <w:sz w:val="24"/>
                <w:szCs w:val="24"/>
              </w:rPr>
            </w:pPr>
            <w:r>
              <w:rPr>
                <w:rFonts w:hint="eastAsia" w:ascii="仿宋" w:hAnsi="仿宋" w:eastAsia="仿宋" w:cs="仿宋"/>
                <w:sz w:val="24"/>
                <w:szCs w:val="24"/>
              </w:rPr>
              <w:t>法定代表人</w:t>
            </w:r>
          </w:p>
          <w:p w14:paraId="49F1B2AA">
            <w:pPr>
              <w:snapToGrid w:val="0"/>
              <w:spacing w:line="440" w:lineRule="exact"/>
              <w:ind w:left="600" w:hanging="480" w:hangingChars="200"/>
              <w:jc w:val="left"/>
              <w:rPr>
                <w:rFonts w:hint="eastAsia" w:ascii="仿宋" w:hAnsi="仿宋" w:eastAsia="仿宋" w:cs="仿宋"/>
                <w:sz w:val="24"/>
                <w:szCs w:val="24"/>
              </w:rPr>
            </w:pPr>
            <w:r>
              <w:rPr>
                <w:rFonts w:hint="eastAsia" w:ascii="仿宋" w:hAnsi="仿宋" w:eastAsia="仿宋" w:cs="仿宋"/>
                <w:sz w:val="24"/>
                <w:szCs w:val="24"/>
              </w:rPr>
              <w:t xml:space="preserve">或授权代表人（签字）： </w:t>
            </w:r>
          </w:p>
        </w:tc>
        <w:tc>
          <w:tcPr>
            <w:tcW w:w="4881" w:type="dxa"/>
            <w:tcBorders>
              <w:top w:val="single" w:color="000000" w:sz="2" w:space="0"/>
              <w:left w:val="single" w:color="000000" w:sz="4" w:space="0"/>
              <w:bottom w:val="single" w:color="000000" w:sz="2" w:space="0"/>
              <w:right w:val="single" w:color="000000" w:sz="4" w:space="0"/>
            </w:tcBorders>
            <w:noWrap/>
            <w:vAlign w:val="center"/>
          </w:tcPr>
          <w:p w14:paraId="7FCC04D9">
            <w:pPr>
              <w:snapToGrid w:val="0"/>
              <w:spacing w:line="440" w:lineRule="exact"/>
              <w:ind w:left="600" w:hanging="480" w:hangingChars="200"/>
              <w:jc w:val="left"/>
              <w:rPr>
                <w:rFonts w:hint="eastAsia" w:ascii="仿宋" w:hAnsi="仿宋" w:eastAsia="仿宋" w:cs="仿宋"/>
                <w:sz w:val="24"/>
                <w:szCs w:val="24"/>
              </w:rPr>
            </w:pPr>
            <w:r>
              <w:rPr>
                <w:rFonts w:hint="eastAsia" w:ascii="仿宋" w:hAnsi="仿宋" w:eastAsia="仿宋" w:cs="仿宋"/>
                <w:sz w:val="24"/>
                <w:szCs w:val="24"/>
              </w:rPr>
              <w:t>法定代表人</w:t>
            </w:r>
          </w:p>
          <w:p w14:paraId="6C8D85DF">
            <w:pPr>
              <w:snapToGrid w:val="0"/>
              <w:spacing w:line="440" w:lineRule="exact"/>
              <w:ind w:left="600" w:hanging="480" w:hangingChars="200"/>
              <w:jc w:val="left"/>
              <w:rPr>
                <w:rFonts w:hint="eastAsia" w:ascii="仿宋" w:hAnsi="仿宋" w:eastAsia="仿宋" w:cs="仿宋"/>
                <w:sz w:val="24"/>
                <w:szCs w:val="24"/>
              </w:rPr>
            </w:pPr>
            <w:r>
              <w:rPr>
                <w:rFonts w:hint="eastAsia" w:ascii="仿宋" w:hAnsi="仿宋" w:eastAsia="仿宋" w:cs="仿宋"/>
                <w:sz w:val="24"/>
                <w:szCs w:val="24"/>
              </w:rPr>
              <w:t>或授权代表人（签字）：</w:t>
            </w:r>
          </w:p>
        </w:tc>
      </w:tr>
      <w:tr w14:paraId="7DD05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4743" w:type="dxa"/>
            <w:tcBorders>
              <w:top w:val="single" w:color="000000" w:sz="2" w:space="0"/>
              <w:left w:val="single" w:color="000000" w:sz="4" w:space="0"/>
              <w:bottom w:val="single" w:color="000000" w:sz="2" w:space="0"/>
              <w:right w:val="single" w:color="000000" w:sz="4" w:space="0"/>
            </w:tcBorders>
            <w:noWrap w:val="0"/>
            <w:vAlign w:val="center"/>
          </w:tcPr>
          <w:p w14:paraId="7BF1FF05">
            <w:pPr>
              <w:snapToGrid w:val="0"/>
              <w:spacing w:line="440" w:lineRule="exact"/>
              <w:ind w:left="600" w:hanging="480" w:hangingChars="200"/>
              <w:jc w:val="left"/>
              <w:rPr>
                <w:rFonts w:hint="eastAsia" w:ascii="仿宋" w:hAnsi="仿宋" w:eastAsia="仿宋" w:cs="仿宋"/>
                <w:sz w:val="24"/>
                <w:szCs w:val="24"/>
              </w:rPr>
            </w:pPr>
            <w:r>
              <w:rPr>
                <w:rFonts w:hint="eastAsia" w:ascii="仿宋" w:hAnsi="仿宋" w:eastAsia="仿宋" w:cs="仿宋"/>
                <w:sz w:val="24"/>
                <w:szCs w:val="24"/>
              </w:rPr>
              <w:t>电话：0312-6556300</w:t>
            </w:r>
          </w:p>
        </w:tc>
        <w:tc>
          <w:tcPr>
            <w:tcW w:w="4881" w:type="dxa"/>
            <w:tcBorders>
              <w:top w:val="single" w:color="000000" w:sz="2" w:space="0"/>
              <w:left w:val="single" w:color="000000" w:sz="4" w:space="0"/>
              <w:bottom w:val="single" w:color="000000" w:sz="2" w:space="0"/>
              <w:right w:val="single" w:color="000000" w:sz="4" w:space="0"/>
            </w:tcBorders>
            <w:noWrap/>
            <w:vAlign w:val="center"/>
          </w:tcPr>
          <w:p w14:paraId="1E5D2A4D">
            <w:pPr>
              <w:snapToGrid w:val="0"/>
              <w:spacing w:line="440" w:lineRule="exact"/>
              <w:ind w:left="600" w:hanging="480" w:hangingChars="200"/>
              <w:jc w:val="left"/>
              <w:rPr>
                <w:rFonts w:hint="eastAsia" w:ascii="仿宋" w:hAnsi="仿宋" w:eastAsia="仿宋" w:cs="仿宋"/>
                <w:sz w:val="24"/>
                <w:szCs w:val="24"/>
                <w:lang w:eastAsia="zh-CN"/>
              </w:rPr>
            </w:pPr>
            <w:r>
              <w:rPr>
                <w:rFonts w:hint="eastAsia" w:ascii="仿宋" w:hAnsi="仿宋" w:eastAsia="仿宋" w:cs="仿宋"/>
                <w:sz w:val="24"/>
                <w:szCs w:val="24"/>
              </w:rPr>
              <w:t>电话</w:t>
            </w:r>
            <w:r>
              <w:rPr>
                <w:rFonts w:hint="eastAsia" w:ascii="仿宋" w:hAnsi="仿宋" w:eastAsia="仿宋" w:cs="仿宋"/>
                <w:sz w:val="24"/>
                <w:szCs w:val="24"/>
                <w:lang w:eastAsia="zh-CN"/>
              </w:rPr>
              <w:t>：</w:t>
            </w:r>
          </w:p>
        </w:tc>
      </w:tr>
      <w:tr w14:paraId="21C4E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4743" w:type="dxa"/>
            <w:tcBorders>
              <w:top w:val="single" w:color="000000" w:sz="2" w:space="0"/>
              <w:left w:val="single" w:color="000000" w:sz="4" w:space="0"/>
              <w:bottom w:val="single" w:color="000000" w:sz="2" w:space="0"/>
              <w:right w:val="single" w:color="000000" w:sz="4" w:space="0"/>
            </w:tcBorders>
            <w:noWrap w:val="0"/>
            <w:vAlign w:val="center"/>
          </w:tcPr>
          <w:p w14:paraId="5ED7E330">
            <w:pPr>
              <w:snapToGrid w:val="0"/>
              <w:spacing w:line="440" w:lineRule="exact"/>
              <w:ind w:left="600" w:hanging="480" w:hangingChars="200"/>
              <w:jc w:val="left"/>
              <w:rPr>
                <w:rFonts w:hint="eastAsia" w:ascii="仿宋" w:hAnsi="仿宋" w:eastAsia="仿宋" w:cs="仿宋"/>
                <w:sz w:val="24"/>
                <w:szCs w:val="24"/>
              </w:rPr>
            </w:pPr>
            <w:r>
              <w:rPr>
                <w:rFonts w:hint="eastAsia" w:ascii="仿宋" w:hAnsi="仿宋" w:eastAsia="仿宋" w:cs="仿宋"/>
                <w:sz w:val="24"/>
                <w:szCs w:val="24"/>
              </w:rPr>
              <w:t>开户行：</w:t>
            </w:r>
            <w:r>
              <w:rPr>
                <w:rFonts w:hint="eastAsia" w:ascii="仿宋" w:hAnsi="仿宋" w:eastAsia="仿宋" w:cs="仿宋"/>
                <w:w w:val="80"/>
                <w:sz w:val="24"/>
                <w:szCs w:val="24"/>
              </w:rPr>
              <w:t>中国建设银行股份有限公司容城支行</w:t>
            </w:r>
          </w:p>
        </w:tc>
        <w:tc>
          <w:tcPr>
            <w:tcW w:w="4881" w:type="dxa"/>
            <w:tcBorders>
              <w:top w:val="single" w:color="000000" w:sz="2" w:space="0"/>
              <w:left w:val="single" w:color="000000" w:sz="4" w:space="0"/>
              <w:bottom w:val="single" w:color="000000" w:sz="2" w:space="0"/>
              <w:right w:val="single" w:color="000000" w:sz="4" w:space="0"/>
            </w:tcBorders>
            <w:noWrap/>
            <w:vAlign w:val="center"/>
          </w:tcPr>
          <w:p w14:paraId="378FAC7A">
            <w:pPr>
              <w:snapToGrid w:val="0"/>
              <w:spacing w:line="440" w:lineRule="exact"/>
              <w:ind w:left="600" w:hanging="480" w:hangingChars="200"/>
              <w:jc w:val="left"/>
              <w:rPr>
                <w:rFonts w:hint="eastAsia" w:ascii="仿宋" w:hAnsi="仿宋" w:eastAsia="仿宋" w:cs="仿宋"/>
                <w:sz w:val="24"/>
                <w:szCs w:val="24"/>
                <w:lang w:eastAsia="zh-CN"/>
              </w:rPr>
            </w:pPr>
            <w:r>
              <w:rPr>
                <w:rFonts w:hint="eastAsia" w:ascii="仿宋" w:hAnsi="仿宋" w:eastAsia="仿宋" w:cs="仿宋"/>
                <w:sz w:val="24"/>
                <w:szCs w:val="24"/>
              </w:rPr>
              <w:t>开户行：</w:t>
            </w:r>
            <w:r>
              <w:rPr>
                <w:rFonts w:hint="eastAsia" w:ascii="仿宋" w:hAnsi="仿宋" w:eastAsia="仿宋" w:cs="仿宋"/>
                <w:w w:val="80"/>
                <w:sz w:val="24"/>
                <w:szCs w:val="24"/>
                <w:lang w:val="en-US" w:eastAsia="zh-CN"/>
              </w:rPr>
              <w:t xml:space="preserve"> </w:t>
            </w:r>
          </w:p>
        </w:tc>
      </w:tr>
      <w:tr w14:paraId="20FBB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4743" w:type="dxa"/>
            <w:tcBorders>
              <w:top w:val="single" w:color="000000" w:sz="2" w:space="0"/>
              <w:left w:val="single" w:color="000000" w:sz="4" w:space="0"/>
              <w:bottom w:val="single" w:color="000000" w:sz="2" w:space="0"/>
              <w:right w:val="single" w:color="000000" w:sz="4" w:space="0"/>
            </w:tcBorders>
            <w:noWrap w:val="0"/>
            <w:vAlign w:val="center"/>
          </w:tcPr>
          <w:p w14:paraId="0744AC4D">
            <w:pPr>
              <w:snapToGrid w:val="0"/>
              <w:spacing w:line="440" w:lineRule="exact"/>
              <w:ind w:left="600" w:hanging="480" w:hangingChars="200"/>
              <w:jc w:val="left"/>
              <w:rPr>
                <w:rFonts w:hint="eastAsia" w:ascii="仿宋" w:hAnsi="仿宋" w:eastAsia="仿宋" w:cs="仿宋"/>
                <w:sz w:val="24"/>
                <w:szCs w:val="24"/>
              </w:rPr>
            </w:pPr>
            <w:r>
              <w:rPr>
                <w:rFonts w:hint="eastAsia" w:ascii="仿宋" w:hAnsi="仿宋" w:eastAsia="仿宋" w:cs="仿宋"/>
                <w:sz w:val="24"/>
                <w:szCs w:val="24"/>
                <w:lang w:val="en-US" w:eastAsia="zh-CN"/>
              </w:rPr>
              <w:t>账号</w:t>
            </w:r>
            <w:r>
              <w:rPr>
                <w:rFonts w:hint="eastAsia" w:ascii="仿宋" w:hAnsi="仿宋" w:eastAsia="仿宋" w:cs="仿宋"/>
                <w:sz w:val="24"/>
                <w:szCs w:val="24"/>
              </w:rPr>
              <w:t>：1305 0166 8508 0000 5637</w:t>
            </w:r>
          </w:p>
        </w:tc>
        <w:tc>
          <w:tcPr>
            <w:tcW w:w="4881" w:type="dxa"/>
            <w:tcBorders>
              <w:top w:val="single" w:color="000000" w:sz="2" w:space="0"/>
              <w:left w:val="single" w:color="000000" w:sz="4" w:space="0"/>
              <w:bottom w:val="single" w:color="000000" w:sz="2" w:space="0"/>
              <w:right w:val="single" w:color="000000" w:sz="4" w:space="0"/>
            </w:tcBorders>
            <w:noWrap/>
            <w:vAlign w:val="center"/>
          </w:tcPr>
          <w:p w14:paraId="349460B2">
            <w:pPr>
              <w:snapToGrid w:val="0"/>
              <w:spacing w:line="440" w:lineRule="exact"/>
              <w:ind w:left="600" w:hanging="480" w:hanging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账号</w:t>
            </w: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w:t>
            </w:r>
          </w:p>
        </w:tc>
      </w:tr>
      <w:tr w14:paraId="5D43C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4743" w:type="dxa"/>
            <w:tcBorders>
              <w:top w:val="single" w:color="000000" w:sz="2" w:space="0"/>
              <w:left w:val="single" w:color="000000" w:sz="4" w:space="0"/>
              <w:bottom w:val="single" w:color="000000" w:sz="2" w:space="0"/>
              <w:right w:val="single" w:color="000000" w:sz="4" w:space="0"/>
            </w:tcBorders>
            <w:noWrap w:val="0"/>
            <w:vAlign w:val="center"/>
          </w:tcPr>
          <w:p w14:paraId="6000D236">
            <w:pPr>
              <w:snapToGrid w:val="0"/>
              <w:spacing w:line="440" w:lineRule="exact"/>
              <w:ind w:left="600" w:hanging="480" w:hangingChars="200"/>
              <w:jc w:val="left"/>
              <w:rPr>
                <w:rFonts w:hint="eastAsia" w:ascii="仿宋" w:hAnsi="仿宋" w:eastAsia="仿宋" w:cs="仿宋"/>
                <w:sz w:val="24"/>
                <w:szCs w:val="24"/>
              </w:rPr>
            </w:pPr>
            <w:r>
              <w:rPr>
                <w:rFonts w:hint="eastAsia" w:ascii="仿宋" w:hAnsi="仿宋" w:eastAsia="仿宋" w:cs="仿宋"/>
                <w:sz w:val="24"/>
                <w:szCs w:val="24"/>
              </w:rPr>
              <w:t>税号：9113 0684 MABR 9BAD 0E</w:t>
            </w:r>
          </w:p>
        </w:tc>
        <w:tc>
          <w:tcPr>
            <w:tcW w:w="4881" w:type="dxa"/>
            <w:tcBorders>
              <w:top w:val="single" w:color="000000" w:sz="2" w:space="0"/>
              <w:left w:val="single" w:color="000000" w:sz="4" w:space="0"/>
              <w:bottom w:val="single" w:color="000000" w:sz="2" w:space="0"/>
              <w:right w:val="single" w:color="000000" w:sz="4" w:space="0"/>
            </w:tcBorders>
            <w:noWrap/>
            <w:vAlign w:val="center"/>
          </w:tcPr>
          <w:p w14:paraId="28501BB6">
            <w:pPr>
              <w:snapToGrid w:val="0"/>
              <w:spacing w:line="440" w:lineRule="exact"/>
              <w:ind w:left="600" w:hanging="480" w:hangingChars="200"/>
              <w:jc w:val="left"/>
              <w:rPr>
                <w:rFonts w:hint="eastAsia" w:ascii="仿宋" w:hAnsi="仿宋" w:eastAsia="仿宋" w:cs="仿宋"/>
                <w:sz w:val="24"/>
                <w:szCs w:val="24"/>
                <w:lang w:eastAsia="zh-CN"/>
              </w:rPr>
            </w:pPr>
            <w:r>
              <w:rPr>
                <w:rFonts w:hint="eastAsia" w:ascii="仿宋" w:hAnsi="仿宋" w:eastAsia="仿宋" w:cs="仿宋"/>
                <w:sz w:val="24"/>
                <w:szCs w:val="24"/>
              </w:rPr>
              <w:t>税号：</w:t>
            </w:r>
            <w:r>
              <w:rPr>
                <w:rFonts w:hint="eastAsia" w:ascii="仿宋" w:hAnsi="仿宋" w:eastAsia="仿宋" w:cs="仿宋"/>
                <w:sz w:val="24"/>
                <w:szCs w:val="24"/>
                <w:lang w:val="en-US" w:eastAsia="zh-CN"/>
              </w:rPr>
              <w:t xml:space="preserve"> </w:t>
            </w:r>
          </w:p>
        </w:tc>
      </w:tr>
      <w:tr w14:paraId="5C6FD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4743" w:type="dxa"/>
            <w:tcBorders>
              <w:top w:val="single" w:color="000000" w:sz="2" w:space="0"/>
              <w:left w:val="single" w:color="000000" w:sz="4" w:space="0"/>
              <w:bottom w:val="single" w:color="000000" w:sz="2" w:space="0"/>
              <w:right w:val="single" w:color="000000" w:sz="4" w:space="0"/>
            </w:tcBorders>
            <w:noWrap w:val="0"/>
            <w:vAlign w:val="center"/>
          </w:tcPr>
          <w:p w14:paraId="31803B34">
            <w:pPr>
              <w:snapToGrid w:val="0"/>
              <w:spacing w:line="440" w:lineRule="exact"/>
              <w:ind w:left="480" w:leftChars="0" w:hanging="480" w:hangingChars="200"/>
              <w:jc w:val="left"/>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签订日期：     年    月    日</w:t>
            </w:r>
          </w:p>
        </w:tc>
        <w:tc>
          <w:tcPr>
            <w:tcW w:w="4881" w:type="dxa"/>
            <w:tcBorders>
              <w:top w:val="single" w:color="000000" w:sz="2" w:space="0"/>
              <w:left w:val="single" w:color="000000" w:sz="4" w:space="0"/>
              <w:bottom w:val="single" w:color="000000" w:sz="2" w:space="0"/>
              <w:right w:val="single" w:color="000000" w:sz="4" w:space="0"/>
            </w:tcBorders>
            <w:noWrap/>
            <w:vAlign w:val="center"/>
          </w:tcPr>
          <w:p w14:paraId="4F0FD430">
            <w:pPr>
              <w:snapToGrid w:val="0"/>
              <w:spacing w:line="440" w:lineRule="exact"/>
              <w:ind w:left="480" w:leftChars="0" w:hanging="480" w:hangingChars="200"/>
              <w:jc w:val="left"/>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签订日期：     年    月    日</w:t>
            </w:r>
          </w:p>
        </w:tc>
      </w:tr>
    </w:tbl>
    <w:p w14:paraId="17428F5B">
      <w:pPr>
        <w:pStyle w:val="20"/>
        <w:rPr>
          <w:rFonts w:hint="eastAsia"/>
          <w:lang w:val="en-US" w:eastAsia="zh-CN"/>
        </w:rPr>
      </w:pPr>
    </w:p>
    <w:p w14:paraId="323F3023">
      <w:pPr>
        <w:pStyle w:val="39"/>
        <w:ind w:firstLine="480"/>
      </w:pPr>
    </w:p>
    <w:p w14:paraId="6D2AFBAD">
      <w:pPr>
        <w:rPr>
          <w:rFonts w:ascii="宋体" w:hAnsi="宋体"/>
        </w:rPr>
      </w:pPr>
    </w:p>
    <w:p w14:paraId="4F5CE220">
      <w:pPr>
        <w:pStyle w:val="108"/>
        <w:rPr>
          <w:rFonts w:ascii="宋体" w:hAnsi="宋体" w:eastAsia="宋体"/>
        </w:rPr>
      </w:pPr>
      <w:bookmarkStart w:id="436" w:name="_Hlk138879262"/>
    </w:p>
    <w:p w14:paraId="5185EF2F">
      <w:pPr>
        <w:pStyle w:val="108"/>
        <w:rPr>
          <w:rFonts w:ascii="宋体" w:hAnsi="宋体" w:eastAsia="宋体"/>
        </w:rPr>
      </w:pPr>
    </w:p>
    <w:p w14:paraId="0804A7D9">
      <w:pPr>
        <w:pStyle w:val="108"/>
        <w:rPr>
          <w:rFonts w:ascii="宋体" w:hAnsi="宋体" w:eastAsia="宋体"/>
        </w:rPr>
      </w:pPr>
    </w:p>
    <w:p w14:paraId="657A2A30">
      <w:pPr>
        <w:pStyle w:val="108"/>
        <w:rPr>
          <w:rFonts w:ascii="宋体" w:hAnsi="宋体" w:eastAsia="宋体"/>
        </w:rPr>
      </w:pPr>
    </w:p>
    <w:p w14:paraId="5630F83C">
      <w:pPr>
        <w:pStyle w:val="108"/>
        <w:rPr>
          <w:rFonts w:ascii="宋体" w:hAnsi="宋体" w:eastAsia="宋体"/>
        </w:rPr>
      </w:pPr>
    </w:p>
    <w:p w14:paraId="4634F88C">
      <w:pPr>
        <w:pStyle w:val="108"/>
        <w:rPr>
          <w:rFonts w:ascii="宋体" w:hAnsi="宋体" w:eastAsia="宋体"/>
        </w:rPr>
      </w:pPr>
    </w:p>
    <w:p w14:paraId="7B52B0E1">
      <w:pPr>
        <w:pStyle w:val="108"/>
        <w:rPr>
          <w:rFonts w:ascii="宋体" w:hAnsi="宋体" w:eastAsia="宋体"/>
        </w:rPr>
      </w:pPr>
    </w:p>
    <w:p w14:paraId="654F924E">
      <w:pPr>
        <w:pStyle w:val="108"/>
        <w:rPr>
          <w:rFonts w:ascii="宋体" w:hAnsi="宋体" w:eastAsia="宋体"/>
        </w:rPr>
      </w:pPr>
    </w:p>
    <w:p w14:paraId="01E3A488">
      <w:pPr>
        <w:pStyle w:val="108"/>
        <w:rPr>
          <w:rFonts w:ascii="宋体" w:hAnsi="宋体" w:eastAsia="宋体"/>
        </w:rPr>
      </w:pPr>
    </w:p>
    <w:bookmarkEnd w:id="436"/>
    <w:p w14:paraId="472C31B5">
      <w:pPr>
        <w:pStyle w:val="2"/>
        <w:jc w:val="center"/>
        <w:rPr>
          <w:rFonts w:ascii="宋体" w:hAnsi="宋体"/>
        </w:rPr>
      </w:pPr>
      <w:bookmarkStart w:id="437" w:name="_Toc149140268"/>
    </w:p>
    <w:p w14:paraId="15F6A40B">
      <w:pPr>
        <w:pStyle w:val="2"/>
        <w:jc w:val="center"/>
        <w:rPr>
          <w:rFonts w:ascii="宋体" w:hAnsi="宋体"/>
        </w:rPr>
      </w:pPr>
    </w:p>
    <w:p w14:paraId="4F712679">
      <w:pPr>
        <w:pStyle w:val="2"/>
        <w:jc w:val="center"/>
        <w:rPr>
          <w:rFonts w:ascii="宋体" w:hAnsi="宋体"/>
        </w:rPr>
      </w:pPr>
    </w:p>
    <w:p w14:paraId="1532A678">
      <w:pPr>
        <w:pStyle w:val="2"/>
        <w:jc w:val="center"/>
        <w:rPr>
          <w:rFonts w:ascii="宋体" w:hAnsi="宋体"/>
        </w:rPr>
      </w:pPr>
      <w:r>
        <w:rPr>
          <w:rFonts w:ascii="宋体" w:hAnsi="宋体"/>
        </w:rPr>
        <w:t>第五章 采购需求</w:t>
      </w:r>
      <w:bookmarkEnd w:id="434"/>
      <w:bookmarkEnd w:id="437"/>
    </w:p>
    <w:bookmarkEnd w:id="435"/>
    <w:p w14:paraId="6FE9BFD5">
      <w:pPr>
        <w:spacing w:before="36"/>
        <w:ind w:right="843"/>
        <w:rPr>
          <w:rFonts w:ascii="宋体" w:hAnsi="宋体"/>
          <w:b/>
          <w:bCs/>
          <w:sz w:val="46"/>
        </w:rPr>
      </w:pPr>
    </w:p>
    <w:p w14:paraId="3A9CE4FA">
      <w:pPr>
        <w:spacing w:before="36"/>
        <w:ind w:right="843"/>
        <w:rPr>
          <w:rFonts w:ascii="宋体" w:hAnsi="宋体"/>
          <w:b/>
          <w:bCs/>
          <w:sz w:val="46"/>
        </w:rPr>
      </w:pPr>
    </w:p>
    <w:p w14:paraId="530C04F2">
      <w:pPr>
        <w:jc w:val="center"/>
        <w:rPr>
          <w:rFonts w:ascii="宋体" w:hAnsi="宋体"/>
        </w:rPr>
      </w:pPr>
      <w:r>
        <w:rPr>
          <w:rFonts w:ascii="宋体" w:hAnsi="宋体"/>
          <w:b/>
          <w:bCs/>
          <w:sz w:val="32"/>
          <w:szCs w:val="32"/>
        </w:rPr>
        <w:br w:type="page"/>
      </w:r>
      <w:bookmarkStart w:id="438" w:name="_Toc48146153"/>
      <w:bookmarkStart w:id="439" w:name="_第六章_响应文件格式"/>
    </w:p>
    <w:p w14:paraId="6A3CD1E0">
      <w:pPr>
        <w:widowControl/>
        <w:spacing w:before="260" w:after="260"/>
        <w:outlineLvl w:val="1"/>
        <w:rPr>
          <w:rFonts w:eastAsia="黑体"/>
          <w:b/>
          <w:spacing w:val="1"/>
          <w:kern w:val="0"/>
          <w:sz w:val="28"/>
          <w:szCs w:val="28"/>
        </w:rPr>
      </w:pPr>
      <w:bookmarkStart w:id="440" w:name="_Hlk138874965"/>
      <w:r>
        <w:rPr>
          <w:rFonts w:hint="eastAsia" w:eastAsia="黑体"/>
          <w:b/>
          <w:spacing w:val="1"/>
          <w:kern w:val="0"/>
          <w:sz w:val="28"/>
          <w:szCs w:val="28"/>
          <w:lang w:val="en-US" w:eastAsia="zh-CN"/>
        </w:rPr>
        <w:t>一、</w:t>
      </w:r>
      <w:r>
        <w:rPr>
          <w:rFonts w:eastAsia="黑体"/>
          <w:b/>
          <w:spacing w:val="1"/>
          <w:kern w:val="0"/>
          <w:sz w:val="28"/>
          <w:szCs w:val="28"/>
        </w:rPr>
        <w:t>采购项目简介</w:t>
      </w:r>
    </w:p>
    <w:p w14:paraId="78EEEF90">
      <w:pPr>
        <w:spacing w:line="400" w:lineRule="exact"/>
        <w:ind w:firstLine="422" w:firstLineChars="200"/>
        <w:rPr>
          <w:rFonts w:hint="eastAsia" w:ascii="宋体" w:hAnsi="宋体" w:eastAsia="宋体"/>
          <w:szCs w:val="21"/>
          <w:lang w:eastAsia="zh-CN"/>
        </w:rPr>
      </w:pPr>
      <w:r>
        <w:rPr>
          <w:b/>
          <w:bCs/>
        </w:rPr>
        <w:t>1</w:t>
      </w:r>
      <w:r>
        <w:rPr>
          <w:rFonts w:ascii="宋体" w:hAnsi="宋体"/>
          <w:b/>
          <w:bCs/>
        </w:rPr>
        <w:t>.</w:t>
      </w:r>
      <w:r>
        <w:rPr>
          <w:b/>
          <w:bCs/>
        </w:rPr>
        <w:t>1</w:t>
      </w:r>
      <w:r>
        <w:rPr>
          <w:rFonts w:ascii="宋体" w:hAnsi="宋体"/>
          <w:szCs w:val="21"/>
        </w:rPr>
        <w:tab/>
      </w:r>
      <w:r>
        <w:rPr>
          <w:rFonts w:ascii="宋体" w:hAnsi="宋体"/>
          <w:szCs w:val="21"/>
        </w:rPr>
        <w:t>采购项目名称：</w:t>
      </w:r>
      <w:r>
        <w:rPr>
          <w:rFonts w:hint="eastAsia" w:ascii="宋体" w:hAnsi="宋体"/>
          <w:szCs w:val="21"/>
          <w:u w:val="single"/>
          <w:lang w:eastAsia="zh-CN"/>
        </w:rPr>
        <w:t>河北交投绿色建材有限公司2026-2027年度预制构件运输服务商入库</w:t>
      </w:r>
    </w:p>
    <w:p w14:paraId="2B3AB6A7">
      <w:pPr>
        <w:spacing w:line="400" w:lineRule="exact"/>
        <w:ind w:firstLine="422" w:firstLineChars="200"/>
        <w:rPr>
          <w:rFonts w:ascii="宋体" w:hAnsi="宋体"/>
          <w:szCs w:val="21"/>
        </w:rPr>
      </w:pPr>
      <w:r>
        <w:rPr>
          <w:b/>
          <w:bCs/>
        </w:rPr>
        <w:t>1</w:t>
      </w:r>
      <w:r>
        <w:rPr>
          <w:rFonts w:ascii="宋体" w:hAnsi="宋体"/>
          <w:b/>
          <w:bCs/>
        </w:rPr>
        <w:t>.</w:t>
      </w:r>
      <w:r>
        <w:rPr>
          <w:b/>
          <w:bCs/>
        </w:rPr>
        <w:t>2</w:t>
      </w:r>
      <w:r>
        <w:rPr>
          <w:rFonts w:ascii="宋体" w:hAnsi="宋体"/>
          <w:szCs w:val="21"/>
        </w:rPr>
        <w:tab/>
      </w:r>
      <w:r>
        <w:rPr>
          <w:rFonts w:ascii="宋体" w:hAnsi="宋体"/>
          <w:szCs w:val="21"/>
        </w:rPr>
        <w:t>采购人：</w:t>
      </w:r>
      <w:r>
        <w:rPr>
          <w:rFonts w:hint="eastAsia" w:eastAsiaTheme="minorEastAsia"/>
          <w:szCs w:val="21"/>
          <w:u w:val="single"/>
        </w:rPr>
        <w:t>河北交投绿色建材有限公司</w:t>
      </w:r>
    </w:p>
    <w:p w14:paraId="053F1DE1">
      <w:pPr>
        <w:spacing w:line="400" w:lineRule="exact"/>
        <w:ind w:firstLine="422" w:firstLineChars="200"/>
        <w:rPr>
          <w:rFonts w:ascii="宋体" w:hAnsi="宋体"/>
          <w:szCs w:val="21"/>
        </w:rPr>
      </w:pPr>
      <w:r>
        <w:rPr>
          <w:b/>
          <w:bCs/>
        </w:rPr>
        <w:t>1</w:t>
      </w:r>
      <w:r>
        <w:rPr>
          <w:rFonts w:ascii="宋体" w:hAnsi="宋体"/>
          <w:b/>
          <w:bCs/>
        </w:rPr>
        <w:t>.</w:t>
      </w:r>
      <w:r>
        <w:rPr>
          <w:b/>
          <w:bCs/>
        </w:rPr>
        <w:t>3</w:t>
      </w:r>
      <w:r>
        <w:rPr>
          <w:rFonts w:ascii="宋体" w:hAnsi="宋体"/>
          <w:szCs w:val="21"/>
        </w:rPr>
        <w:tab/>
      </w:r>
      <w:r>
        <w:rPr>
          <w:rFonts w:ascii="宋体" w:hAnsi="宋体"/>
          <w:szCs w:val="21"/>
        </w:rPr>
        <w:t>采购代理机构：</w:t>
      </w:r>
      <w:r>
        <w:rPr>
          <w:rFonts w:hint="eastAsia" w:eastAsiaTheme="minorEastAsia"/>
          <w:szCs w:val="21"/>
          <w:u w:val="single"/>
        </w:rPr>
        <w:t>河北雄安交投工程咨询有限公司</w:t>
      </w:r>
    </w:p>
    <w:p w14:paraId="65E7FB0E">
      <w:pPr>
        <w:spacing w:line="400" w:lineRule="exact"/>
        <w:ind w:firstLine="422" w:firstLineChars="200"/>
        <w:rPr>
          <w:rFonts w:hint="eastAsia" w:ascii="宋体" w:hAnsi="宋体" w:eastAsia="宋体"/>
          <w:szCs w:val="21"/>
          <w:u w:val="single"/>
          <w:lang w:eastAsia="zh-CN"/>
        </w:rPr>
      </w:pPr>
      <w:r>
        <w:rPr>
          <w:b/>
          <w:bCs/>
        </w:rPr>
        <w:t>1</w:t>
      </w:r>
      <w:r>
        <w:rPr>
          <w:rFonts w:ascii="宋体" w:hAnsi="宋体"/>
          <w:b/>
          <w:bCs/>
        </w:rPr>
        <w:t>.</w:t>
      </w:r>
      <w:r>
        <w:rPr>
          <w:b/>
          <w:bCs/>
        </w:rPr>
        <w:t>4</w:t>
      </w:r>
      <w:r>
        <w:rPr>
          <w:rFonts w:ascii="宋体" w:hAnsi="宋体"/>
          <w:szCs w:val="21"/>
        </w:rPr>
        <w:t xml:space="preserve"> 采购项目概况：</w:t>
      </w:r>
      <w:r>
        <w:rPr>
          <w:rFonts w:hint="eastAsia" w:eastAsiaTheme="minorEastAsia"/>
          <w:szCs w:val="21"/>
          <w:u w:val="single"/>
          <w:lang w:eastAsia="zh-CN"/>
        </w:rPr>
        <w:t>为保障我公司预制构件运输工作顺利推进，提升运输服务的稳定性，降低运输成本，现计划建立预制构件运输服务商库。</w:t>
      </w:r>
    </w:p>
    <w:p w14:paraId="5745BC27">
      <w:pPr>
        <w:widowControl/>
        <w:spacing w:before="260" w:after="260"/>
        <w:outlineLvl w:val="1"/>
        <w:rPr>
          <w:rFonts w:eastAsia="黑体"/>
          <w:b/>
          <w:spacing w:val="1"/>
          <w:kern w:val="0"/>
          <w:sz w:val="28"/>
          <w:szCs w:val="28"/>
        </w:rPr>
      </w:pPr>
      <w:r>
        <w:rPr>
          <w:rFonts w:hint="eastAsia" w:eastAsia="黑体"/>
          <w:b/>
          <w:spacing w:val="1"/>
          <w:kern w:val="0"/>
          <w:sz w:val="28"/>
          <w:szCs w:val="28"/>
          <w:lang w:val="en-US" w:eastAsia="zh-CN"/>
        </w:rPr>
        <w:t>二、</w:t>
      </w:r>
      <w:r>
        <w:rPr>
          <w:rFonts w:eastAsia="黑体"/>
          <w:b/>
          <w:spacing w:val="1"/>
          <w:kern w:val="0"/>
          <w:sz w:val="28"/>
          <w:szCs w:val="28"/>
        </w:rPr>
        <w:t>采购范围及相关要求</w:t>
      </w:r>
    </w:p>
    <w:p w14:paraId="1955BB8A">
      <w:pPr>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eastAsia="宋体"/>
          <w:lang w:eastAsia="zh-CN"/>
        </w:rPr>
      </w:pPr>
      <w:r>
        <w:rPr>
          <w:b/>
          <w:bCs/>
        </w:rPr>
        <w:t>2</w:t>
      </w:r>
      <w:r>
        <w:rPr>
          <w:rFonts w:ascii="宋体" w:hAnsi="宋体"/>
          <w:b/>
          <w:bCs/>
        </w:rPr>
        <w:t>.</w:t>
      </w:r>
      <w:r>
        <w:rPr>
          <w:b/>
          <w:bCs/>
        </w:rPr>
        <w:t>1</w:t>
      </w:r>
      <w:r>
        <w:rPr>
          <w:rFonts w:ascii="宋体" w:hAnsi="宋体"/>
        </w:rPr>
        <w:t xml:space="preserve"> 采购范围：</w:t>
      </w:r>
      <w:r>
        <w:rPr>
          <w:rFonts w:hint="eastAsia" w:ascii="宋体" w:hAnsi="宋体"/>
          <w:u w:val="single"/>
          <w:lang w:eastAsia="zh-CN"/>
        </w:rPr>
        <w:t>本次采购为满足河北交投绿色建材有限公司预制构件产品运输需要，选择合格服务商提供预制构件运输到采购人指定工地施工部位的运输物流服务。</w:t>
      </w:r>
    </w:p>
    <w:p w14:paraId="7F9D340E">
      <w:pPr>
        <w:spacing w:line="400" w:lineRule="exact"/>
        <w:ind w:firstLine="422" w:firstLineChars="200"/>
        <w:rPr>
          <w:rFonts w:ascii="宋体" w:hAnsi="宋体"/>
        </w:rPr>
      </w:pPr>
      <w:r>
        <w:rPr>
          <w:b/>
          <w:bCs/>
        </w:rPr>
        <w:t>2</w:t>
      </w:r>
      <w:r>
        <w:rPr>
          <w:rFonts w:ascii="宋体" w:hAnsi="宋体"/>
          <w:b/>
          <w:bCs/>
        </w:rPr>
        <w:t>.</w:t>
      </w:r>
      <w:r>
        <w:rPr>
          <w:b/>
          <w:bCs/>
        </w:rPr>
        <w:t>2</w:t>
      </w:r>
      <w:r>
        <w:rPr>
          <w:rFonts w:ascii="宋体" w:hAnsi="宋体"/>
          <w:b/>
          <w:bCs/>
        </w:rPr>
        <w:t xml:space="preserve"> </w:t>
      </w:r>
      <w:r>
        <w:rPr>
          <w:rFonts w:ascii="宋体" w:hAnsi="宋体"/>
        </w:rPr>
        <w:t>标段划分：</w:t>
      </w:r>
      <w:r>
        <w:rPr>
          <w:rFonts w:hint="eastAsia" w:ascii="宋体" w:hAnsi="宋体"/>
          <w:u w:val="single"/>
        </w:rPr>
        <w:t>本项目共</w:t>
      </w:r>
      <w:r>
        <w:rPr>
          <w:rFonts w:hint="eastAsia"/>
          <w:u w:val="single"/>
        </w:rPr>
        <w:t>分为</w:t>
      </w:r>
      <w:r>
        <w:rPr>
          <w:rFonts w:hint="eastAsia"/>
          <w:u w:val="single"/>
          <w:lang w:val="en-US" w:eastAsia="zh-CN"/>
        </w:rPr>
        <w:t>1</w:t>
      </w:r>
      <w:r>
        <w:rPr>
          <w:rFonts w:hint="eastAsia"/>
          <w:u w:val="single"/>
        </w:rPr>
        <w:t>个标段</w:t>
      </w:r>
      <w:r>
        <w:rPr>
          <w:rFonts w:ascii="宋体" w:hAnsi="宋体"/>
        </w:rPr>
        <w:t>。</w:t>
      </w:r>
    </w:p>
    <w:p w14:paraId="512FF4D1">
      <w:pPr>
        <w:spacing w:line="400" w:lineRule="exact"/>
        <w:ind w:firstLine="422" w:firstLineChars="200"/>
        <w:rPr>
          <w:rFonts w:ascii="宋体" w:hAnsi="宋体"/>
          <w:b/>
          <w:bCs/>
          <w:highlight w:val="none"/>
        </w:rPr>
      </w:pPr>
      <w:r>
        <w:rPr>
          <w:b/>
          <w:bCs/>
          <w:highlight w:val="none"/>
        </w:rPr>
        <w:t>2</w:t>
      </w:r>
      <w:r>
        <w:rPr>
          <w:rFonts w:ascii="宋体" w:hAnsi="宋体"/>
          <w:b/>
          <w:bCs/>
          <w:highlight w:val="none"/>
        </w:rPr>
        <w:t>.</w:t>
      </w:r>
      <w:r>
        <w:rPr>
          <w:b/>
          <w:bCs/>
          <w:highlight w:val="none"/>
        </w:rPr>
        <w:t>3</w:t>
      </w:r>
      <w:r>
        <w:rPr>
          <w:rFonts w:ascii="宋体" w:hAnsi="宋体"/>
          <w:b/>
          <w:bCs/>
          <w:highlight w:val="none"/>
        </w:rPr>
        <w:t xml:space="preserve"> </w:t>
      </w:r>
      <w:r>
        <w:rPr>
          <w:rFonts w:ascii="宋体" w:hAnsi="宋体"/>
          <w:highlight w:val="none"/>
        </w:rPr>
        <w:t>入围供应商</w:t>
      </w:r>
      <w:r>
        <w:rPr>
          <w:rFonts w:ascii="宋体" w:hAnsi="宋体"/>
          <w:szCs w:val="21"/>
          <w:highlight w:val="none"/>
        </w:rPr>
        <w:t>数</w:t>
      </w:r>
      <w:r>
        <w:rPr>
          <w:rFonts w:ascii="宋体" w:hAnsi="宋体"/>
          <w:highlight w:val="none"/>
        </w:rPr>
        <w:t>量：</w:t>
      </w:r>
      <w:r>
        <w:rPr>
          <w:rFonts w:hint="eastAsia" w:ascii="宋体" w:hAnsi="宋体"/>
          <w:highlight w:val="none"/>
          <w:lang w:val="en-US" w:eastAsia="zh-CN"/>
        </w:rPr>
        <w:t>1</w:t>
      </w:r>
      <w:r>
        <w:rPr>
          <w:rFonts w:hint="eastAsia" w:ascii="宋体" w:hAnsi="宋体"/>
          <w:highlight w:val="none"/>
          <w:u w:val="single"/>
          <w:lang w:val="en-US" w:eastAsia="zh-CN"/>
        </w:rPr>
        <w:t>-5</w:t>
      </w:r>
      <w:r>
        <w:rPr>
          <w:rFonts w:hint="eastAsia" w:ascii="宋体" w:hAnsi="宋体"/>
          <w:highlight w:val="none"/>
        </w:rPr>
        <w:t>家</w:t>
      </w:r>
      <w:r>
        <w:rPr>
          <w:rFonts w:ascii="宋体" w:hAnsi="宋体"/>
          <w:highlight w:val="none"/>
        </w:rPr>
        <w:t>。</w:t>
      </w:r>
    </w:p>
    <w:p w14:paraId="2201EE49">
      <w:pPr>
        <w:spacing w:line="400" w:lineRule="exact"/>
        <w:ind w:firstLine="422" w:firstLineChars="200"/>
        <w:rPr>
          <w:rFonts w:hint="eastAsia" w:ascii="宋体" w:hAnsi="宋体" w:eastAsia="宋体"/>
          <w:highlight w:val="none"/>
          <w:lang w:eastAsia="zh-CN"/>
        </w:rPr>
      </w:pPr>
      <w:r>
        <w:rPr>
          <w:b/>
          <w:bCs/>
          <w:highlight w:val="none"/>
        </w:rPr>
        <w:t>2</w:t>
      </w:r>
      <w:r>
        <w:rPr>
          <w:rFonts w:ascii="宋体" w:hAnsi="宋体"/>
          <w:b/>
          <w:bCs/>
          <w:highlight w:val="none"/>
        </w:rPr>
        <w:t>.</w:t>
      </w:r>
      <w:r>
        <w:rPr>
          <w:b/>
          <w:bCs/>
          <w:highlight w:val="none"/>
        </w:rPr>
        <w:t>4</w:t>
      </w:r>
      <w:r>
        <w:rPr>
          <w:rFonts w:ascii="宋体" w:hAnsi="宋体"/>
          <w:highlight w:val="none"/>
        </w:rPr>
        <w:t xml:space="preserve"> </w:t>
      </w:r>
      <w:r>
        <w:rPr>
          <w:rFonts w:hint="eastAsia"/>
          <w:highlight w:val="none"/>
          <w:lang w:val="en-US" w:eastAsia="zh-CN"/>
        </w:rPr>
        <w:t>服务</w:t>
      </w:r>
      <w:r>
        <w:rPr>
          <w:rFonts w:hint="eastAsia"/>
          <w:highlight w:val="none"/>
        </w:rPr>
        <w:t>期限</w:t>
      </w:r>
      <w:r>
        <w:rPr>
          <w:rFonts w:ascii="宋体" w:hAnsi="宋体"/>
          <w:highlight w:val="none"/>
        </w:rPr>
        <w:t>：</w:t>
      </w:r>
      <w:r>
        <w:rPr>
          <w:rFonts w:hint="eastAsia" w:ascii="宋体" w:hAnsi="宋体"/>
          <w:highlight w:val="none"/>
          <w:u w:val="single"/>
          <w:lang w:eastAsia="zh-CN"/>
        </w:rPr>
        <w:t>自合同签订之日至2027年12月31日。</w:t>
      </w:r>
    </w:p>
    <w:p w14:paraId="60C8C100">
      <w:pPr>
        <w:spacing w:line="400" w:lineRule="exact"/>
        <w:ind w:firstLine="422" w:firstLineChars="200"/>
        <w:rPr>
          <w:rFonts w:ascii="宋体" w:hAnsi="宋体"/>
        </w:rPr>
      </w:pPr>
      <w:r>
        <w:rPr>
          <w:b/>
          <w:bCs/>
        </w:rPr>
        <w:t>2</w:t>
      </w:r>
      <w:r>
        <w:rPr>
          <w:rFonts w:ascii="宋体" w:hAnsi="宋体"/>
          <w:b/>
          <w:bCs/>
        </w:rPr>
        <w:t>.</w:t>
      </w:r>
      <w:r>
        <w:rPr>
          <w:b/>
          <w:bCs/>
        </w:rPr>
        <w:t>5</w:t>
      </w:r>
      <w:r>
        <w:rPr>
          <w:rFonts w:ascii="宋体" w:hAnsi="宋体"/>
        </w:rPr>
        <w:t xml:space="preserve"> </w:t>
      </w:r>
      <w:r>
        <w:rPr>
          <w:rFonts w:hint="eastAsia" w:ascii="宋体" w:hAnsi="宋体"/>
          <w:lang w:val="en-US" w:eastAsia="zh-CN"/>
        </w:rPr>
        <w:t>服务</w:t>
      </w:r>
      <w:r>
        <w:rPr>
          <w:rFonts w:hint="eastAsia" w:ascii="宋体" w:hAnsi="宋体"/>
        </w:rPr>
        <w:t>地点</w:t>
      </w:r>
      <w:r>
        <w:rPr>
          <w:rFonts w:ascii="宋体" w:hAnsi="宋体"/>
        </w:rPr>
        <w:t>：</w:t>
      </w:r>
      <w:r>
        <w:rPr>
          <w:rFonts w:hint="eastAsia"/>
          <w:u w:val="single"/>
        </w:rPr>
        <w:t>采购人指定地点</w:t>
      </w:r>
      <w:r>
        <w:rPr>
          <w:rFonts w:ascii="宋体" w:hAnsi="宋体"/>
        </w:rPr>
        <w:t>。</w:t>
      </w:r>
    </w:p>
    <w:p w14:paraId="0F9B0A0C">
      <w:pPr>
        <w:spacing w:line="400" w:lineRule="exact"/>
        <w:ind w:firstLine="422" w:firstLineChars="200"/>
        <w:rPr>
          <w:rFonts w:ascii="宋体" w:hAnsi="宋体"/>
        </w:rPr>
      </w:pPr>
      <w:r>
        <w:rPr>
          <w:b/>
          <w:bCs/>
        </w:rPr>
        <w:t>2</w:t>
      </w:r>
      <w:r>
        <w:rPr>
          <w:rFonts w:ascii="宋体" w:hAnsi="宋体"/>
          <w:b/>
          <w:bCs/>
        </w:rPr>
        <w:t>.</w:t>
      </w:r>
      <w:r>
        <w:rPr>
          <w:b/>
          <w:bCs/>
        </w:rPr>
        <w:t>6</w:t>
      </w:r>
      <w:r>
        <w:rPr>
          <w:rFonts w:hint="eastAsia"/>
          <w:b/>
          <w:bCs/>
        </w:rPr>
        <w:t xml:space="preserve"> </w:t>
      </w:r>
      <w:r>
        <w:rPr>
          <w:rFonts w:hint="eastAsia"/>
          <w:lang w:val="en-US" w:eastAsia="zh-CN"/>
        </w:rPr>
        <w:t>服务</w:t>
      </w:r>
      <w:r>
        <w:rPr>
          <w:rFonts w:hint="eastAsia"/>
        </w:rPr>
        <w:t>标准</w:t>
      </w:r>
      <w:r>
        <w:rPr>
          <w:rFonts w:ascii="宋体" w:hAnsi="宋体"/>
        </w:rPr>
        <w:t>：</w:t>
      </w:r>
      <w:r>
        <w:rPr>
          <w:rFonts w:hint="eastAsia"/>
          <w:u w:val="single"/>
        </w:rPr>
        <w:t>合格</w:t>
      </w:r>
      <w:r>
        <w:rPr>
          <w:rFonts w:hint="eastAsia"/>
          <w:u w:val="single"/>
          <w:lang w:eastAsia="zh-CN"/>
        </w:rPr>
        <w:t>；</w:t>
      </w:r>
      <w:r>
        <w:rPr>
          <w:rFonts w:hint="eastAsia"/>
          <w:u w:val="single"/>
          <w:lang w:val="en-US" w:eastAsia="zh-CN"/>
        </w:rPr>
        <w:t>满足采购人要求</w:t>
      </w:r>
      <w:r>
        <w:rPr>
          <w:rFonts w:ascii="宋体" w:hAnsi="宋体"/>
        </w:rPr>
        <w:t>。</w:t>
      </w:r>
    </w:p>
    <w:bookmarkEnd w:id="440"/>
    <w:p w14:paraId="51E351AD">
      <w:pPr>
        <w:widowControl/>
        <w:spacing w:before="260" w:after="260"/>
        <w:outlineLvl w:val="1"/>
        <w:rPr>
          <w:rFonts w:hint="eastAsia" w:ascii="Times New Roman" w:hAnsi="Times New Roman" w:eastAsia="黑体" w:cs="Times New Roman"/>
          <w:b/>
          <w:spacing w:val="1"/>
          <w:kern w:val="0"/>
          <w:sz w:val="28"/>
          <w:szCs w:val="28"/>
          <w:lang w:val="en-US" w:eastAsia="zh-CN"/>
        </w:rPr>
      </w:pPr>
      <w:r>
        <w:rPr>
          <w:rFonts w:hint="eastAsia" w:ascii="Times New Roman" w:hAnsi="Times New Roman" w:eastAsia="黑体" w:cs="Times New Roman"/>
          <w:b/>
          <w:spacing w:val="1"/>
          <w:kern w:val="0"/>
          <w:sz w:val="28"/>
          <w:szCs w:val="28"/>
          <w:lang w:val="en-US" w:eastAsia="zh-CN"/>
        </w:rPr>
        <w:t>三、相关要求</w:t>
      </w:r>
    </w:p>
    <w:p w14:paraId="58C78432">
      <w:pPr>
        <w:spacing w:before="182" w:line="331" w:lineRule="auto"/>
        <w:ind w:right="185" w:firstLine="487"/>
        <w:rPr>
          <w:rFonts w:hint="eastAsia" w:ascii="宋体" w:hAnsi="宋体" w:eastAsia="宋体" w:cs="宋体"/>
          <w:spacing w:val="3"/>
          <w:sz w:val="21"/>
          <w:szCs w:val="21"/>
          <w:highlight w:val="none"/>
          <w:lang w:val="en-US" w:eastAsia="zh-CN"/>
        </w:rPr>
      </w:pPr>
      <w:r>
        <w:rPr>
          <w:rFonts w:hint="eastAsia" w:ascii="宋体" w:hAnsi="宋体" w:eastAsia="宋体" w:cs="宋体"/>
          <w:spacing w:val="3"/>
          <w:sz w:val="21"/>
          <w:szCs w:val="21"/>
          <w:highlight w:val="none"/>
          <w:lang w:val="en-US" w:eastAsia="zh-CN"/>
        </w:rPr>
        <w:t>3.</w:t>
      </w:r>
      <w:r>
        <w:rPr>
          <w:rFonts w:hint="eastAsia" w:ascii="宋体" w:hAnsi="宋体" w:cs="宋体"/>
          <w:spacing w:val="3"/>
          <w:sz w:val="21"/>
          <w:szCs w:val="21"/>
          <w:highlight w:val="none"/>
          <w:lang w:val="en-US" w:eastAsia="zh-CN"/>
        </w:rPr>
        <w:t>1</w:t>
      </w:r>
      <w:r>
        <w:rPr>
          <w:rFonts w:hint="eastAsia" w:ascii="宋体" w:hAnsi="宋体" w:eastAsia="宋体" w:cs="宋体"/>
          <w:spacing w:val="3"/>
          <w:sz w:val="21"/>
          <w:szCs w:val="21"/>
          <w:highlight w:val="none"/>
          <w:lang w:val="en-US" w:eastAsia="zh-CN"/>
        </w:rPr>
        <w:t>如招标人需要，投标人的运输车辆须配合安装视频监控系统、GPS系统，实现与招标人大数据平台监控系统对接功能。</w:t>
      </w:r>
    </w:p>
    <w:p w14:paraId="1FB92F72">
      <w:pPr>
        <w:spacing w:before="182" w:line="331" w:lineRule="auto"/>
        <w:ind w:right="185" w:firstLine="487"/>
        <w:rPr>
          <w:rFonts w:hint="eastAsia" w:ascii="宋体" w:hAnsi="宋体" w:eastAsia="宋体" w:cs="宋体"/>
          <w:spacing w:val="3"/>
          <w:sz w:val="21"/>
          <w:szCs w:val="21"/>
          <w:highlight w:val="none"/>
          <w:lang w:val="en-US" w:eastAsia="zh-CN"/>
        </w:rPr>
      </w:pPr>
      <w:r>
        <w:rPr>
          <w:rFonts w:hint="eastAsia" w:ascii="宋体" w:hAnsi="宋体" w:eastAsia="宋体" w:cs="宋体"/>
          <w:spacing w:val="3"/>
          <w:sz w:val="21"/>
          <w:szCs w:val="21"/>
          <w:highlight w:val="none"/>
          <w:lang w:val="en-US" w:eastAsia="zh-CN"/>
        </w:rPr>
        <w:t>3.</w:t>
      </w:r>
      <w:r>
        <w:rPr>
          <w:rFonts w:hint="eastAsia" w:ascii="宋体" w:hAnsi="宋体" w:cs="宋体"/>
          <w:spacing w:val="3"/>
          <w:sz w:val="21"/>
          <w:szCs w:val="21"/>
          <w:highlight w:val="none"/>
          <w:lang w:val="en-US" w:eastAsia="zh-CN"/>
        </w:rPr>
        <w:t>2</w:t>
      </w:r>
      <w:r>
        <w:rPr>
          <w:rFonts w:hint="eastAsia" w:ascii="宋体" w:hAnsi="宋体" w:eastAsia="宋体" w:cs="宋体"/>
          <w:spacing w:val="3"/>
          <w:sz w:val="21"/>
          <w:szCs w:val="21"/>
          <w:highlight w:val="none"/>
          <w:lang w:val="en-US" w:eastAsia="zh-CN"/>
        </w:rPr>
        <w:t>投标人货物运输应实行标载运输，车辆尾气排放须满足环保相关标准。</w:t>
      </w:r>
    </w:p>
    <w:p w14:paraId="3130087A">
      <w:pPr>
        <w:spacing w:before="182" w:line="331" w:lineRule="auto"/>
        <w:ind w:right="185" w:firstLine="487"/>
        <w:rPr>
          <w:rFonts w:hint="eastAsia" w:ascii="宋体" w:hAnsi="宋体" w:eastAsia="宋体" w:cs="宋体"/>
          <w:spacing w:val="3"/>
          <w:sz w:val="21"/>
          <w:szCs w:val="21"/>
          <w:highlight w:val="none"/>
          <w:lang w:val="en-US" w:eastAsia="zh-CN"/>
        </w:rPr>
      </w:pPr>
      <w:r>
        <w:rPr>
          <w:rFonts w:hint="eastAsia" w:ascii="宋体" w:hAnsi="宋体" w:eastAsia="宋体" w:cs="宋体"/>
          <w:spacing w:val="3"/>
          <w:sz w:val="21"/>
          <w:szCs w:val="21"/>
          <w:highlight w:val="none"/>
          <w:lang w:val="en-US" w:eastAsia="zh-CN"/>
        </w:rPr>
        <w:t>3.</w:t>
      </w:r>
      <w:r>
        <w:rPr>
          <w:rFonts w:hint="eastAsia" w:ascii="宋体" w:hAnsi="宋体" w:cs="宋体"/>
          <w:spacing w:val="3"/>
          <w:sz w:val="21"/>
          <w:szCs w:val="21"/>
          <w:highlight w:val="none"/>
          <w:lang w:val="en-US" w:eastAsia="zh-CN"/>
        </w:rPr>
        <w:t>3</w:t>
      </w:r>
      <w:r>
        <w:rPr>
          <w:rFonts w:hint="eastAsia" w:ascii="宋体" w:hAnsi="宋体" w:eastAsia="宋体" w:cs="宋体"/>
          <w:spacing w:val="3"/>
          <w:sz w:val="21"/>
          <w:szCs w:val="21"/>
          <w:highlight w:val="none"/>
          <w:lang w:val="en-US" w:eastAsia="zh-CN"/>
        </w:rPr>
        <w:t>在服务期限内，投标人应当严格遵守和执行招标人相关采购管理规定，须无条件参与每一次询价报价，投标人能否获取订单取决于各投标人的竞争报价。因竞争报价、政策调整、招标人自身经营情况变化调整等因素，投标人如在服务期限内未曾获取订单，属于投标人自身原因，投标人承担竞价未果的全部责任，与招标人无关。投标人须按照招标人的要求签订合同并与招标人约定相关权利义务。</w:t>
      </w:r>
    </w:p>
    <w:p w14:paraId="47492FFF">
      <w:pPr>
        <w:spacing w:before="182" w:line="331" w:lineRule="auto"/>
        <w:ind w:right="185" w:firstLine="487"/>
        <w:rPr>
          <w:rFonts w:hint="eastAsia" w:ascii="宋体" w:hAnsi="宋体" w:eastAsia="宋体" w:cs="宋体"/>
          <w:spacing w:val="3"/>
          <w:sz w:val="21"/>
          <w:szCs w:val="21"/>
          <w:highlight w:val="none"/>
          <w:lang w:val="en-US" w:eastAsia="zh-CN"/>
        </w:rPr>
      </w:pPr>
      <w:r>
        <w:rPr>
          <w:rFonts w:hint="eastAsia" w:ascii="宋体" w:hAnsi="宋体" w:eastAsia="宋体" w:cs="宋体"/>
          <w:spacing w:val="3"/>
          <w:sz w:val="21"/>
          <w:szCs w:val="21"/>
          <w:highlight w:val="none"/>
          <w:lang w:val="en-US" w:eastAsia="zh-CN"/>
        </w:rPr>
        <w:t>3.4若中标入围供应商库，在后续供货过程中，投标人须全额提供完税证明，若无法全额提供，则招标人有权代扣代缴，税费由投标人承担，招标人有权直接从履约保证金或货款中进行扣减。</w:t>
      </w:r>
    </w:p>
    <w:p w14:paraId="6D9BEB14">
      <w:pPr>
        <w:widowControl/>
        <w:spacing w:before="260" w:after="260"/>
        <w:outlineLvl w:val="1"/>
        <w:rPr>
          <w:rFonts w:hint="eastAsia" w:ascii="Times New Roman" w:hAnsi="Times New Roman" w:eastAsia="黑体" w:cs="Times New Roman"/>
          <w:b/>
          <w:spacing w:val="1"/>
          <w:kern w:val="0"/>
          <w:sz w:val="28"/>
          <w:szCs w:val="28"/>
          <w:highlight w:val="none"/>
          <w:lang w:val="en-US" w:eastAsia="zh-CN"/>
        </w:rPr>
      </w:pPr>
      <w:r>
        <w:rPr>
          <w:rFonts w:hint="eastAsia" w:ascii="Times New Roman" w:hAnsi="Times New Roman" w:eastAsia="黑体" w:cs="Times New Roman"/>
          <w:b/>
          <w:spacing w:val="1"/>
          <w:kern w:val="0"/>
          <w:sz w:val="28"/>
          <w:szCs w:val="28"/>
          <w:highlight w:val="none"/>
          <w:lang w:val="en-US" w:eastAsia="zh-CN"/>
        </w:rPr>
        <w:t>四、合同签订规则</w:t>
      </w:r>
    </w:p>
    <w:p w14:paraId="126A6802">
      <w:pPr>
        <w:spacing w:before="182" w:line="331" w:lineRule="auto"/>
        <w:ind w:right="185" w:firstLine="487"/>
        <w:rPr>
          <w:rFonts w:hint="eastAsia" w:ascii="宋体" w:hAnsi="宋体" w:eastAsia="宋体" w:cs="宋体"/>
          <w:spacing w:val="3"/>
          <w:sz w:val="21"/>
          <w:szCs w:val="21"/>
          <w:highlight w:val="none"/>
          <w:lang w:val="en-US" w:eastAsia="zh-CN"/>
        </w:rPr>
      </w:pPr>
      <w:r>
        <w:rPr>
          <w:rFonts w:hint="eastAsia" w:ascii="宋体" w:hAnsi="宋体" w:eastAsia="宋体" w:cs="宋体"/>
          <w:spacing w:val="3"/>
          <w:sz w:val="21"/>
          <w:szCs w:val="21"/>
          <w:highlight w:val="none"/>
          <w:lang w:val="en-US" w:eastAsia="zh-CN"/>
        </w:rPr>
        <w:t>4.1入围供应商必须参与每次招标人组织的报价，严禁拒绝报价，否则视为违约，须严格遵守招标人的相关供应商管理规定。投标人每次的报价须考虑各种可预见性的因素，例如：政府会议、环保预警、疫情管控、雨雪天气、交通管制等，投标人须采取相应措施，确保运输要求。若因以上可预见性因素给招标人造成损失，视为投标人违约，招标人有权扣除履约保证金，并要求投标人承担因此造成的一切损失。</w:t>
      </w:r>
    </w:p>
    <w:p w14:paraId="4BCB930F">
      <w:pPr>
        <w:spacing w:before="182" w:line="331" w:lineRule="auto"/>
        <w:ind w:right="185" w:firstLine="487"/>
        <w:rPr>
          <w:rFonts w:ascii="宋体" w:hAnsi="宋体" w:eastAsia="宋体" w:cs="宋体"/>
          <w:sz w:val="21"/>
          <w:szCs w:val="21"/>
          <w:highlight w:val="none"/>
        </w:rPr>
      </w:pPr>
      <w:r>
        <w:rPr>
          <w:rFonts w:hint="eastAsia" w:ascii="宋体" w:hAnsi="宋体" w:eastAsia="宋体" w:cs="宋体"/>
          <w:spacing w:val="3"/>
          <w:sz w:val="21"/>
          <w:szCs w:val="21"/>
          <w:highlight w:val="none"/>
          <w:lang w:val="en-US" w:eastAsia="zh-CN"/>
        </w:rPr>
        <w:t>4.2</w:t>
      </w:r>
      <w:r>
        <w:rPr>
          <w:rFonts w:ascii="宋体" w:hAnsi="宋体" w:eastAsia="宋体" w:cs="宋体"/>
          <w:spacing w:val="3"/>
          <w:sz w:val="21"/>
          <w:szCs w:val="21"/>
          <w:highlight w:val="none"/>
        </w:rPr>
        <w:t>招标人根据自身实际经营生产需求，定期或不定期在入围的供应商库中通过询</w:t>
      </w:r>
      <w:r>
        <w:rPr>
          <w:rFonts w:ascii="宋体" w:hAnsi="宋体" w:eastAsia="宋体" w:cs="宋体"/>
          <w:spacing w:val="4"/>
          <w:sz w:val="21"/>
          <w:szCs w:val="21"/>
          <w:highlight w:val="none"/>
        </w:rPr>
        <w:t>价或谈判等方式确定签约供应商和签约价格。招标人根据</w:t>
      </w:r>
      <w:r>
        <w:rPr>
          <w:rFonts w:hint="eastAsia" w:ascii="宋体" w:hAnsi="宋体" w:eastAsia="宋体" w:cs="宋体"/>
          <w:spacing w:val="3"/>
          <w:sz w:val="21"/>
          <w:szCs w:val="21"/>
          <w:highlight w:val="none"/>
          <w:lang w:val="en-US" w:eastAsia="zh-CN"/>
        </w:rPr>
        <w:t>运输</w:t>
      </w:r>
      <w:r>
        <w:rPr>
          <w:rFonts w:ascii="宋体" w:hAnsi="宋体" w:eastAsia="宋体" w:cs="宋体"/>
          <w:spacing w:val="3"/>
          <w:sz w:val="21"/>
          <w:szCs w:val="21"/>
          <w:highlight w:val="none"/>
        </w:rPr>
        <w:t>市场价格拟定最高限价和最低限价，入围供应商按照招标人要求及时响应报价，原则上招标人参考第一轮最低报价，</w:t>
      </w:r>
      <w:r>
        <w:rPr>
          <w:rFonts w:ascii="宋体" w:hAnsi="宋体" w:eastAsia="宋体" w:cs="宋体"/>
          <w:spacing w:val="4"/>
          <w:sz w:val="21"/>
          <w:szCs w:val="21"/>
          <w:highlight w:val="none"/>
        </w:rPr>
        <w:t>依据报价排名进行逐一沟通谈判，确定能够满</w:t>
      </w:r>
      <w:r>
        <w:rPr>
          <w:rFonts w:ascii="宋体" w:hAnsi="宋体" w:eastAsia="宋体" w:cs="宋体"/>
          <w:spacing w:val="3"/>
          <w:sz w:val="21"/>
          <w:szCs w:val="21"/>
          <w:highlight w:val="none"/>
        </w:rPr>
        <w:t>足招标人供应需求的签约供应商数量和最终</w:t>
      </w:r>
      <w:r>
        <w:rPr>
          <w:rFonts w:ascii="宋体" w:hAnsi="宋体" w:eastAsia="宋体" w:cs="宋体"/>
          <w:spacing w:val="-9"/>
          <w:sz w:val="21"/>
          <w:szCs w:val="21"/>
          <w:highlight w:val="none"/>
        </w:rPr>
        <w:t>签约价。</w:t>
      </w:r>
    </w:p>
    <w:p w14:paraId="013AD103">
      <w:pPr>
        <w:spacing w:before="182" w:line="312" w:lineRule="auto"/>
        <w:ind w:right="183" w:firstLine="487"/>
        <w:rPr>
          <w:rFonts w:ascii="宋体" w:hAnsi="宋体" w:eastAsia="宋体" w:cs="宋体"/>
          <w:sz w:val="21"/>
          <w:szCs w:val="21"/>
          <w:highlight w:val="none"/>
        </w:rPr>
      </w:pPr>
      <w:r>
        <w:rPr>
          <w:rFonts w:hint="eastAsia" w:ascii="宋体" w:hAnsi="宋体" w:eastAsia="宋体" w:cs="宋体"/>
          <w:spacing w:val="4"/>
          <w:sz w:val="21"/>
          <w:szCs w:val="21"/>
          <w:highlight w:val="none"/>
          <w:lang w:val="en-US" w:eastAsia="zh-CN"/>
        </w:rPr>
        <w:t>4.3</w:t>
      </w:r>
      <w:r>
        <w:rPr>
          <w:rFonts w:ascii="宋体" w:hAnsi="宋体" w:eastAsia="宋体" w:cs="宋体"/>
          <w:spacing w:val="4"/>
          <w:sz w:val="21"/>
          <w:szCs w:val="21"/>
          <w:highlight w:val="none"/>
        </w:rPr>
        <w:t>招标人在确定</w:t>
      </w:r>
      <w:r>
        <w:rPr>
          <w:rFonts w:hint="eastAsia" w:ascii="宋体" w:hAnsi="宋体" w:eastAsia="宋体" w:cs="宋体"/>
          <w:spacing w:val="4"/>
          <w:sz w:val="21"/>
          <w:szCs w:val="21"/>
          <w:highlight w:val="none"/>
          <w:lang w:val="en-US" w:eastAsia="zh-CN"/>
        </w:rPr>
        <w:t>运输</w:t>
      </w:r>
      <w:r>
        <w:rPr>
          <w:rFonts w:ascii="宋体" w:hAnsi="宋体" w:eastAsia="宋体" w:cs="宋体"/>
          <w:spacing w:val="4"/>
          <w:sz w:val="21"/>
          <w:szCs w:val="21"/>
          <w:highlight w:val="none"/>
        </w:rPr>
        <w:t>单价和供应商数量后，</w:t>
      </w:r>
      <w:r>
        <w:rPr>
          <w:rFonts w:ascii="宋体" w:hAnsi="宋体" w:eastAsia="宋体" w:cs="宋体"/>
          <w:spacing w:val="3"/>
          <w:sz w:val="21"/>
          <w:szCs w:val="21"/>
          <w:highlight w:val="none"/>
        </w:rPr>
        <w:t>双方签订采购合同，若因市场发</w:t>
      </w:r>
      <w:r>
        <w:rPr>
          <w:rFonts w:ascii="宋体" w:hAnsi="宋体" w:eastAsia="宋体" w:cs="宋体"/>
          <w:spacing w:val="4"/>
          <w:sz w:val="21"/>
          <w:szCs w:val="21"/>
          <w:highlight w:val="none"/>
        </w:rPr>
        <w:t>生重大变化，在合同期限内需要进行重新报价，则已</w:t>
      </w:r>
      <w:r>
        <w:rPr>
          <w:rFonts w:ascii="宋体" w:hAnsi="宋体" w:eastAsia="宋体" w:cs="宋体"/>
          <w:spacing w:val="3"/>
          <w:sz w:val="21"/>
          <w:szCs w:val="21"/>
          <w:highlight w:val="none"/>
        </w:rPr>
        <w:t>签订合同的供应商具有</w:t>
      </w:r>
      <w:r>
        <w:rPr>
          <w:rFonts w:ascii="宋体" w:hAnsi="宋体" w:eastAsia="宋体" w:cs="宋体"/>
          <w:spacing w:val="-4"/>
          <w:sz w:val="21"/>
          <w:szCs w:val="21"/>
          <w:highlight w:val="none"/>
        </w:rPr>
        <w:t>优先报价权及优先选择权。</w:t>
      </w:r>
    </w:p>
    <w:p w14:paraId="4CB9664A">
      <w:pPr>
        <w:spacing w:before="182" w:line="324" w:lineRule="auto"/>
        <w:ind w:left="3" w:right="1" w:firstLine="483"/>
        <w:rPr>
          <w:rFonts w:ascii="宋体" w:hAnsi="宋体" w:eastAsia="宋体" w:cs="宋体"/>
          <w:sz w:val="21"/>
          <w:szCs w:val="21"/>
          <w:highlight w:val="none"/>
        </w:rPr>
      </w:pPr>
      <w:r>
        <w:rPr>
          <w:rFonts w:hint="eastAsia" w:ascii="宋体" w:hAnsi="宋体" w:eastAsia="宋体" w:cs="宋体"/>
          <w:spacing w:val="2"/>
          <w:sz w:val="21"/>
          <w:szCs w:val="21"/>
          <w:highlight w:val="none"/>
          <w:lang w:val="en-US" w:eastAsia="zh-CN"/>
        </w:rPr>
        <w:t>4.4</w:t>
      </w:r>
      <w:r>
        <w:rPr>
          <w:rFonts w:ascii="宋体" w:hAnsi="宋体" w:eastAsia="宋体" w:cs="宋体"/>
          <w:spacing w:val="2"/>
          <w:sz w:val="21"/>
          <w:szCs w:val="21"/>
          <w:highlight w:val="none"/>
        </w:rPr>
        <w:t>在合同服务期限内，投标人应当严格遵守和执行招标人相关管理规定，</w:t>
      </w:r>
      <w:r>
        <w:rPr>
          <w:rFonts w:ascii="宋体" w:hAnsi="宋体" w:eastAsia="宋体" w:cs="宋体"/>
          <w:spacing w:val="4"/>
          <w:sz w:val="21"/>
          <w:szCs w:val="21"/>
          <w:highlight w:val="none"/>
        </w:rPr>
        <w:t>须无条件参与每一次招标或询价报价，投标人能否获</w:t>
      </w:r>
      <w:r>
        <w:rPr>
          <w:rFonts w:ascii="宋体" w:hAnsi="宋体" w:eastAsia="宋体" w:cs="宋体"/>
          <w:spacing w:val="3"/>
          <w:sz w:val="21"/>
          <w:szCs w:val="21"/>
          <w:highlight w:val="none"/>
        </w:rPr>
        <w:t>取订单取决于其每次的竞争报价。因</w:t>
      </w:r>
      <w:r>
        <w:rPr>
          <w:rFonts w:ascii="宋体" w:hAnsi="宋体" w:eastAsia="宋体" w:cs="宋体"/>
          <w:spacing w:val="4"/>
          <w:sz w:val="21"/>
          <w:szCs w:val="21"/>
          <w:highlight w:val="none"/>
        </w:rPr>
        <w:t>竞争报价、政策调整、招标人自身经营情况变化调整等因</w:t>
      </w:r>
      <w:r>
        <w:rPr>
          <w:rFonts w:ascii="宋体" w:hAnsi="宋体" w:eastAsia="宋体" w:cs="宋体"/>
          <w:spacing w:val="3"/>
          <w:sz w:val="21"/>
          <w:szCs w:val="21"/>
          <w:highlight w:val="none"/>
        </w:rPr>
        <w:t>素，投标人如在合同服务期限内未曾获取订单，属于投标人自身原因，投标人承担竞价未果的全部责任，与招标人无关。</w:t>
      </w:r>
    </w:p>
    <w:p w14:paraId="411468A7">
      <w:pPr>
        <w:spacing w:before="182" w:line="324" w:lineRule="auto"/>
        <w:ind w:left="3" w:right="1" w:firstLine="483"/>
        <w:rPr>
          <w:rFonts w:hint="eastAsia" w:ascii="宋体" w:hAnsi="宋体" w:eastAsia="宋体" w:cs="宋体"/>
          <w:spacing w:val="2"/>
          <w:sz w:val="21"/>
          <w:szCs w:val="21"/>
          <w:highlight w:val="none"/>
          <w:lang w:val="en-US" w:eastAsia="zh-CN"/>
        </w:rPr>
      </w:pPr>
      <w:r>
        <w:rPr>
          <w:rFonts w:hint="eastAsia" w:ascii="宋体" w:hAnsi="宋体" w:eastAsia="宋体" w:cs="宋体"/>
          <w:spacing w:val="2"/>
          <w:sz w:val="21"/>
          <w:szCs w:val="21"/>
          <w:highlight w:val="none"/>
          <w:lang w:val="en-US" w:eastAsia="zh-CN"/>
        </w:rPr>
        <w:t>4.5纳入供应商库后，招标人将依据实际运输需求组织库内供应商进行报价，并综合评定最终运输单价和供应商，签订运输合同并按要求收取履约保证金，合同履约期间，招标人将根据运输情况及内部调价机制不定期进行调价，同时依据自身考核管理制度，对投标人进行定期考核，对供应商库进行优化管理。</w:t>
      </w:r>
    </w:p>
    <w:p w14:paraId="534ED1DC">
      <w:pPr>
        <w:spacing w:before="182" w:line="324" w:lineRule="auto"/>
        <w:ind w:left="3" w:right="1" w:firstLine="483"/>
        <w:rPr>
          <w:rFonts w:hint="eastAsia" w:ascii="宋体" w:hAnsi="宋体" w:eastAsia="宋体" w:cs="宋体"/>
          <w:spacing w:val="2"/>
          <w:sz w:val="21"/>
          <w:szCs w:val="21"/>
          <w:highlight w:val="none"/>
          <w:lang w:val="en-US" w:eastAsia="zh-CN"/>
        </w:rPr>
      </w:pPr>
      <w:r>
        <w:rPr>
          <w:rFonts w:hint="eastAsia" w:ascii="宋体" w:hAnsi="宋体" w:eastAsia="宋体" w:cs="宋体"/>
          <w:spacing w:val="2"/>
          <w:sz w:val="21"/>
          <w:szCs w:val="21"/>
          <w:highlight w:val="none"/>
          <w:lang w:val="en-US" w:eastAsia="zh-CN"/>
        </w:rPr>
        <w:t>4.6在报价过程中，若投标人涉嫌通过围标、串标等不正当竞争方式取得运输资格的，招标人有权直接取消投标人作为合格供应商的资格，并列入供应商失信黑名单。同时，招标人保留追究法律责任的权利。</w:t>
      </w:r>
    </w:p>
    <w:p w14:paraId="6B3C3B2B">
      <w:pPr>
        <w:spacing w:before="182" w:line="324" w:lineRule="auto"/>
        <w:ind w:left="3" w:right="1" w:firstLine="483"/>
        <w:rPr>
          <w:rFonts w:hint="default" w:ascii="宋体" w:hAnsi="宋体" w:eastAsia="宋体" w:cs="宋体"/>
          <w:spacing w:val="2"/>
          <w:sz w:val="21"/>
          <w:szCs w:val="21"/>
          <w:highlight w:val="none"/>
          <w:lang w:val="en-US" w:eastAsia="zh-CN"/>
        </w:rPr>
      </w:pPr>
      <w:r>
        <w:rPr>
          <w:rFonts w:hint="eastAsia" w:ascii="宋体" w:hAnsi="宋体" w:eastAsia="宋体" w:cs="宋体"/>
          <w:spacing w:val="2"/>
          <w:sz w:val="21"/>
          <w:szCs w:val="21"/>
          <w:highlight w:val="none"/>
          <w:lang w:val="en-US" w:eastAsia="zh-CN"/>
        </w:rPr>
        <w:t>4.7其他运输要求与采购人另行签订运输协议时约定</w:t>
      </w:r>
    </w:p>
    <w:p w14:paraId="5821F422">
      <w:pPr>
        <w:rPr>
          <w:rFonts w:ascii="宋体" w:hAnsi="宋体"/>
          <w:b/>
          <w:bCs/>
          <w:szCs w:val="32"/>
        </w:rPr>
      </w:pPr>
    </w:p>
    <w:p w14:paraId="23A071EF">
      <w:pPr>
        <w:pStyle w:val="108"/>
        <w:rPr>
          <w:rFonts w:ascii="宋体" w:hAnsi="宋体" w:eastAsia="宋体"/>
        </w:rPr>
      </w:pPr>
      <w:bookmarkStart w:id="441" w:name="_Hlk138879292"/>
    </w:p>
    <w:p w14:paraId="75EC894B">
      <w:pPr>
        <w:pStyle w:val="108"/>
        <w:rPr>
          <w:rFonts w:ascii="宋体" w:hAnsi="宋体" w:eastAsia="宋体"/>
        </w:rPr>
      </w:pPr>
    </w:p>
    <w:p w14:paraId="5EFDC167">
      <w:pPr>
        <w:pStyle w:val="108"/>
        <w:rPr>
          <w:rFonts w:ascii="宋体" w:hAnsi="宋体" w:eastAsia="宋体"/>
        </w:rPr>
      </w:pPr>
    </w:p>
    <w:p w14:paraId="607B6721">
      <w:pPr>
        <w:pStyle w:val="108"/>
        <w:rPr>
          <w:rFonts w:ascii="宋体" w:hAnsi="宋体" w:eastAsia="宋体"/>
        </w:rPr>
      </w:pPr>
    </w:p>
    <w:p w14:paraId="5ABEB912">
      <w:pPr>
        <w:pStyle w:val="108"/>
        <w:rPr>
          <w:rFonts w:ascii="宋体" w:hAnsi="宋体" w:eastAsia="宋体"/>
        </w:rPr>
      </w:pPr>
    </w:p>
    <w:p w14:paraId="111ECDF4">
      <w:pPr>
        <w:pStyle w:val="108"/>
        <w:rPr>
          <w:rFonts w:ascii="宋体" w:hAnsi="宋体" w:eastAsia="宋体"/>
        </w:rPr>
      </w:pPr>
    </w:p>
    <w:p w14:paraId="12667BE6">
      <w:pPr>
        <w:pStyle w:val="108"/>
        <w:rPr>
          <w:rFonts w:ascii="宋体" w:hAnsi="宋体" w:eastAsia="宋体"/>
        </w:rPr>
      </w:pPr>
    </w:p>
    <w:p w14:paraId="43010A0C">
      <w:pPr>
        <w:pStyle w:val="108"/>
        <w:rPr>
          <w:rFonts w:ascii="宋体" w:hAnsi="宋体" w:eastAsia="宋体"/>
        </w:rPr>
      </w:pPr>
    </w:p>
    <w:p w14:paraId="03558B7F">
      <w:pPr>
        <w:pStyle w:val="108"/>
        <w:rPr>
          <w:rFonts w:ascii="宋体" w:hAnsi="宋体" w:eastAsia="宋体"/>
        </w:rPr>
      </w:pPr>
    </w:p>
    <w:p w14:paraId="6053E358">
      <w:pPr>
        <w:pStyle w:val="108"/>
        <w:rPr>
          <w:rFonts w:ascii="宋体" w:hAnsi="宋体" w:eastAsia="宋体"/>
        </w:rPr>
      </w:pPr>
    </w:p>
    <w:p w14:paraId="32C153C3">
      <w:pPr>
        <w:pStyle w:val="108"/>
        <w:rPr>
          <w:rFonts w:ascii="宋体" w:hAnsi="宋体" w:eastAsia="宋体"/>
        </w:rPr>
      </w:pPr>
    </w:p>
    <w:p w14:paraId="6502690D">
      <w:pPr>
        <w:pStyle w:val="108"/>
        <w:rPr>
          <w:rFonts w:ascii="宋体" w:hAnsi="宋体" w:eastAsia="宋体"/>
        </w:rPr>
      </w:pPr>
    </w:p>
    <w:p w14:paraId="3C4EA363">
      <w:pPr>
        <w:pStyle w:val="108"/>
        <w:rPr>
          <w:rFonts w:ascii="宋体" w:hAnsi="宋体" w:eastAsia="宋体"/>
        </w:rPr>
      </w:pPr>
    </w:p>
    <w:p w14:paraId="69DF9B85">
      <w:pPr>
        <w:pStyle w:val="108"/>
        <w:rPr>
          <w:rFonts w:ascii="宋体" w:hAnsi="宋体" w:eastAsia="宋体"/>
        </w:rPr>
      </w:pPr>
    </w:p>
    <w:p w14:paraId="138BC5A7">
      <w:pPr>
        <w:pStyle w:val="108"/>
        <w:rPr>
          <w:rFonts w:ascii="宋体" w:hAnsi="宋体" w:eastAsia="宋体"/>
        </w:rPr>
      </w:pPr>
    </w:p>
    <w:p w14:paraId="763D5E82">
      <w:pPr>
        <w:pStyle w:val="108"/>
        <w:rPr>
          <w:rFonts w:ascii="宋体" w:hAnsi="宋体" w:eastAsia="宋体"/>
        </w:rPr>
      </w:pPr>
    </w:p>
    <w:bookmarkEnd w:id="441"/>
    <w:p w14:paraId="57BDA862">
      <w:pPr>
        <w:pStyle w:val="2"/>
        <w:jc w:val="center"/>
        <w:rPr>
          <w:rFonts w:ascii="宋体" w:hAnsi="宋体"/>
        </w:rPr>
      </w:pPr>
      <w:bookmarkStart w:id="442" w:name="_Toc149140270"/>
      <w:r>
        <w:rPr>
          <w:rFonts w:ascii="宋体" w:hAnsi="宋体"/>
        </w:rPr>
        <w:t>第六章 响应文件格式</w:t>
      </w:r>
      <w:bookmarkEnd w:id="438"/>
      <w:bookmarkEnd w:id="442"/>
    </w:p>
    <w:bookmarkEnd w:id="439"/>
    <w:p w14:paraId="0D8E6F2B">
      <w:pPr>
        <w:widowControl/>
        <w:jc w:val="left"/>
        <w:rPr>
          <w:rFonts w:ascii="宋体" w:hAnsi="宋体"/>
          <w:b/>
          <w:bCs/>
          <w:sz w:val="46"/>
        </w:rPr>
      </w:pPr>
      <w:r>
        <w:rPr>
          <w:rFonts w:ascii="宋体" w:hAnsi="宋体"/>
          <w:b/>
          <w:bCs/>
          <w:sz w:val="46"/>
        </w:rPr>
        <w:br w:type="page"/>
      </w:r>
    </w:p>
    <w:p w14:paraId="03802B0C">
      <w:pPr>
        <w:spacing w:line="400" w:lineRule="exact"/>
        <w:rPr>
          <w:rFonts w:ascii="宋体" w:hAnsi="宋体"/>
        </w:rPr>
      </w:pPr>
    </w:p>
    <w:p w14:paraId="158CA5C0">
      <w:pPr>
        <w:jc w:val="center"/>
        <w:rPr>
          <w:rFonts w:ascii="宋体" w:hAnsi="宋体"/>
          <w:sz w:val="28"/>
          <w:szCs w:val="28"/>
          <w:u w:val="single"/>
        </w:rPr>
      </w:pPr>
    </w:p>
    <w:p w14:paraId="16C815BE">
      <w:pPr>
        <w:jc w:val="center"/>
        <w:rPr>
          <w:rFonts w:ascii="黑体" w:hAnsi="黑体" w:eastAsia="黑体"/>
          <w:sz w:val="20"/>
        </w:rPr>
      </w:pPr>
      <w:r>
        <w:rPr>
          <w:rFonts w:hint="eastAsia" w:ascii="黑体" w:hAnsi="黑体" w:eastAsia="黑体" w:cs="Times New Roman"/>
          <w:sz w:val="44"/>
          <w:lang w:eastAsia="zh-CN"/>
        </w:rPr>
        <w:t>河北交投绿色建材有限公司2026-2027年度预制构件运输服务商入库</w:t>
      </w:r>
    </w:p>
    <w:p w14:paraId="5A6FBB09">
      <w:pPr>
        <w:rPr>
          <w:rFonts w:ascii="黑体" w:hAnsi="黑体" w:eastAsia="黑体"/>
          <w:sz w:val="20"/>
        </w:rPr>
      </w:pPr>
    </w:p>
    <w:p w14:paraId="1D3D22DA">
      <w:pPr>
        <w:jc w:val="center"/>
        <w:rPr>
          <w:rFonts w:ascii="黑体" w:hAnsi="黑体" w:eastAsia="黑体"/>
          <w:sz w:val="44"/>
        </w:rPr>
      </w:pPr>
      <w:bookmarkStart w:id="443" w:name="_Toc3366_WPSOffice_Level2"/>
      <w:bookmarkStart w:id="444" w:name="_Toc6098_WPSOffice_Level2"/>
    </w:p>
    <w:p w14:paraId="2E125AAF">
      <w:pPr>
        <w:jc w:val="center"/>
        <w:rPr>
          <w:rFonts w:ascii="黑体" w:hAnsi="黑体" w:eastAsia="黑体"/>
          <w:sz w:val="44"/>
        </w:rPr>
      </w:pPr>
    </w:p>
    <w:p w14:paraId="1276EBB8">
      <w:pPr>
        <w:jc w:val="center"/>
        <w:rPr>
          <w:rFonts w:ascii="黑体" w:hAnsi="黑体" w:eastAsia="黑体"/>
          <w:sz w:val="44"/>
        </w:rPr>
      </w:pPr>
    </w:p>
    <w:p w14:paraId="533F87FF">
      <w:pPr>
        <w:jc w:val="center"/>
        <w:rPr>
          <w:rFonts w:ascii="黑体" w:hAnsi="黑体" w:eastAsia="黑体"/>
          <w:sz w:val="44"/>
        </w:rPr>
      </w:pPr>
      <w:r>
        <w:rPr>
          <w:rFonts w:ascii="黑体" w:hAnsi="黑体" w:eastAsia="黑体"/>
          <w:sz w:val="44"/>
        </w:rPr>
        <w:t>响应文件</w:t>
      </w:r>
      <w:bookmarkEnd w:id="443"/>
      <w:bookmarkEnd w:id="444"/>
    </w:p>
    <w:p w14:paraId="124EC983">
      <w:pPr>
        <w:jc w:val="center"/>
        <w:rPr>
          <w:rFonts w:ascii="黑体" w:hAnsi="黑体" w:eastAsia="黑体"/>
          <w:sz w:val="44"/>
        </w:rPr>
      </w:pPr>
    </w:p>
    <w:p w14:paraId="6CF157C2">
      <w:pPr>
        <w:rPr>
          <w:rFonts w:ascii="黑体" w:hAnsi="黑体" w:eastAsia="黑体"/>
          <w:sz w:val="28"/>
        </w:rPr>
      </w:pPr>
    </w:p>
    <w:p w14:paraId="77E5D058">
      <w:pPr>
        <w:rPr>
          <w:rFonts w:ascii="黑体" w:hAnsi="黑体" w:eastAsia="黑体"/>
          <w:sz w:val="28"/>
        </w:rPr>
      </w:pPr>
    </w:p>
    <w:p w14:paraId="6C7B7DF5">
      <w:pPr>
        <w:rPr>
          <w:rFonts w:ascii="黑体" w:hAnsi="黑体" w:eastAsia="黑体"/>
          <w:sz w:val="28"/>
        </w:rPr>
      </w:pPr>
    </w:p>
    <w:p w14:paraId="05F34399">
      <w:pPr>
        <w:rPr>
          <w:rFonts w:ascii="黑体" w:hAnsi="黑体" w:eastAsia="黑体"/>
          <w:sz w:val="28"/>
        </w:rPr>
      </w:pPr>
    </w:p>
    <w:p w14:paraId="451544CC">
      <w:pPr>
        <w:rPr>
          <w:rFonts w:ascii="黑体" w:hAnsi="黑体" w:eastAsia="黑体"/>
          <w:sz w:val="28"/>
        </w:rPr>
      </w:pPr>
    </w:p>
    <w:p w14:paraId="12164A7A">
      <w:pPr>
        <w:spacing w:line="360" w:lineRule="auto"/>
        <w:rPr>
          <w:rFonts w:ascii="黑体" w:hAnsi="黑体" w:eastAsia="黑体"/>
          <w:sz w:val="28"/>
        </w:rPr>
      </w:pPr>
    </w:p>
    <w:p w14:paraId="2AAAB9D7">
      <w:pPr>
        <w:spacing w:line="360" w:lineRule="auto"/>
        <w:ind w:firstLine="1120" w:firstLineChars="400"/>
        <w:rPr>
          <w:rFonts w:ascii="黑体" w:hAnsi="黑体" w:eastAsia="黑体"/>
          <w:sz w:val="28"/>
        </w:rPr>
      </w:pPr>
      <w:bookmarkStart w:id="445" w:name="_Toc30500_WPSOffice_Level2"/>
      <w:bookmarkStart w:id="446" w:name="_Toc25692_WPSOffice_Level2"/>
      <w:r>
        <w:rPr>
          <w:rFonts w:ascii="黑体" w:hAnsi="黑体" w:eastAsia="黑体"/>
          <w:sz w:val="28"/>
        </w:rPr>
        <w:t>供应商：</w:t>
      </w:r>
      <w:r>
        <w:rPr>
          <w:rFonts w:ascii="黑体" w:hAnsi="黑体" w:eastAsia="黑体"/>
          <w:u w:val="single"/>
        </w:rPr>
        <w:t xml:space="preserve">                                       </w:t>
      </w:r>
      <w:bookmarkEnd w:id="445"/>
      <w:bookmarkEnd w:id="446"/>
      <w:r>
        <w:rPr>
          <w:rFonts w:ascii="黑体" w:hAnsi="黑体" w:eastAsia="黑体"/>
        </w:rPr>
        <w:t>（单位电子印章）</w:t>
      </w:r>
    </w:p>
    <w:p w14:paraId="06F446D9">
      <w:pPr>
        <w:jc w:val="center"/>
        <w:rPr>
          <w:rFonts w:ascii="黑体" w:hAnsi="黑体" w:eastAsia="黑体"/>
          <w:sz w:val="28"/>
        </w:rPr>
      </w:pPr>
    </w:p>
    <w:p w14:paraId="0DB2E154">
      <w:pPr>
        <w:jc w:val="center"/>
        <w:rPr>
          <w:rFonts w:ascii="黑体" w:hAnsi="黑体" w:eastAsia="黑体"/>
          <w:sz w:val="28"/>
        </w:rPr>
      </w:pPr>
      <w:bookmarkStart w:id="447" w:name="_Toc17738_WPSOffice_Level1"/>
      <w:bookmarkStart w:id="448" w:name="_Toc25720_WPSOffice_Level1"/>
      <w:r>
        <w:rPr>
          <w:rFonts w:ascii="黑体" w:hAnsi="黑体" w:eastAsia="黑体"/>
          <w:u w:val="single"/>
        </w:rPr>
        <w:t xml:space="preserve">       </w:t>
      </w:r>
      <w:r>
        <w:rPr>
          <w:rFonts w:ascii="黑体" w:hAnsi="黑体" w:eastAsia="黑体"/>
          <w:sz w:val="28"/>
        </w:rPr>
        <w:t>年</w:t>
      </w:r>
      <w:r>
        <w:rPr>
          <w:rFonts w:ascii="黑体" w:hAnsi="黑体" w:eastAsia="黑体"/>
          <w:u w:val="single"/>
        </w:rPr>
        <w:t xml:space="preserve">     </w:t>
      </w:r>
      <w:r>
        <w:rPr>
          <w:rFonts w:ascii="黑体" w:hAnsi="黑体" w:eastAsia="黑体"/>
          <w:sz w:val="28"/>
        </w:rPr>
        <w:t>月</w:t>
      </w:r>
      <w:bookmarkEnd w:id="447"/>
      <w:bookmarkEnd w:id="448"/>
    </w:p>
    <w:p w14:paraId="29160146">
      <w:pPr>
        <w:rPr>
          <w:rFonts w:ascii="宋体" w:hAnsi="宋体"/>
          <w:sz w:val="28"/>
          <w:szCs w:val="28"/>
        </w:rPr>
      </w:pPr>
      <w:r>
        <w:rPr>
          <w:rFonts w:ascii="宋体" w:hAnsi="宋体"/>
          <w:sz w:val="28"/>
          <w:szCs w:val="28"/>
        </w:rPr>
        <w:br w:type="page"/>
      </w:r>
    </w:p>
    <w:p w14:paraId="672D1B02">
      <w:pPr>
        <w:pStyle w:val="39"/>
        <w:ind w:firstLine="480"/>
      </w:pPr>
    </w:p>
    <w:p w14:paraId="476E193A">
      <w:pPr>
        <w:jc w:val="center"/>
        <w:rPr>
          <w:rFonts w:ascii="黑体" w:hAnsi="黑体" w:eastAsia="黑体"/>
          <w:sz w:val="32"/>
          <w:szCs w:val="32"/>
        </w:rPr>
      </w:pPr>
      <w:r>
        <w:rPr>
          <w:rFonts w:ascii="黑体" w:hAnsi="黑体" w:eastAsia="黑体"/>
          <w:sz w:val="32"/>
          <w:szCs w:val="32"/>
        </w:rPr>
        <w:t>目录</w:t>
      </w:r>
    </w:p>
    <w:p w14:paraId="708A41EA">
      <w:pPr>
        <w:rPr>
          <w:rFonts w:ascii="宋体" w:hAnsi="宋体"/>
          <w:sz w:val="24"/>
        </w:rPr>
      </w:pPr>
    </w:p>
    <w:p w14:paraId="0EE49D6F">
      <w:pPr>
        <w:spacing w:line="540" w:lineRule="exact"/>
        <w:rPr>
          <w:rFonts w:ascii="宋体" w:hAnsi="宋体"/>
        </w:rPr>
      </w:pPr>
      <w:r>
        <w:rPr>
          <w:rFonts w:ascii="宋体" w:hAnsi="宋体"/>
        </w:rPr>
        <w:t>一、响应函</w:t>
      </w:r>
    </w:p>
    <w:p w14:paraId="398B35CF">
      <w:pPr>
        <w:spacing w:line="540" w:lineRule="exact"/>
        <w:rPr>
          <w:rFonts w:ascii="宋体" w:hAnsi="宋体"/>
        </w:rPr>
      </w:pPr>
      <w:r>
        <w:rPr>
          <w:rFonts w:ascii="宋体" w:hAnsi="宋体"/>
        </w:rPr>
        <w:t>二、授权委托书（如有）；</w:t>
      </w:r>
    </w:p>
    <w:p w14:paraId="64B12279">
      <w:pPr>
        <w:spacing w:line="540" w:lineRule="exact"/>
        <w:rPr>
          <w:rFonts w:ascii="宋体" w:hAnsi="宋体"/>
        </w:rPr>
      </w:pPr>
      <w:r>
        <w:rPr>
          <w:rFonts w:ascii="宋体" w:hAnsi="宋体"/>
        </w:rPr>
        <w:t>三、联合体协议书（适用于供应商组成联合体的情况）</w:t>
      </w:r>
    </w:p>
    <w:p w14:paraId="06CF3474">
      <w:pPr>
        <w:spacing w:line="540" w:lineRule="exact"/>
        <w:rPr>
          <w:rFonts w:ascii="宋体" w:hAnsi="宋体"/>
        </w:rPr>
      </w:pPr>
      <w:r>
        <w:rPr>
          <w:rFonts w:ascii="宋体" w:hAnsi="宋体"/>
        </w:rPr>
        <w:t>四、响应保证金（适用于递交响应保证金的情况）</w:t>
      </w:r>
    </w:p>
    <w:p w14:paraId="4DBA2ED1">
      <w:pPr>
        <w:spacing w:line="540" w:lineRule="exact"/>
        <w:rPr>
          <w:rFonts w:ascii="宋体" w:hAnsi="宋体"/>
        </w:rPr>
      </w:pPr>
      <w:r>
        <w:rPr>
          <w:rFonts w:hint="eastAsia" w:ascii="宋体" w:hAnsi="宋体"/>
          <w:lang w:val="en-US" w:eastAsia="zh-CN"/>
        </w:rPr>
        <w:t>五</w:t>
      </w:r>
      <w:r>
        <w:rPr>
          <w:rFonts w:ascii="宋体" w:hAnsi="宋体"/>
        </w:rPr>
        <w:t>、资格审查资料</w:t>
      </w:r>
    </w:p>
    <w:p w14:paraId="7C09D133">
      <w:pPr>
        <w:spacing w:line="540" w:lineRule="exact"/>
        <w:rPr>
          <w:rFonts w:ascii="宋体" w:hAnsi="宋体"/>
        </w:rPr>
      </w:pPr>
      <w:r>
        <w:rPr>
          <w:rFonts w:hint="eastAsia" w:ascii="宋体" w:hAnsi="宋体"/>
          <w:lang w:val="en-US" w:eastAsia="zh-CN"/>
        </w:rPr>
        <w:t>六</w:t>
      </w:r>
      <w:r>
        <w:rPr>
          <w:rFonts w:ascii="宋体" w:hAnsi="宋体"/>
        </w:rPr>
        <w:t>、响应方案</w:t>
      </w:r>
    </w:p>
    <w:p w14:paraId="16B28CD2">
      <w:pPr>
        <w:spacing w:line="540" w:lineRule="exact"/>
        <w:rPr>
          <w:rFonts w:ascii="宋体" w:hAnsi="宋体"/>
        </w:rPr>
      </w:pPr>
      <w:r>
        <w:rPr>
          <w:rFonts w:hint="eastAsia" w:ascii="宋体" w:hAnsi="宋体"/>
          <w:lang w:val="en-US" w:eastAsia="zh-CN"/>
        </w:rPr>
        <w:t>七</w:t>
      </w:r>
      <w:r>
        <w:rPr>
          <w:rFonts w:ascii="宋体" w:hAnsi="宋体"/>
        </w:rPr>
        <w:t>、承诺函</w:t>
      </w:r>
    </w:p>
    <w:p w14:paraId="74226FF4">
      <w:pPr>
        <w:spacing w:line="540" w:lineRule="exact"/>
        <w:rPr>
          <w:rFonts w:hint="eastAsia" w:ascii="宋体" w:hAnsi="宋体"/>
          <w:highlight w:val="none"/>
          <w:lang w:val="en-US" w:eastAsia="zh-CN"/>
        </w:rPr>
      </w:pPr>
      <w:r>
        <w:rPr>
          <w:rFonts w:hint="eastAsia" w:ascii="宋体" w:hAnsi="宋体"/>
          <w:highlight w:val="none"/>
          <w:lang w:val="en-US" w:eastAsia="zh-CN"/>
        </w:rPr>
        <w:t>八</w:t>
      </w:r>
      <w:r>
        <w:rPr>
          <w:rFonts w:ascii="宋体" w:hAnsi="宋体"/>
          <w:highlight w:val="none"/>
        </w:rPr>
        <w:t>、</w:t>
      </w:r>
      <w:r>
        <w:rPr>
          <w:rFonts w:hint="eastAsia" w:ascii="宋体" w:hAnsi="宋体"/>
          <w:highlight w:val="none"/>
          <w:lang w:val="en-US" w:eastAsia="zh-CN"/>
        </w:rPr>
        <w:t>资金授信承诺书</w:t>
      </w:r>
    </w:p>
    <w:p w14:paraId="4E478B0B">
      <w:pPr>
        <w:spacing w:line="540" w:lineRule="exact"/>
        <w:rPr>
          <w:rFonts w:hint="default"/>
          <w:highlight w:val="none"/>
          <w:lang w:val="en-US" w:eastAsia="zh-CN"/>
        </w:rPr>
      </w:pPr>
      <w:r>
        <w:rPr>
          <w:rFonts w:hint="eastAsia"/>
          <w:highlight w:val="none"/>
          <w:lang w:val="en-US" w:eastAsia="zh-CN"/>
        </w:rPr>
        <w:t>九、其他资料</w:t>
      </w:r>
    </w:p>
    <w:p w14:paraId="5A4396A7">
      <w:pPr>
        <w:pStyle w:val="2"/>
      </w:pPr>
    </w:p>
    <w:p w14:paraId="14047D23">
      <w:pPr>
        <w:keepNext/>
        <w:keepLines/>
        <w:jc w:val="center"/>
        <w:outlineLvl w:val="1"/>
        <w:rPr>
          <w:rFonts w:ascii="宋体" w:hAnsi="宋体"/>
          <w:b/>
          <w:bCs/>
          <w:sz w:val="28"/>
          <w:szCs w:val="28"/>
        </w:rPr>
      </w:pPr>
      <w:r>
        <w:rPr>
          <w:rFonts w:ascii="宋体" w:hAnsi="宋体"/>
          <w:sz w:val="24"/>
        </w:rPr>
        <w:br w:type="page"/>
      </w:r>
      <w:bookmarkStart w:id="449" w:name="_Toc149140271"/>
      <w:r>
        <w:rPr>
          <w:rFonts w:ascii="宋体" w:hAnsi="宋体"/>
          <w:b/>
          <w:sz w:val="32"/>
          <w:szCs w:val="20"/>
        </w:rPr>
        <w:t>一、响应函</w:t>
      </w:r>
      <w:bookmarkEnd w:id="449"/>
    </w:p>
    <w:p w14:paraId="072DCDCF">
      <w:pPr>
        <w:pStyle w:val="108"/>
        <w:rPr>
          <w:rFonts w:ascii="宋体" w:hAnsi="宋体" w:eastAsia="宋体"/>
        </w:rPr>
      </w:pPr>
      <w:bookmarkStart w:id="450" w:name="_Toc118805924"/>
      <w:bookmarkStart w:id="451" w:name="_Toc118805547"/>
      <w:bookmarkStart w:id="452" w:name="_Toc118805170"/>
      <w:bookmarkStart w:id="453" w:name="_Toc118806295"/>
    </w:p>
    <w:p w14:paraId="4FE0D34D">
      <w:pPr>
        <w:spacing w:line="440" w:lineRule="exact"/>
        <w:rPr>
          <w:rFonts w:ascii="宋体" w:hAnsi="宋体"/>
          <w:szCs w:val="21"/>
        </w:rPr>
      </w:pPr>
      <w:r>
        <w:rPr>
          <w:rFonts w:ascii="宋体" w:hAnsi="宋体"/>
          <w:szCs w:val="21"/>
          <w:u w:val="single"/>
        </w:rPr>
        <w:t xml:space="preserve">             </w:t>
      </w:r>
      <w:r>
        <w:rPr>
          <w:rFonts w:ascii="宋体" w:hAnsi="宋体"/>
          <w:szCs w:val="21"/>
        </w:rPr>
        <w:t>（采购人名称）：</w:t>
      </w:r>
    </w:p>
    <w:p w14:paraId="14C3F4C3">
      <w:pPr>
        <w:spacing w:line="480" w:lineRule="exact"/>
        <w:ind w:firstLine="420"/>
        <w:rPr>
          <w:rFonts w:ascii="宋体" w:hAnsi="宋体"/>
          <w:szCs w:val="21"/>
        </w:rPr>
      </w:pPr>
      <w:r>
        <w:rPr>
          <w:rFonts w:ascii="宋体" w:hAnsi="宋体"/>
          <w:szCs w:val="21"/>
        </w:rPr>
        <w:t>我方</w:t>
      </w:r>
      <w:r>
        <w:rPr>
          <w:rFonts w:ascii="宋体" w:hAnsi="宋体"/>
          <w:szCs w:val="21"/>
          <w:u w:val="single"/>
        </w:rPr>
        <w:t xml:space="preserve">          </w:t>
      </w:r>
      <w:r>
        <w:rPr>
          <w:rFonts w:ascii="宋体" w:hAnsi="宋体"/>
          <w:szCs w:val="21"/>
        </w:rPr>
        <w:t>（供应商名称）遵守采购文件的规定并作出如下承诺：</w:t>
      </w:r>
    </w:p>
    <w:tbl>
      <w:tblPr>
        <w:tblStyle w:val="40"/>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5"/>
        <w:gridCol w:w="6661"/>
      </w:tblGrid>
      <w:tr w14:paraId="074CF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25" w:type="dxa"/>
          </w:tcPr>
          <w:p w14:paraId="591EEFBD">
            <w:pPr>
              <w:spacing w:line="440" w:lineRule="exact"/>
              <w:rPr>
                <w:rFonts w:ascii="宋体" w:hAnsi="宋体"/>
                <w:szCs w:val="21"/>
              </w:rPr>
            </w:pPr>
            <w:r>
              <w:rPr>
                <w:rFonts w:ascii="宋体" w:hAnsi="宋体"/>
                <w:szCs w:val="21"/>
              </w:rPr>
              <w:t>项目名称</w:t>
            </w:r>
          </w:p>
        </w:tc>
        <w:tc>
          <w:tcPr>
            <w:tcW w:w="6661" w:type="dxa"/>
          </w:tcPr>
          <w:p w14:paraId="03E676F4">
            <w:pPr>
              <w:spacing w:line="440" w:lineRule="exact"/>
              <w:rPr>
                <w:rFonts w:ascii="宋体" w:hAnsi="宋体"/>
                <w:szCs w:val="21"/>
              </w:rPr>
            </w:pPr>
          </w:p>
        </w:tc>
      </w:tr>
      <w:tr w14:paraId="73344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5" w:type="dxa"/>
          </w:tcPr>
          <w:p w14:paraId="061DFD81">
            <w:pPr>
              <w:spacing w:line="440" w:lineRule="exact"/>
              <w:rPr>
                <w:rFonts w:hint="eastAsia" w:ascii="宋体" w:hAnsi="宋体" w:eastAsia="宋体"/>
                <w:szCs w:val="21"/>
                <w:lang w:eastAsia="zh-CN"/>
              </w:rPr>
            </w:pPr>
            <w:r>
              <w:rPr>
                <w:rFonts w:hint="eastAsia" w:ascii="宋体" w:hAnsi="宋体"/>
                <w:szCs w:val="21"/>
                <w:lang w:eastAsia="zh-CN"/>
              </w:rPr>
              <w:t>服务期限</w:t>
            </w:r>
          </w:p>
        </w:tc>
        <w:tc>
          <w:tcPr>
            <w:tcW w:w="6661" w:type="dxa"/>
          </w:tcPr>
          <w:p w14:paraId="75BD6248">
            <w:pPr>
              <w:spacing w:line="440" w:lineRule="exact"/>
              <w:rPr>
                <w:rFonts w:ascii="宋体" w:hAnsi="宋体"/>
                <w:szCs w:val="21"/>
              </w:rPr>
            </w:pPr>
          </w:p>
        </w:tc>
      </w:tr>
      <w:tr w14:paraId="41F85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5" w:type="dxa"/>
          </w:tcPr>
          <w:p w14:paraId="6D181A87">
            <w:pPr>
              <w:spacing w:line="440" w:lineRule="exact"/>
              <w:rPr>
                <w:rFonts w:ascii="宋体" w:hAnsi="宋体"/>
                <w:szCs w:val="21"/>
              </w:rPr>
            </w:pPr>
            <w:r>
              <w:rPr>
                <w:rFonts w:hint="eastAsia"/>
                <w:szCs w:val="21"/>
                <w:lang w:val="en-US" w:eastAsia="zh-CN"/>
              </w:rPr>
              <w:t>服务</w:t>
            </w:r>
            <w:r>
              <w:rPr>
                <w:rFonts w:hint="eastAsia"/>
                <w:szCs w:val="21"/>
              </w:rPr>
              <w:t>地点</w:t>
            </w:r>
          </w:p>
        </w:tc>
        <w:tc>
          <w:tcPr>
            <w:tcW w:w="6661" w:type="dxa"/>
          </w:tcPr>
          <w:p w14:paraId="7624A82B">
            <w:pPr>
              <w:spacing w:line="440" w:lineRule="exact"/>
              <w:rPr>
                <w:rFonts w:ascii="宋体" w:hAnsi="宋体"/>
                <w:szCs w:val="21"/>
              </w:rPr>
            </w:pPr>
          </w:p>
        </w:tc>
      </w:tr>
      <w:tr w14:paraId="2407A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5" w:type="dxa"/>
          </w:tcPr>
          <w:p w14:paraId="3EE3D5A8">
            <w:pPr>
              <w:spacing w:line="440" w:lineRule="exact"/>
              <w:rPr>
                <w:rFonts w:ascii="宋体" w:hAnsi="宋体"/>
                <w:szCs w:val="21"/>
              </w:rPr>
            </w:pPr>
            <w:r>
              <w:rPr>
                <w:rFonts w:hint="eastAsia" w:ascii="宋体" w:hAnsi="宋体"/>
                <w:szCs w:val="21"/>
                <w:lang w:val="en-US" w:eastAsia="zh-CN"/>
              </w:rPr>
              <w:t>服务</w:t>
            </w:r>
            <w:r>
              <w:rPr>
                <w:rFonts w:ascii="宋体" w:hAnsi="宋体"/>
                <w:szCs w:val="21"/>
              </w:rPr>
              <w:t>标准</w:t>
            </w:r>
          </w:p>
        </w:tc>
        <w:tc>
          <w:tcPr>
            <w:tcW w:w="6661" w:type="dxa"/>
          </w:tcPr>
          <w:p w14:paraId="42FDD520">
            <w:pPr>
              <w:spacing w:line="440" w:lineRule="exact"/>
              <w:rPr>
                <w:rFonts w:ascii="宋体" w:hAnsi="宋体"/>
                <w:szCs w:val="21"/>
              </w:rPr>
            </w:pPr>
          </w:p>
        </w:tc>
      </w:tr>
    </w:tbl>
    <w:p w14:paraId="4C2CC1A7">
      <w:pPr>
        <w:spacing w:after="120"/>
        <w:rPr>
          <w:rFonts w:ascii="宋体" w:hAnsi="宋体"/>
        </w:rPr>
      </w:pPr>
    </w:p>
    <w:p w14:paraId="622B61D6">
      <w:pPr>
        <w:spacing w:after="120"/>
        <w:rPr>
          <w:rFonts w:ascii="宋体" w:hAnsi="宋体"/>
        </w:rPr>
      </w:pPr>
    </w:p>
    <w:p w14:paraId="6D39859A">
      <w:pPr>
        <w:spacing w:line="440" w:lineRule="exact"/>
        <w:ind w:firstLine="4725" w:firstLineChars="2250"/>
        <w:jc w:val="right"/>
        <w:rPr>
          <w:rFonts w:ascii="宋体" w:hAnsi="宋体"/>
          <w:szCs w:val="21"/>
        </w:rPr>
      </w:pPr>
      <w:bookmarkStart w:id="454" w:name="_Toc16568"/>
      <w:bookmarkEnd w:id="454"/>
      <w:bookmarkStart w:id="455" w:name="_Toc352691659"/>
      <w:bookmarkEnd w:id="455"/>
      <w:bookmarkStart w:id="456" w:name="_Toc369531695"/>
      <w:bookmarkEnd w:id="456"/>
      <w:bookmarkStart w:id="457" w:name="_Toc16824"/>
      <w:bookmarkEnd w:id="457"/>
      <w:bookmarkStart w:id="458" w:name="_Toc369531696"/>
      <w:bookmarkEnd w:id="458"/>
      <w:bookmarkStart w:id="459" w:name="_Toc352691660"/>
      <w:bookmarkEnd w:id="459"/>
      <w:r>
        <w:rPr>
          <w:rFonts w:ascii="宋体" w:hAnsi="宋体"/>
          <w:u w:val="single"/>
        </w:rPr>
        <w:t xml:space="preserve">      </w:t>
      </w:r>
      <w:r>
        <w:rPr>
          <w:rFonts w:ascii="宋体" w:hAnsi="宋体"/>
          <w:szCs w:val="21"/>
        </w:rPr>
        <w:t>年</w:t>
      </w:r>
      <w:r>
        <w:rPr>
          <w:rFonts w:ascii="宋体" w:hAnsi="宋体"/>
          <w:u w:val="single"/>
        </w:rPr>
        <w:t xml:space="preserve">      </w:t>
      </w:r>
      <w:r>
        <w:rPr>
          <w:rFonts w:ascii="宋体" w:hAnsi="宋体"/>
          <w:szCs w:val="21"/>
        </w:rPr>
        <w:t>月</w:t>
      </w:r>
      <w:r>
        <w:rPr>
          <w:rFonts w:ascii="宋体" w:hAnsi="宋体"/>
          <w:u w:val="single"/>
        </w:rPr>
        <w:t xml:space="preserve">      </w:t>
      </w:r>
      <w:r>
        <w:rPr>
          <w:rFonts w:ascii="宋体" w:hAnsi="宋体"/>
          <w:szCs w:val="21"/>
        </w:rPr>
        <w:t>日</w:t>
      </w:r>
    </w:p>
    <w:bookmarkEnd w:id="450"/>
    <w:bookmarkEnd w:id="451"/>
    <w:bookmarkEnd w:id="452"/>
    <w:bookmarkEnd w:id="453"/>
    <w:p w14:paraId="679F06AE">
      <w:pPr>
        <w:widowControl/>
        <w:jc w:val="left"/>
        <w:rPr>
          <w:rFonts w:ascii="宋体" w:hAnsi="宋体"/>
        </w:rPr>
      </w:pPr>
      <w:r>
        <w:rPr>
          <w:rFonts w:ascii="宋体" w:hAnsi="宋体"/>
        </w:rPr>
        <w:br w:type="page"/>
      </w:r>
    </w:p>
    <w:p w14:paraId="68FE9F42">
      <w:pPr>
        <w:jc w:val="center"/>
        <w:rPr>
          <w:rFonts w:hint="eastAsia" w:ascii="宋体" w:hAnsi="宋体" w:eastAsia="宋体" w:cs="宋体"/>
          <w:b/>
          <w:bCs/>
          <w:sz w:val="28"/>
          <w:szCs w:val="28"/>
          <w:highlight w:val="none"/>
        </w:rPr>
      </w:pPr>
      <w:bookmarkStart w:id="460" w:name="_Toc300734834"/>
      <w:bookmarkStart w:id="461" w:name="_Toc535049456"/>
      <w:bookmarkStart w:id="462" w:name="_Toc9861517"/>
      <w:bookmarkStart w:id="463" w:name="_Toc11848979"/>
      <w:bookmarkStart w:id="464" w:name="_Toc535067078"/>
      <w:bookmarkStart w:id="465" w:name="_Toc317264992"/>
      <w:bookmarkStart w:id="466" w:name="_Toc20984"/>
      <w:bookmarkStart w:id="467" w:name="_Toc31427"/>
      <w:bookmarkStart w:id="468" w:name="_Toc149140273"/>
      <w:bookmarkStart w:id="469" w:name="_Toc118805927"/>
      <w:bookmarkStart w:id="470" w:name="_Toc23700_WPSOffice_Level1"/>
      <w:bookmarkStart w:id="471" w:name="_Toc32514"/>
      <w:bookmarkStart w:id="472" w:name="_Toc8885"/>
      <w:bookmarkStart w:id="473" w:name="_Toc137648476"/>
      <w:bookmarkStart w:id="474" w:name="_Toc118805173"/>
      <w:bookmarkStart w:id="475" w:name="_Toc30404"/>
      <w:bookmarkStart w:id="476" w:name="_Toc118805550"/>
      <w:bookmarkStart w:id="477" w:name="_Toc118806298"/>
      <w:bookmarkStart w:id="478" w:name="_Toc6"/>
      <w:r>
        <w:rPr>
          <w:rFonts w:hint="eastAsia" w:ascii="宋体" w:hAnsi="宋体" w:eastAsia="宋体" w:cs="宋体"/>
          <w:b/>
          <w:bCs/>
          <w:sz w:val="28"/>
          <w:szCs w:val="28"/>
          <w:highlight w:val="none"/>
        </w:rPr>
        <w:t>二、法定代表人身份证明或授权委托书</w:t>
      </w:r>
    </w:p>
    <w:p w14:paraId="24544031">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（一）法定代表人身份证明</w:t>
      </w:r>
    </w:p>
    <w:p w14:paraId="1D5EFDEE">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供应商名称：</w:t>
      </w:r>
      <w:r>
        <w:rPr>
          <w:rFonts w:hint="eastAsia" w:ascii="宋体" w:hAnsi="宋体" w:eastAsia="宋体" w:cs="宋体"/>
          <w:sz w:val="21"/>
          <w:szCs w:val="21"/>
          <w:highlight w:val="none"/>
          <w:u w:val="single"/>
        </w:rPr>
        <w:t xml:space="preserve">                        </w:t>
      </w:r>
    </w:p>
    <w:p w14:paraId="65E21697">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firstLine="0" w:firstLineChars="0"/>
        <w:textAlignment w:val="auto"/>
        <w:rPr>
          <w:rFonts w:hint="eastAsia" w:ascii="宋体" w:hAnsi="宋体" w:eastAsia="宋体" w:cs="宋体"/>
          <w:sz w:val="21"/>
          <w:szCs w:val="21"/>
          <w:highlight w:val="none"/>
          <w:u w:val="single"/>
        </w:rPr>
      </w:pPr>
      <w:r>
        <w:rPr>
          <w:rFonts w:hint="eastAsia" w:ascii="宋体" w:hAnsi="宋体" w:eastAsia="宋体" w:cs="宋体"/>
          <w:kern w:val="0"/>
          <w:sz w:val="21"/>
          <w:szCs w:val="21"/>
          <w:highlight w:val="none"/>
        </w:rPr>
        <w:t>单位性质</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 xml:space="preserve">                        </w:t>
      </w:r>
    </w:p>
    <w:p w14:paraId="4F906965">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firstLine="0" w:firstLineChars="0"/>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地址</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 xml:space="preserve">                        </w:t>
      </w:r>
    </w:p>
    <w:p w14:paraId="1AAFE0D1">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成立时间：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w:t>
      </w:r>
    </w:p>
    <w:p w14:paraId="2B493DBC">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经营期限：</w:t>
      </w:r>
      <w:r>
        <w:rPr>
          <w:rFonts w:hint="eastAsia" w:ascii="宋体" w:hAnsi="宋体" w:eastAsia="宋体" w:cs="宋体"/>
          <w:sz w:val="21"/>
          <w:szCs w:val="21"/>
          <w:highlight w:val="none"/>
          <w:u w:val="single"/>
        </w:rPr>
        <w:t xml:space="preserve">          </w:t>
      </w:r>
    </w:p>
    <w:p w14:paraId="2805B9D2">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姓名：</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性别：</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年龄：</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职务：</w:t>
      </w:r>
      <w:r>
        <w:rPr>
          <w:rFonts w:hint="eastAsia" w:ascii="宋体" w:hAnsi="宋体" w:eastAsia="宋体" w:cs="宋体"/>
          <w:sz w:val="21"/>
          <w:szCs w:val="21"/>
          <w:highlight w:val="none"/>
          <w:u w:val="single"/>
        </w:rPr>
        <w:t xml:space="preserve">        </w:t>
      </w:r>
    </w:p>
    <w:p w14:paraId="17E06C2D">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系</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(供应商名称)的法定代表人。</w:t>
      </w:r>
    </w:p>
    <w:p w14:paraId="4A702CA2">
      <w:pPr>
        <w:spacing w:before="156" w:beforeLines="50" w:after="156" w:afterLines="50"/>
        <w:ind w:firstLine="420" w:firstLineChars="200"/>
        <w:rPr>
          <w:rFonts w:hint="eastAsia" w:ascii="宋体" w:hAnsi="宋体" w:eastAsia="宋体" w:cs="宋体"/>
          <w:sz w:val="21"/>
          <w:szCs w:val="21"/>
          <w:highlight w:val="none"/>
        </w:rPr>
      </w:pPr>
    </w:p>
    <w:p w14:paraId="345E1DAF">
      <w:pPr>
        <w:spacing w:before="156" w:beforeLines="50" w:after="156" w:afterLines="50"/>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特此证明。</w:t>
      </w:r>
    </w:p>
    <w:p w14:paraId="652320F8">
      <w:pPr>
        <w:spacing w:before="156" w:beforeLines="50" w:after="156" w:afterLines="50"/>
        <w:ind w:firstLine="422" w:firstLineChars="200"/>
        <w:rPr>
          <w:rFonts w:hint="eastAsia" w:ascii="宋体" w:hAnsi="宋体" w:eastAsia="宋体" w:cs="宋体"/>
          <w:sz w:val="21"/>
          <w:szCs w:val="21"/>
          <w:highlight w:val="none"/>
        </w:rPr>
      </w:pPr>
      <w:r>
        <w:rPr>
          <w:rFonts w:hint="eastAsia" w:ascii="宋体" w:hAnsi="宋体" w:eastAsia="宋体" w:cs="宋体"/>
          <w:b/>
          <w:bCs/>
          <w:sz w:val="21"/>
          <w:szCs w:val="21"/>
          <w:highlight w:val="none"/>
        </w:rPr>
        <w:t>附件：法定代表人身份证复印件</w:t>
      </w:r>
    </w:p>
    <w:p w14:paraId="42365880">
      <w:pPr>
        <w:spacing w:before="156" w:beforeLines="50" w:after="156" w:afterLines="50"/>
        <w:rPr>
          <w:rFonts w:hint="eastAsia" w:ascii="宋体" w:hAnsi="宋体" w:eastAsia="宋体" w:cs="宋体"/>
          <w:sz w:val="21"/>
          <w:szCs w:val="21"/>
          <w:highlight w:val="none"/>
        </w:rPr>
      </w:pPr>
    </w:p>
    <w:p w14:paraId="7187660F">
      <w:pPr>
        <w:spacing w:before="156" w:beforeLines="50" w:after="156" w:afterLines="5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供应商：</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(单位全称)</w:t>
      </w:r>
    </w:p>
    <w:p w14:paraId="0AA41CAB">
      <w:pPr>
        <w:spacing w:before="156" w:beforeLines="50" w:after="156" w:afterLines="50"/>
        <w:rPr>
          <w:rFonts w:hint="eastAsia" w:ascii="宋体" w:hAnsi="宋体" w:eastAsia="宋体" w:cs="宋体"/>
          <w:sz w:val="21"/>
          <w:szCs w:val="21"/>
          <w:highlight w:val="none"/>
        </w:rPr>
      </w:pPr>
    </w:p>
    <w:p w14:paraId="69C00599">
      <w:pPr>
        <w:spacing w:before="156" w:beforeLines="50" w:after="156" w:afterLines="5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w:t>
      </w:r>
    </w:p>
    <w:p w14:paraId="044247BF">
      <w:pPr>
        <w:spacing w:before="156" w:beforeLines="50" w:after="156" w:afterLines="50"/>
        <w:rPr>
          <w:rFonts w:hint="eastAsia" w:ascii="宋体" w:hAnsi="宋体" w:eastAsia="宋体" w:cs="宋体"/>
          <w:sz w:val="21"/>
          <w:szCs w:val="21"/>
          <w:highlight w:val="none"/>
        </w:rPr>
      </w:pPr>
    </w:p>
    <w:p w14:paraId="16BC9271">
      <w:pPr>
        <w:spacing w:before="156" w:beforeLines="50" w:after="156" w:afterLines="50"/>
        <w:rPr>
          <w:rFonts w:hint="eastAsia" w:ascii="宋体" w:hAnsi="宋体" w:eastAsia="宋体" w:cs="宋体"/>
          <w:sz w:val="21"/>
          <w:szCs w:val="21"/>
          <w:highlight w:val="none"/>
        </w:rPr>
      </w:pPr>
    </w:p>
    <w:p w14:paraId="70F33A93">
      <w:pPr>
        <w:spacing w:before="156" w:beforeLines="50" w:after="156" w:afterLines="50"/>
        <w:rPr>
          <w:rFonts w:hint="eastAsia" w:ascii="宋体" w:hAnsi="宋体" w:eastAsia="宋体" w:cs="宋体"/>
          <w:sz w:val="21"/>
          <w:szCs w:val="21"/>
          <w:highlight w:val="none"/>
        </w:rPr>
      </w:pPr>
    </w:p>
    <w:p w14:paraId="318B5F86">
      <w:pPr>
        <w:spacing w:before="156" w:beforeLines="50" w:after="156" w:afterLines="50"/>
        <w:rPr>
          <w:rFonts w:hint="eastAsia" w:ascii="宋体" w:hAnsi="宋体" w:eastAsia="宋体" w:cs="宋体"/>
          <w:sz w:val="21"/>
          <w:szCs w:val="21"/>
          <w:highlight w:val="none"/>
        </w:rPr>
      </w:pPr>
    </w:p>
    <w:p w14:paraId="5333ADE4">
      <w:pPr>
        <w:tabs>
          <w:tab w:val="left" w:pos="420"/>
        </w:tabs>
        <w:adjustRightInd w:val="0"/>
        <w:snapToGrid w:val="0"/>
        <w:spacing w:line="340" w:lineRule="exact"/>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注：如果由供应商的法定代表人亲自签署投标文件，则不需提交授权委托书。</w:t>
      </w:r>
    </w:p>
    <w:p w14:paraId="2E43CF4D">
      <w:pPr>
        <w:pStyle w:val="5"/>
        <w:jc w:val="left"/>
        <w:rPr>
          <w:rFonts w:hint="eastAsia" w:ascii="宋体" w:hAnsi="宋体" w:eastAsia="宋体" w:cs="宋体"/>
          <w:sz w:val="21"/>
          <w:szCs w:val="21"/>
          <w:highlight w:val="none"/>
        </w:rPr>
      </w:pPr>
    </w:p>
    <w:p w14:paraId="29633115">
      <w:pPr>
        <w:pStyle w:val="5"/>
        <w:jc w:val="left"/>
        <w:rPr>
          <w:rFonts w:hint="eastAsia" w:ascii="宋体" w:hAnsi="宋体" w:eastAsia="宋体" w:cs="宋体"/>
          <w:sz w:val="21"/>
          <w:szCs w:val="21"/>
          <w:highlight w:val="none"/>
        </w:rPr>
      </w:pPr>
    </w:p>
    <w:p w14:paraId="78E040F1">
      <w:pPr>
        <w:pStyle w:val="5"/>
        <w:jc w:val="left"/>
        <w:rPr>
          <w:rFonts w:hint="eastAsia" w:ascii="宋体" w:hAnsi="宋体" w:eastAsia="宋体" w:cs="宋体"/>
          <w:sz w:val="21"/>
          <w:szCs w:val="21"/>
          <w:highlight w:val="none"/>
        </w:rPr>
      </w:pPr>
    </w:p>
    <w:p w14:paraId="53E8BC6B">
      <w:pPr>
        <w:pStyle w:val="5"/>
        <w:keepNext w:val="0"/>
        <w:keepLines/>
        <w:pageBreakBefore w:val="0"/>
        <w:widowControl w:val="0"/>
        <w:kinsoku/>
        <w:wordWrap/>
        <w:overflowPunct/>
        <w:topLinePunct w:val="0"/>
        <w:autoSpaceDE/>
        <w:autoSpaceDN/>
        <w:bidi w:val="0"/>
        <w:adjustRightInd/>
        <w:snapToGrid/>
        <w:spacing w:line="377" w:lineRule="auto"/>
        <w:jc w:val="left"/>
        <w:textAlignment w:val="auto"/>
        <w:rPr>
          <w:rFonts w:hint="eastAsia" w:ascii="宋体" w:hAnsi="宋体" w:eastAsia="宋体" w:cs="宋体"/>
          <w:sz w:val="21"/>
          <w:szCs w:val="21"/>
          <w:highlight w:val="none"/>
        </w:rPr>
      </w:pPr>
    </w:p>
    <w:p w14:paraId="66C3BEE4">
      <w:pPr>
        <w:pStyle w:val="5"/>
        <w:keepNext w:val="0"/>
        <w:keepLines/>
        <w:pageBreakBefore w:val="0"/>
        <w:widowControl w:val="0"/>
        <w:kinsoku/>
        <w:wordWrap/>
        <w:overflowPunct/>
        <w:topLinePunct w:val="0"/>
        <w:autoSpaceDE/>
        <w:autoSpaceDN/>
        <w:bidi w:val="0"/>
        <w:adjustRightInd/>
        <w:snapToGrid/>
        <w:spacing w:line="377" w:lineRule="auto"/>
        <w:jc w:val="left"/>
        <w:textAlignment w:val="auto"/>
        <w:rPr>
          <w:rFonts w:hint="eastAsia" w:ascii="宋体" w:hAnsi="宋体" w:eastAsia="宋体" w:cs="宋体"/>
          <w:sz w:val="21"/>
          <w:szCs w:val="21"/>
          <w:highlight w:val="none"/>
        </w:rPr>
      </w:pPr>
    </w:p>
    <w:p w14:paraId="60D87171">
      <w:pPr>
        <w:pStyle w:val="5"/>
        <w:keepNext w:val="0"/>
        <w:keepLines/>
        <w:pageBreakBefore w:val="0"/>
        <w:widowControl w:val="0"/>
        <w:kinsoku/>
        <w:wordWrap/>
        <w:overflowPunct/>
        <w:topLinePunct w:val="0"/>
        <w:autoSpaceDE/>
        <w:autoSpaceDN/>
        <w:bidi w:val="0"/>
        <w:adjustRightInd/>
        <w:snapToGrid/>
        <w:spacing w:line="377" w:lineRule="auto"/>
        <w:jc w:val="left"/>
        <w:textAlignment w:val="auto"/>
        <w:rPr>
          <w:rFonts w:ascii="宋体" w:hAnsi="宋体" w:eastAsia="宋体" w:cs="宋体"/>
          <w:sz w:val="21"/>
          <w:szCs w:val="21"/>
          <w:highlight w:val="none"/>
        </w:rPr>
      </w:pPr>
      <w:r>
        <w:rPr>
          <w:rFonts w:hint="eastAsia" w:ascii="宋体" w:hAnsi="宋体" w:eastAsia="宋体" w:cs="宋体"/>
          <w:sz w:val="21"/>
          <w:szCs w:val="21"/>
          <w:highlight w:val="none"/>
        </w:rPr>
        <w:t>附件：法定代表人身份证复印件</w:t>
      </w:r>
      <w:bookmarkEnd w:id="460"/>
      <w:bookmarkEnd w:id="461"/>
      <w:bookmarkEnd w:id="462"/>
      <w:bookmarkEnd w:id="463"/>
      <w:bookmarkEnd w:id="464"/>
      <w:bookmarkEnd w:id="465"/>
    </w:p>
    <w:p w14:paraId="78BCBF5C">
      <w:pPr>
        <w:jc w:val="center"/>
        <w:rPr>
          <w:rFonts w:hint="eastAsia" w:asciiTheme="minorEastAsia" w:hAnsiTheme="minorEastAsia" w:eastAsiaTheme="minorEastAsia" w:cstheme="minorEastAsia"/>
          <w:b/>
          <w:sz w:val="21"/>
          <w:szCs w:val="21"/>
          <w:highlight w:val="none"/>
        </w:rPr>
      </w:pPr>
    </w:p>
    <w:p w14:paraId="6C39E39B">
      <w:pPr>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法定代表人身份证复印件</w:t>
      </w:r>
    </w:p>
    <w:p w14:paraId="4F14B57D">
      <w:pPr>
        <w:rPr>
          <w:rFonts w:hint="eastAsia" w:asciiTheme="minorEastAsia" w:hAnsiTheme="minorEastAsia" w:eastAsiaTheme="minorEastAsia" w:cstheme="minorEastAsia"/>
          <w:sz w:val="21"/>
          <w:szCs w:val="21"/>
          <w:highlight w:val="none"/>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0"/>
      </w:tblGrid>
      <w:tr w14:paraId="6E433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8" w:hRule="atLeast"/>
          <w:jc w:val="center"/>
        </w:trPr>
        <w:tc>
          <w:tcPr>
            <w:tcW w:w="7960" w:type="dxa"/>
            <w:tcBorders>
              <w:top w:val="single" w:color="auto" w:sz="4" w:space="0"/>
              <w:left w:val="single" w:color="auto" w:sz="4" w:space="0"/>
              <w:bottom w:val="single" w:color="auto" w:sz="4" w:space="0"/>
              <w:right w:val="single" w:color="auto" w:sz="4" w:space="0"/>
            </w:tcBorders>
            <w:noWrap w:val="0"/>
            <w:vAlign w:val="top"/>
          </w:tcPr>
          <w:p w14:paraId="64E7A239">
            <w:pPr>
              <w:rPr>
                <w:rFonts w:hint="eastAsia" w:asciiTheme="minorEastAsia" w:hAnsiTheme="minorEastAsia" w:eastAsiaTheme="minorEastAsia" w:cstheme="minorEastAsia"/>
                <w:sz w:val="21"/>
                <w:szCs w:val="21"/>
                <w:highlight w:val="none"/>
              </w:rPr>
            </w:pPr>
          </w:p>
          <w:p w14:paraId="1B1E10C0">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二代身份证的正、反两面复印件</w:t>
            </w:r>
          </w:p>
          <w:p w14:paraId="0AB5DEDF">
            <w:pPr>
              <w:rPr>
                <w:rFonts w:hint="eastAsia" w:asciiTheme="minorEastAsia" w:hAnsiTheme="minorEastAsia" w:eastAsiaTheme="minorEastAsia" w:cstheme="minorEastAsia"/>
                <w:sz w:val="21"/>
                <w:szCs w:val="21"/>
                <w:highlight w:val="none"/>
              </w:rPr>
            </w:pPr>
          </w:p>
          <w:p w14:paraId="478AEBF6">
            <w:pPr>
              <w:rPr>
                <w:rFonts w:hint="eastAsia" w:asciiTheme="minorEastAsia" w:hAnsiTheme="minorEastAsia" w:eastAsiaTheme="minorEastAsia" w:cstheme="minorEastAsia"/>
                <w:sz w:val="21"/>
                <w:szCs w:val="21"/>
                <w:highlight w:val="none"/>
              </w:rPr>
            </w:pPr>
          </w:p>
        </w:tc>
      </w:tr>
    </w:tbl>
    <w:p w14:paraId="0452F7EB">
      <w:pPr>
        <w:spacing w:line="360" w:lineRule="auto"/>
        <w:jc w:val="center"/>
        <w:rPr>
          <w:rFonts w:hint="eastAsia" w:ascii="宋体" w:hAnsi="宋体" w:eastAsia="宋体" w:cs="宋体"/>
          <w:b/>
          <w:bCs/>
          <w:sz w:val="24"/>
          <w:szCs w:val="24"/>
          <w:highlight w:val="none"/>
        </w:rPr>
      </w:pPr>
      <w:r>
        <w:rPr>
          <w:rFonts w:hint="eastAsia" w:ascii="宋体" w:hAnsi="宋体"/>
          <w:b/>
          <w:bCs/>
          <w:sz w:val="28"/>
          <w:szCs w:val="28"/>
          <w:highlight w:val="none"/>
        </w:rPr>
        <w:br w:type="page"/>
      </w:r>
      <w:r>
        <w:rPr>
          <w:rFonts w:hint="eastAsia" w:ascii="宋体" w:hAnsi="宋体" w:eastAsia="宋体" w:cs="宋体"/>
          <w:b/>
          <w:bCs/>
          <w:sz w:val="24"/>
          <w:szCs w:val="24"/>
          <w:highlight w:val="none"/>
        </w:rPr>
        <w:t>（二）授权委托书</w:t>
      </w:r>
    </w:p>
    <w:p w14:paraId="2E7E84E7">
      <w:pPr>
        <w:pStyle w:val="15"/>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本人</w:t>
      </w:r>
      <w:r>
        <w:rPr>
          <w:rFonts w:hint="eastAsia" w:ascii="宋体" w:hAnsi="宋体" w:eastAsia="宋体" w:cs="宋体"/>
          <w:sz w:val="21"/>
          <w:szCs w:val="21"/>
          <w:highlight w:val="none"/>
          <w:u w:val="single"/>
          <w:lang w:eastAsia="zh-CN"/>
        </w:rPr>
        <w:t xml:space="preserve">      （姓名）</w:t>
      </w:r>
      <w:r>
        <w:rPr>
          <w:rFonts w:hint="eastAsia" w:ascii="宋体" w:hAnsi="宋体" w:eastAsia="宋体" w:cs="宋体"/>
          <w:sz w:val="21"/>
          <w:szCs w:val="21"/>
          <w:highlight w:val="none"/>
          <w:lang w:eastAsia="zh-CN"/>
        </w:rPr>
        <w:t>系</w:t>
      </w:r>
      <w:r>
        <w:rPr>
          <w:rFonts w:hint="eastAsia" w:ascii="宋体" w:hAnsi="宋体" w:eastAsia="宋体" w:cs="宋体"/>
          <w:sz w:val="21"/>
          <w:szCs w:val="21"/>
          <w:highlight w:val="none"/>
          <w:u w:val="single"/>
          <w:lang w:eastAsia="zh-CN"/>
        </w:rPr>
        <w:t xml:space="preserve">                      （供应商名称）</w:t>
      </w:r>
      <w:r>
        <w:rPr>
          <w:rFonts w:hint="eastAsia" w:ascii="宋体" w:hAnsi="宋体" w:eastAsia="宋体" w:cs="宋体"/>
          <w:sz w:val="21"/>
          <w:szCs w:val="21"/>
          <w:highlight w:val="none"/>
          <w:lang w:eastAsia="zh-CN"/>
        </w:rPr>
        <w:t>的法定代表人（单位负责人），现委托</w:t>
      </w:r>
      <w:r>
        <w:rPr>
          <w:rFonts w:hint="eastAsia" w:ascii="宋体" w:hAnsi="宋体" w:eastAsia="宋体" w:cs="宋体"/>
          <w:sz w:val="21"/>
          <w:szCs w:val="21"/>
          <w:highlight w:val="none"/>
          <w:u w:val="single"/>
          <w:lang w:eastAsia="zh-CN"/>
        </w:rPr>
        <w:t xml:space="preserve">      （姓名）</w:t>
      </w:r>
      <w:r>
        <w:rPr>
          <w:rFonts w:hint="eastAsia" w:ascii="宋体" w:hAnsi="宋体" w:eastAsia="宋体" w:cs="宋体"/>
          <w:sz w:val="21"/>
          <w:szCs w:val="21"/>
          <w:highlight w:val="none"/>
          <w:lang w:eastAsia="zh-CN"/>
        </w:rPr>
        <w:t>为我方代理人。代理人根据授权．以我方名义签署、澄清确认、递交、撤回、修改</w:t>
      </w:r>
      <w:r>
        <w:rPr>
          <w:rFonts w:hint="eastAsia" w:ascii="宋体" w:hAnsi="宋体" w:eastAsia="宋体" w:cs="宋体"/>
          <w:sz w:val="21"/>
          <w:szCs w:val="21"/>
          <w:highlight w:val="none"/>
          <w:u w:val="single"/>
          <w:lang w:eastAsia="zh-CN"/>
        </w:rPr>
        <w:t>（项目名称、标段）</w:t>
      </w:r>
      <w:r>
        <w:rPr>
          <w:rFonts w:hint="eastAsia" w:ascii="宋体" w:hAnsi="宋体" w:eastAsia="宋体" w:cs="宋体"/>
          <w:sz w:val="21"/>
          <w:szCs w:val="21"/>
          <w:highlight w:val="none"/>
          <w:lang w:eastAsia="zh-CN"/>
        </w:rPr>
        <w:t>响应文件、签订合同和处理有关事官，其法律后果由我方承担。</w:t>
      </w:r>
    </w:p>
    <w:p w14:paraId="5CE97EA9">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委托期限：自本委托书签署之日起至本项目签订采购合同之日止。</w:t>
      </w:r>
    </w:p>
    <w:p w14:paraId="0B9463CC">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代理人无转委托权。</w:t>
      </w:r>
    </w:p>
    <w:p w14:paraId="136C004A">
      <w:pPr>
        <w:spacing w:line="360" w:lineRule="auto"/>
        <w:rPr>
          <w:rFonts w:hint="eastAsia" w:ascii="宋体" w:hAnsi="宋体" w:eastAsia="宋体" w:cs="宋体"/>
          <w:sz w:val="21"/>
          <w:szCs w:val="21"/>
          <w:highlight w:val="none"/>
        </w:rPr>
      </w:pPr>
    </w:p>
    <w:p w14:paraId="3664A5C2">
      <w:pPr>
        <w:spacing w:line="360" w:lineRule="auto"/>
        <w:ind w:firstLine="422" w:firstLineChars="200"/>
        <w:rPr>
          <w:rFonts w:hint="eastAsia" w:ascii="宋体" w:hAnsi="宋体" w:eastAsia="宋体" w:cs="宋体"/>
          <w:sz w:val="21"/>
          <w:szCs w:val="21"/>
          <w:highlight w:val="none"/>
        </w:rPr>
      </w:pPr>
      <w:r>
        <w:rPr>
          <w:rFonts w:hint="eastAsia" w:ascii="宋体" w:hAnsi="宋体" w:eastAsia="宋体" w:cs="宋体"/>
          <w:b/>
          <w:sz w:val="21"/>
          <w:szCs w:val="21"/>
          <w:highlight w:val="none"/>
        </w:rPr>
        <w:t>附件：法定代表人和委托代理人身份证复印件</w:t>
      </w:r>
    </w:p>
    <w:p w14:paraId="0F540A30">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p w14:paraId="03C0014A">
      <w:pPr>
        <w:spacing w:line="360" w:lineRule="auto"/>
        <w:rPr>
          <w:rFonts w:hint="eastAsia" w:ascii="宋体" w:hAnsi="宋体" w:eastAsia="宋体" w:cs="宋体"/>
          <w:sz w:val="21"/>
          <w:szCs w:val="21"/>
          <w:highlight w:val="none"/>
        </w:rPr>
      </w:pPr>
    </w:p>
    <w:p w14:paraId="35C0FEAB">
      <w:pPr>
        <w:keepNext w:val="0"/>
        <w:keepLines w:val="0"/>
        <w:pageBreakBefore w:val="0"/>
        <w:widowControl w:val="0"/>
        <w:kinsoku/>
        <w:wordWrap/>
        <w:overflowPunct/>
        <w:topLinePunct w:val="0"/>
        <w:autoSpaceDE/>
        <w:autoSpaceDN/>
        <w:bidi w:val="0"/>
        <w:adjustRightInd/>
        <w:snapToGrid/>
        <w:spacing w:line="360" w:lineRule="auto"/>
        <w:ind w:firstLine="2940" w:firstLineChars="14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w:t>
      </w:r>
      <w:r>
        <w:rPr>
          <w:rFonts w:hint="eastAsia" w:ascii="宋体" w:hAnsi="宋体" w:eastAsia="宋体" w:cs="宋体"/>
          <w:sz w:val="21"/>
          <w:szCs w:val="21"/>
          <w:highlight w:val="none"/>
          <w:u w:val="single"/>
        </w:rPr>
        <w:t xml:space="preserve">                      （单位全称）</w:t>
      </w:r>
    </w:p>
    <w:p w14:paraId="4D010E4A">
      <w:pPr>
        <w:keepNext w:val="0"/>
        <w:keepLines w:val="0"/>
        <w:pageBreakBefore w:val="0"/>
        <w:widowControl w:val="0"/>
        <w:kinsoku/>
        <w:wordWrap/>
        <w:overflowPunct/>
        <w:topLinePunct w:val="0"/>
        <w:autoSpaceDE/>
        <w:autoSpaceDN/>
        <w:bidi w:val="0"/>
        <w:adjustRightInd/>
        <w:snapToGrid/>
        <w:spacing w:line="360" w:lineRule="auto"/>
        <w:ind w:firstLine="2940" w:firstLineChars="14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法定代表人（单位负责人）：</w:t>
      </w:r>
      <w:r>
        <w:rPr>
          <w:rFonts w:hint="eastAsia" w:ascii="宋体" w:hAnsi="宋体" w:eastAsia="宋体" w:cs="宋体"/>
          <w:sz w:val="21"/>
          <w:szCs w:val="21"/>
          <w:highlight w:val="none"/>
          <w:u w:val="single"/>
        </w:rPr>
        <w:t xml:space="preserve">               </w:t>
      </w:r>
    </w:p>
    <w:p w14:paraId="2E282D12">
      <w:pPr>
        <w:keepNext w:val="0"/>
        <w:keepLines w:val="0"/>
        <w:pageBreakBefore w:val="0"/>
        <w:widowControl w:val="0"/>
        <w:kinsoku/>
        <w:wordWrap/>
        <w:overflowPunct/>
        <w:topLinePunct w:val="0"/>
        <w:autoSpaceDE/>
        <w:autoSpaceDN/>
        <w:bidi w:val="0"/>
        <w:adjustRightInd/>
        <w:snapToGrid/>
        <w:spacing w:line="360" w:lineRule="auto"/>
        <w:ind w:firstLine="2940" w:firstLineChars="14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身份证号码：</w:t>
      </w:r>
      <w:r>
        <w:rPr>
          <w:rFonts w:hint="eastAsia" w:ascii="宋体" w:hAnsi="宋体" w:eastAsia="宋体" w:cs="宋体"/>
          <w:sz w:val="21"/>
          <w:szCs w:val="21"/>
          <w:highlight w:val="none"/>
          <w:u w:val="single"/>
        </w:rPr>
        <w:t xml:space="preserve">                              </w:t>
      </w:r>
    </w:p>
    <w:p w14:paraId="47978AD5">
      <w:pPr>
        <w:keepNext w:val="0"/>
        <w:keepLines w:val="0"/>
        <w:pageBreakBefore w:val="0"/>
        <w:widowControl w:val="0"/>
        <w:kinsoku/>
        <w:wordWrap/>
        <w:overflowPunct/>
        <w:topLinePunct w:val="0"/>
        <w:autoSpaceDE/>
        <w:autoSpaceDN/>
        <w:bidi w:val="0"/>
        <w:adjustRightInd/>
        <w:snapToGrid/>
        <w:spacing w:line="360" w:lineRule="auto"/>
        <w:ind w:firstLine="2940" w:firstLineChars="14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委托代理人：</w:t>
      </w:r>
      <w:r>
        <w:rPr>
          <w:rFonts w:hint="eastAsia" w:ascii="宋体" w:hAnsi="宋体" w:eastAsia="宋体" w:cs="宋体"/>
          <w:sz w:val="21"/>
          <w:szCs w:val="21"/>
          <w:highlight w:val="none"/>
          <w:u w:val="single"/>
        </w:rPr>
        <w:t xml:space="preserve">                              </w:t>
      </w:r>
    </w:p>
    <w:p w14:paraId="6B9E7A87">
      <w:pPr>
        <w:keepNext w:val="0"/>
        <w:keepLines w:val="0"/>
        <w:pageBreakBefore w:val="0"/>
        <w:widowControl w:val="0"/>
        <w:kinsoku/>
        <w:wordWrap/>
        <w:overflowPunct/>
        <w:topLinePunct w:val="0"/>
        <w:autoSpaceDE/>
        <w:autoSpaceDN/>
        <w:bidi w:val="0"/>
        <w:adjustRightInd/>
        <w:snapToGrid/>
        <w:spacing w:line="360" w:lineRule="auto"/>
        <w:ind w:firstLine="2940" w:firstLineChars="14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身份证号码：</w:t>
      </w:r>
      <w:r>
        <w:rPr>
          <w:rFonts w:hint="eastAsia" w:ascii="宋体" w:hAnsi="宋体" w:eastAsia="宋体" w:cs="宋体"/>
          <w:sz w:val="21"/>
          <w:szCs w:val="21"/>
          <w:highlight w:val="none"/>
          <w:u w:val="single"/>
        </w:rPr>
        <w:t xml:space="preserve">                              </w:t>
      </w:r>
    </w:p>
    <w:p w14:paraId="1CC1B227">
      <w:pPr>
        <w:spacing w:line="360" w:lineRule="auto"/>
        <w:rPr>
          <w:rFonts w:hint="eastAsia" w:ascii="宋体" w:hAnsi="宋体" w:eastAsia="宋体" w:cs="宋体"/>
          <w:sz w:val="21"/>
          <w:szCs w:val="21"/>
          <w:highlight w:val="none"/>
        </w:rPr>
      </w:pPr>
    </w:p>
    <w:p w14:paraId="0C103291">
      <w:pPr>
        <w:spacing w:line="360" w:lineRule="auto"/>
        <w:ind w:firstLine="5250" w:firstLineChars="2500"/>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w:t>
      </w:r>
    </w:p>
    <w:p w14:paraId="474C3CF1">
      <w:pPr>
        <w:spacing w:before="36"/>
        <w:ind w:right="-58"/>
        <w:rPr>
          <w:rFonts w:hint="eastAsia" w:ascii="宋体" w:hAnsi="宋体" w:eastAsia="宋体" w:cs="宋体"/>
          <w:sz w:val="21"/>
          <w:szCs w:val="21"/>
          <w:highlight w:val="none"/>
        </w:rPr>
      </w:pPr>
    </w:p>
    <w:p w14:paraId="6623C0A9">
      <w:pPr>
        <w:spacing w:before="36"/>
        <w:ind w:right="-58"/>
        <w:rPr>
          <w:rFonts w:hint="eastAsia" w:ascii="宋体" w:hAnsi="宋体" w:eastAsia="宋体" w:cs="宋体"/>
          <w:sz w:val="21"/>
          <w:szCs w:val="21"/>
          <w:highlight w:val="none"/>
        </w:rPr>
      </w:pPr>
    </w:p>
    <w:p w14:paraId="04618898">
      <w:pPr>
        <w:spacing w:before="36"/>
        <w:ind w:right="-58"/>
        <w:rPr>
          <w:rFonts w:hint="eastAsia" w:ascii="宋体" w:hAnsi="宋体" w:cs="宋体"/>
          <w:szCs w:val="21"/>
          <w:highlight w:val="none"/>
        </w:rPr>
      </w:pPr>
      <w:r>
        <w:rPr>
          <w:rFonts w:hint="eastAsia" w:ascii="宋体" w:hAnsi="宋体" w:eastAsia="宋体" w:cs="宋体"/>
          <w:sz w:val="21"/>
          <w:szCs w:val="21"/>
          <w:highlight w:val="none"/>
        </w:rPr>
        <w:t>注：本授权委托书只能授权给一名委托代理人。</w:t>
      </w:r>
    </w:p>
    <w:p w14:paraId="754C3824">
      <w:pPr>
        <w:spacing w:line="440" w:lineRule="exact"/>
        <w:ind w:firstLine="4057" w:firstLineChars="1932"/>
        <w:jc w:val="right"/>
        <w:rPr>
          <w:rFonts w:ascii="Calibri" w:hAnsi="Calibri"/>
          <w:highlight w:val="none"/>
        </w:rPr>
      </w:pPr>
    </w:p>
    <w:p w14:paraId="4C57A280">
      <w:pPr>
        <w:jc w:val="center"/>
        <w:rPr>
          <w:rFonts w:ascii="宋体"/>
          <w:b/>
          <w:bCs/>
          <w:sz w:val="32"/>
          <w:szCs w:val="32"/>
          <w:highlight w:val="none"/>
        </w:rPr>
      </w:pPr>
      <w:r>
        <w:rPr>
          <w:rFonts w:ascii="宋体"/>
          <w:b/>
          <w:bCs/>
          <w:sz w:val="32"/>
          <w:szCs w:val="32"/>
          <w:highlight w:val="none"/>
        </w:rPr>
        <w:br w:type="page"/>
      </w:r>
    </w:p>
    <w:p w14:paraId="63268D31">
      <w:pPr>
        <w:pStyle w:val="5"/>
        <w:jc w:val="left"/>
        <w:rPr>
          <w:rFonts w:ascii="宋体" w:hAnsi="宋体" w:eastAsia="宋体" w:cs="宋体"/>
          <w:sz w:val="21"/>
          <w:szCs w:val="21"/>
          <w:highlight w:val="none"/>
        </w:rPr>
      </w:pPr>
      <w:bookmarkStart w:id="479" w:name="_Toc269285760"/>
      <w:bookmarkStart w:id="480" w:name="_Toc535067081"/>
      <w:bookmarkStart w:id="481" w:name="_Toc535049459"/>
      <w:bookmarkStart w:id="482" w:name="_Toc300734837"/>
      <w:bookmarkStart w:id="483" w:name="_Toc294461505"/>
      <w:bookmarkStart w:id="484" w:name="_Toc9861520"/>
      <w:bookmarkStart w:id="485" w:name="_Toc11848982"/>
      <w:bookmarkStart w:id="486" w:name="_Toc317264995"/>
      <w:r>
        <w:rPr>
          <w:rFonts w:hint="eastAsia" w:ascii="宋体" w:hAnsi="宋体" w:eastAsia="宋体" w:cs="宋体"/>
          <w:sz w:val="21"/>
          <w:szCs w:val="21"/>
          <w:highlight w:val="none"/>
        </w:rPr>
        <w:t>附件：委托代理人身份证</w:t>
      </w:r>
      <w:r>
        <w:rPr>
          <w:rFonts w:ascii="Calibri" w:hAnsi="Calibri" w:eastAsia="宋体"/>
          <w:sz w:val="21"/>
          <w:szCs w:val="24"/>
          <w:highlight w:val="none"/>
        </w:rPr>
        <w:t>扫描</w:t>
      </w:r>
      <w:r>
        <w:rPr>
          <w:rFonts w:hint="eastAsia" w:ascii="宋体" w:hAnsi="宋体" w:eastAsia="宋体" w:cs="宋体"/>
          <w:sz w:val="21"/>
          <w:szCs w:val="21"/>
          <w:highlight w:val="none"/>
        </w:rPr>
        <w:t>件</w:t>
      </w:r>
      <w:bookmarkEnd w:id="479"/>
      <w:bookmarkEnd w:id="480"/>
      <w:bookmarkEnd w:id="481"/>
      <w:bookmarkEnd w:id="482"/>
      <w:bookmarkEnd w:id="483"/>
      <w:bookmarkEnd w:id="484"/>
      <w:bookmarkEnd w:id="485"/>
      <w:bookmarkEnd w:id="486"/>
    </w:p>
    <w:p w14:paraId="73AC4FD9">
      <w:pPr>
        <w:rPr>
          <w:rFonts w:ascii="宋体" w:cs="宋体"/>
          <w:szCs w:val="21"/>
          <w:highlight w:val="none"/>
        </w:rPr>
      </w:pPr>
    </w:p>
    <w:p w14:paraId="733E764C">
      <w:pPr>
        <w:jc w:val="center"/>
        <w:rPr>
          <w:rFonts w:hint="eastAsia" w:ascii="宋体" w:hAnsi="宋体" w:eastAsia="宋体" w:cs="宋体"/>
          <w:b/>
          <w:sz w:val="21"/>
          <w:szCs w:val="21"/>
          <w:highlight w:val="none"/>
        </w:rPr>
      </w:pPr>
    </w:p>
    <w:p w14:paraId="22AA7A9F">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委托代理人身份证扫描件</w:t>
      </w:r>
    </w:p>
    <w:tbl>
      <w:tblPr>
        <w:tblStyle w:val="40"/>
        <w:tblpPr w:leftFromText="180" w:rightFromText="180" w:vertAnchor="text" w:horzAnchor="margin" w:tblpXSpec="center" w:tblpY="4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3"/>
      </w:tblGrid>
      <w:tr w14:paraId="0E236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2" w:hRule="atLeast"/>
        </w:trPr>
        <w:tc>
          <w:tcPr>
            <w:tcW w:w="7043" w:type="dxa"/>
            <w:tcBorders>
              <w:top w:val="single" w:color="auto" w:sz="4" w:space="0"/>
              <w:left w:val="single" w:color="auto" w:sz="4" w:space="0"/>
              <w:bottom w:val="single" w:color="auto" w:sz="4" w:space="0"/>
              <w:right w:val="single" w:color="auto" w:sz="4" w:space="0"/>
            </w:tcBorders>
            <w:noWrap w:val="0"/>
            <w:vAlign w:val="top"/>
          </w:tcPr>
          <w:p w14:paraId="1ED2C48A">
            <w:pPr>
              <w:rPr>
                <w:rFonts w:hint="eastAsia" w:ascii="宋体" w:hAnsi="宋体" w:eastAsia="宋体" w:cs="宋体"/>
                <w:sz w:val="21"/>
                <w:szCs w:val="21"/>
                <w:highlight w:val="none"/>
              </w:rPr>
            </w:pPr>
          </w:p>
          <w:p w14:paraId="1E98646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二代身份证的正、反两面扫描件</w:t>
            </w:r>
          </w:p>
          <w:p w14:paraId="44B604C5">
            <w:pPr>
              <w:ind w:left="0" w:leftChars="0" w:firstLine="0" w:firstLineChars="0"/>
              <w:rPr>
                <w:rFonts w:hint="eastAsia" w:ascii="宋体" w:hAnsi="宋体" w:eastAsia="宋体" w:cs="宋体"/>
                <w:sz w:val="21"/>
                <w:szCs w:val="21"/>
                <w:highlight w:val="none"/>
              </w:rPr>
            </w:pPr>
          </w:p>
        </w:tc>
      </w:tr>
    </w:tbl>
    <w:p w14:paraId="280D48FE">
      <w:pPr>
        <w:keepNext/>
        <w:keepLines/>
        <w:spacing w:before="260" w:after="260" w:line="412" w:lineRule="auto"/>
        <w:jc w:val="center"/>
        <w:outlineLvl w:val="1"/>
        <w:rPr>
          <w:rFonts w:ascii="宋体" w:hAnsi="宋体"/>
          <w:b/>
          <w:sz w:val="32"/>
          <w:szCs w:val="20"/>
        </w:rPr>
      </w:pPr>
      <w:r>
        <w:rPr>
          <w:rFonts w:ascii="宋体"/>
          <w:b/>
          <w:bCs/>
          <w:sz w:val="32"/>
          <w:szCs w:val="32"/>
          <w:highlight w:val="none"/>
        </w:rPr>
        <w:br w:type="page"/>
      </w:r>
      <w:r>
        <w:rPr>
          <w:rFonts w:ascii="宋体" w:hAnsi="宋体"/>
          <w:b/>
          <w:sz w:val="32"/>
          <w:szCs w:val="20"/>
        </w:rPr>
        <w:t>三、联合体协议书</w:t>
      </w:r>
      <w:bookmarkEnd w:id="466"/>
      <w:bookmarkEnd w:id="467"/>
      <w:bookmarkEnd w:id="468"/>
      <w:bookmarkEnd w:id="469"/>
      <w:bookmarkEnd w:id="470"/>
      <w:bookmarkEnd w:id="471"/>
      <w:bookmarkEnd w:id="472"/>
      <w:bookmarkEnd w:id="473"/>
      <w:bookmarkEnd w:id="474"/>
      <w:bookmarkEnd w:id="475"/>
      <w:bookmarkEnd w:id="476"/>
      <w:bookmarkEnd w:id="477"/>
      <w:bookmarkEnd w:id="478"/>
    </w:p>
    <w:p w14:paraId="620AF3DB">
      <w:pPr>
        <w:jc w:val="center"/>
        <w:rPr>
          <w:rFonts w:ascii="宋体" w:hAnsi="宋体"/>
        </w:rPr>
      </w:pPr>
      <w:r>
        <w:rPr>
          <w:rFonts w:ascii="宋体" w:hAnsi="宋体"/>
        </w:rPr>
        <w:t>（适用于供应商组成联合体的情况，若</w:t>
      </w:r>
      <w:r>
        <w:rPr>
          <w:rFonts w:hint="eastAsia" w:ascii="宋体" w:hAnsi="宋体"/>
        </w:rPr>
        <w:t>无需组成联合体</w:t>
      </w:r>
      <w:r>
        <w:rPr>
          <w:rFonts w:ascii="宋体" w:hAnsi="宋体"/>
        </w:rPr>
        <w:t>，空置此页即可）</w:t>
      </w:r>
    </w:p>
    <w:p w14:paraId="2980705B">
      <w:pPr>
        <w:jc w:val="center"/>
        <w:rPr>
          <w:rFonts w:ascii="宋体" w:hAnsi="宋体"/>
        </w:rPr>
      </w:pPr>
    </w:p>
    <w:p w14:paraId="7A605060">
      <w:pPr>
        <w:topLinePunct/>
        <w:spacing w:line="440" w:lineRule="exact"/>
        <w:ind w:firstLine="420"/>
        <w:rPr>
          <w:rFonts w:ascii="宋体" w:hAnsi="宋体"/>
        </w:rPr>
      </w:pPr>
      <w:r>
        <w:rPr>
          <w:rFonts w:ascii="宋体" w:hAnsi="宋体"/>
          <w:u w:val="single"/>
        </w:rPr>
        <w:t xml:space="preserve">                </w:t>
      </w:r>
      <w:r>
        <w:rPr>
          <w:rFonts w:ascii="宋体" w:hAnsi="宋体"/>
        </w:rPr>
        <w:t>（所有成员单位名称）自愿组成</w:t>
      </w:r>
      <w:r>
        <w:rPr>
          <w:rFonts w:ascii="宋体" w:hAnsi="宋体"/>
          <w:u w:val="single"/>
        </w:rPr>
        <w:t xml:space="preserve">        </w:t>
      </w:r>
      <w:r>
        <w:rPr>
          <w:rFonts w:ascii="宋体" w:hAnsi="宋体"/>
        </w:rPr>
        <w:t>（联合体名称）联合体，共同参加</w:t>
      </w:r>
      <w:r>
        <w:rPr>
          <w:rFonts w:ascii="宋体" w:hAnsi="宋体"/>
          <w:u w:val="single"/>
        </w:rPr>
        <w:t xml:space="preserve">              </w:t>
      </w:r>
      <w:r>
        <w:rPr>
          <w:rFonts w:ascii="宋体" w:hAnsi="宋体"/>
        </w:rPr>
        <w:t>（项目名称）框架协议活动</w:t>
      </w:r>
      <w:r>
        <w:rPr>
          <w:rFonts w:ascii="宋体" w:hAnsi="宋体"/>
          <w:szCs w:val="21"/>
        </w:rPr>
        <w:t>。现就组成联</w:t>
      </w:r>
      <w:r>
        <w:rPr>
          <w:rFonts w:ascii="宋体" w:hAnsi="宋体"/>
        </w:rPr>
        <w:t>合体事宜订立如下协议。</w:t>
      </w:r>
    </w:p>
    <w:p w14:paraId="26C469EC">
      <w:pPr>
        <w:topLinePunct/>
        <w:spacing w:line="440" w:lineRule="exact"/>
        <w:ind w:firstLine="420"/>
        <w:rPr>
          <w:rFonts w:ascii="宋体" w:hAnsi="宋体"/>
        </w:rPr>
      </w:pPr>
      <w:r>
        <w:t>1</w:t>
      </w:r>
      <w:r>
        <w:rPr>
          <w:rFonts w:ascii="宋体" w:hAnsi="宋体"/>
        </w:rPr>
        <w:t xml:space="preserve">. </w:t>
      </w:r>
      <w:r>
        <w:rPr>
          <w:rFonts w:ascii="宋体" w:hAnsi="宋体"/>
          <w:u w:val="single"/>
        </w:rPr>
        <w:t xml:space="preserve">                  </w:t>
      </w:r>
      <w:r>
        <w:rPr>
          <w:rFonts w:ascii="宋体" w:hAnsi="宋体"/>
        </w:rPr>
        <w:t>（某成员单位名称）为</w:t>
      </w:r>
      <w:r>
        <w:rPr>
          <w:rFonts w:ascii="宋体" w:hAnsi="宋体"/>
          <w:u w:val="single"/>
        </w:rPr>
        <w:t xml:space="preserve">        </w:t>
      </w:r>
      <w:r>
        <w:rPr>
          <w:rFonts w:ascii="宋体" w:hAnsi="宋体"/>
        </w:rPr>
        <w:t>（联合体名称）牵头人。</w:t>
      </w:r>
    </w:p>
    <w:p w14:paraId="48DF16A4">
      <w:pPr>
        <w:topLinePunct/>
        <w:spacing w:line="440" w:lineRule="exact"/>
        <w:ind w:firstLine="420"/>
        <w:rPr>
          <w:rFonts w:ascii="宋体" w:hAnsi="宋体"/>
        </w:rPr>
      </w:pPr>
      <w:r>
        <w:t>2</w:t>
      </w:r>
      <w:r>
        <w:rPr>
          <w:rFonts w:ascii="宋体" w:hAnsi="宋体"/>
        </w:rPr>
        <w:t>. 联合体各成员授权牵头人代表联合体参加框架协议采购活动，签署文件，递交和接收相</w:t>
      </w:r>
      <w:bookmarkStart w:id="487" w:name="_Toc144974859"/>
      <w:bookmarkStart w:id="488" w:name="_Toc247514249"/>
      <w:bookmarkStart w:id="489" w:name="_Toc152042579"/>
      <w:bookmarkStart w:id="490" w:name="_Toc152045790"/>
      <w:bookmarkStart w:id="491" w:name="_Toc384308378"/>
      <w:bookmarkStart w:id="492" w:name="_Toc300835212"/>
      <w:bookmarkStart w:id="493" w:name="_Toc247527830"/>
      <w:bookmarkStart w:id="494" w:name="_Toc361508755"/>
      <w:r>
        <w:rPr>
          <w:rFonts w:ascii="宋体" w:hAnsi="宋体"/>
        </w:rPr>
        <w:t>关的</w:t>
      </w:r>
      <w:bookmarkStart w:id="495" w:name="_Toc369531700"/>
      <w:bookmarkStart w:id="496" w:name="_Toc352691664"/>
      <w:bookmarkStart w:id="497" w:name="_Toc7749"/>
      <w:r>
        <w:rPr>
          <w:rFonts w:ascii="宋体" w:hAnsi="宋体"/>
        </w:rPr>
        <w:t>资料、信息及</w:t>
      </w:r>
      <w:bookmarkEnd w:id="495"/>
      <w:bookmarkEnd w:id="496"/>
      <w:bookmarkEnd w:id="497"/>
      <w:r>
        <w:rPr>
          <w:rFonts w:ascii="宋体" w:hAnsi="宋体"/>
        </w:rPr>
        <w:t>指</w:t>
      </w:r>
      <w:bookmarkEnd w:id="487"/>
      <w:bookmarkEnd w:id="488"/>
      <w:bookmarkEnd w:id="489"/>
      <w:bookmarkEnd w:id="490"/>
      <w:bookmarkEnd w:id="491"/>
      <w:bookmarkEnd w:id="492"/>
      <w:bookmarkEnd w:id="493"/>
      <w:bookmarkEnd w:id="494"/>
      <w:r>
        <w:rPr>
          <w:rFonts w:ascii="宋体" w:hAnsi="宋体"/>
        </w:rPr>
        <w:t>示，进行合同谈判活动，负责合同实施阶段的组织和协调工作，以及处理与本采购项目有关的一切事宜。</w:t>
      </w:r>
    </w:p>
    <w:p w14:paraId="0FBC89CC">
      <w:pPr>
        <w:topLinePunct/>
        <w:spacing w:line="440" w:lineRule="exact"/>
        <w:ind w:firstLine="420"/>
        <w:rPr>
          <w:rFonts w:ascii="宋体" w:hAnsi="宋体"/>
        </w:rPr>
      </w:pPr>
      <w:r>
        <w:t>3</w:t>
      </w:r>
      <w:bookmarkStart w:id="498" w:name="_Toc247527831"/>
      <w:bookmarkStart w:id="499" w:name="_Toc247514283"/>
      <w:bookmarkStart w:id="500" w:name="_Toc352691665"/>
      <w:bookmarkStart w:id="501" w:name="_Toc384308380"/>
      <w:bookmarkStart w:id="502" w:name="_Toc152042580"/>
      <w:bookmarkStart w:id="503" w:name="_Toc361508756"/>
      <w:bookmarkStart w:id="504" w:name="_Toc152045791"/>
      <w:bookmarkStart w:id="505" w:name="_Toc27930"/>
      <w:bookmarkStart w:id="506" w:name="_Toc369531701"/>
      <w:bookmarkStart w:id="507" w:name="_Toc144974860"/>
      <w:bookmarkStart w:id="508" w:name="_Toc300835213"/>
      <w:r>
        <w:rPr>
          <w:rFonts w:ascii="宋体" w:hAnsi="宋体"/>
        </w:rPr>
        <w:t>. 联合体牵头人在本项目中签署的一切文件和处理</w:t>
      </w:r>
      <w:bookmarkEnd w:id="498"/>
      <w:bookmarkEnd w:id="499"/>
      <w:bookmarkEnd w:id="500"/>
      <w:bookmarkEnd w:id="501"/>
      <w:bookmarkEnd w:id="502"/>
      <w:bookmarkEnd w:id="503"/>
      <w:bookmarkEnd w:id="504"/>
      <w:bookmarkEnd w:id="505"/>
      <w:bookmarkEnd w:id="506"/>
      <w:bookmarkEnd w:id="507"/>
      <w:bookmarkEnd w:id="508"/>
      <w:r>
        <w:rPr>
          <w:rFonts w:ascii="宋体" w:hAnsi="宋体"/>
        </w:rPr>
        <w:t>的一切事宜，联合体各成员均予以承认。联合体各成员将严格按照采购文件、响应文件和合同的要求全面履行义务，并向采购人承担连带责任。</w:t>
      </w:r>
    </w:p>
    <w:p w14:paraId="3F586B19">
      <w:pPr>
        <w:topLinePunct/>
        <w:spacing w:line="440" w:lineRule="exact"/>
        <w:ind w:firstLine="420"/>
        <w:rPr>
          <w:rFonts w:ascii="宋体" w:hAnsi="宋体"/>
        </w:rPr>
      </w:pPr>
      <w:r>
        <w:t>4</w:t>
      </w:r>
      <w:r>
        <w:rPr>
          <w:rFonts w:ascii="宋体" w:hAnsi="宋体"/>
        </w:rPr>
        <w:t>.联合体各方承诺不以自己名义单独或参加其他联合体参与本框架协议采购项目。</w:t>
      </w:r>
    </w:p>
    <w:p w14:paraId="77E3F0F3">
      <w:pPr>
        <w:topLinePunct/>
        <w:spacing w:line="440" w:lineRule="exact"/>
        <w:ind w:firstLine="420"/>
        <w:jc w:val="left"/>
        <w:rPr>
          <w:rFonts w:ascii="宋体" w:hAnsi="宋体"/>
        </w:rPr>
      </w:pPr>
      <w:r>
        <w:t>5</w:t>
      </w:r>
      <w:r>
        <w:rPr>
          <w:rFonts w:ascii="宋体" w:hAnsi="宋体"/>
        </w:rPr>
        <w:t>. 联合体各成员单位内部的职责分工如下：</w:t>
      </w:r>
      <w:r>
        <w:rPr>
          <w:rFonts w:ascii="宋体" w:hAnsi="宋体"/>
          <w:u w:val="single"/>
        </w:rPr>
        <w:t xml:space="preserve">                                  </w:t>
      </w:r>
      <w:r>
        <w:rPr>
          <w:rFonts w:ascii="宋体" w:hAnsi="宋体"/>
        </w:rPr>
        <w:t>。</w:t>
      </w:r>
    </w:p>
    <w:p w14:paraId="582B4EFD">
      <w:pPr>
        <w:topLinePunct/>
        <w:spacing w:line="440" w:lineRule="exact"/>
        <w:ind w:firstLine="420"/>
        <w:rPr>
          <w:rFonts w:ascii="宋体" w:hAnsi="宋体"/>
        </w:rPr>
      </w:pPr>
      <w:r>
        <w:t>6</w:t>
      </w:r>
      <w:r>
        <w:rPr>
          <w:rFonts w:ascii="宋体" w:hAnsi="宋体"/>
        </w:rPr>
        <w:t>. 本协议书自所有成员加盖单位章之日起生效，</w:t>
      </w:r>
      <w:r>
        <w:rPr>
          <w:rFonts w:ascii="宋体" w:hAnsi="宋体"/>
          <w:szCs w:val="21"/>
        </w:rPr>
        <w:t>合同履行完毕后自动失效</w:t>
      </w:r>
      <w:r>
        <w:rPr>
          <w:rFonts w:ascii="宋体" w:hAnsi="宋体"/>
        </w:rPr>
        <w:t>。</w:t>
      </w:r>
    </w:p>
    <w:p w14:paraId="081A85A0">
      <w:pPr>
        <w:topLinePunct/>
        <w:spacing w:line="440" w:lineRule="exact"/>
        <w:ind w:firstLine="420"/>
        <w:rPr>
          <w:rFonts w:ascii="宋体" w:hAnsi="宋体"/>
        </w:rPr>
      </w:pPr>
      <w:r>
        <w:t>7</w:t>
      </w:r>
      <w:r>
        <w:rPr>
          <w:rFonts w:ascii="宋体" w:hAnsi="宋体"/>
        </w:rPr>
        <w:t>. 本协议书一式</w:t>
      </w:r>
      <w:r>
        <w:rPr>
          <w:rFonts w:ascii="宋体" w:hAnsi="宋体"/>
          <w:u w:val="single"/>
        </w:rPr>
        <w:t xml:space="preserve">    </w:t>
      </w:r>
      <w:r>
        <w:rPr>
          <w:rFonts w:ascii="宋体" w:hAnsi="宋体"/>
        </w:rPr>
        <w:t>份，联合体成员和采购人各执一份。</w:t>
      </w:r>
    </w:p>
    <w:p w14:paraId="0A6631A1">
      <w:pPr>
        <w:topLinePunct/>
        <w:spacing w:line="440" w:lineRule="exact"/>
        <w:rPr>
          <w:rFonts w:ascii="宋体" w:hAnsi="宋体"/>
        </w:rPr>
      </w:pPr>
    </w:p>
    <w:p w14:paraId="4BFEEAC9">
      <w:pPr>
        <w:topLinePunct/>
        <w:spacing w:line="440" w:lineRule="exact"/>
        <w:ind w:firstLine="2408" w:firstLineChars="1147"/>
        <w:rPr>
          <w:rFonts w:ascii="宋体" w:hAnsi="宋体"/>
        </w:rPr>
      </w:pPr>
      <w:r>
        <w:rPr>
          <w:rFonts w:ascii="宋体" w:hAnsi="宋体"/>
        </w:rPr>
        <w:t>联合体牵头人名称：</w:t>
      </w:r>
      <w:r>
        <w:rPr>
          <w:rFonts w:ascii="宋体" w:hAnsi="宋体"/>
          <w:szCs w:val="21"/>
          <w:u w:val="single"/>
        </w:rPr>
        <w:tab/>
      </w:r>
      <w:r>
        <w:rPr>
          <w:rFonts w:ascii="宋体" w:hAnsi="宋体"/>
          <w:szCs w:val="21"/>
          <w:u w:val="single"/>
        </w:rPr>
        <w:t xml:space="preserve">  </w:t>
      </w:r>
      <w:r>
        <w:rPr>
          <w:rFonts w:ascii="宋体" w:hAnsi="宋体"/>
          <w:szCs w:val="21"/>
          <w:u w:val="single"/>
        </w:rPr>
        <w:tab/>
      </w:r>
      <w:r>
        <w:rPr>
          <w:rFonts w:ascii="宋体" w:hAnsi="宋体"/>
          <w:szCs w:val="21"/>
          <w:u w:val="single"/>
        </w:rPr>
        <w:tab/>
      </w:r>
      <w:r>
        <w:rPr>
          <w:rFonts w:ascii="宋体" w:hAnsi="宋体"/>
          <w:szCs w:val="21"/>
          <w:u w:val="single"/>
        </w:rPr>
        <w:t xml:space="preserve">            </w:t>
      </w:r>
      <w:r>
        <w:rPr>
          <w:rFonts w:ascii="宋体" w:hAnsi="宋体"/>
          <w:szCs w:val="21"/>
          <w:u w:val="single"/>
        </w:rPr>
        <w:tab/>
      </w:r>
      <w:r>
        <w:rPr>
          <w:rFonts w:ascii="宋体" w:hAnsi="宋体"/>
        </w:rPr>
        <w:t>（盖单位章）</w:t>
      </w:r>
    </w:p>
    <w:p w14:paraId="6D318CE3">
      <w:pPr>
        <w:topLinePunct/>
        <w:spacing w:line="440" w:lineRule="exact"/>
        <w:ind w:firstLine="2408" w:firstLineChars="1147"/>
        <w:jc w:val="left"/>
        <w:rPr>
          <w:rFonts w:ascii="宋体" w:hAnsi="宋体"/>
        </w:rPr>
      </w:pPr>
    </w:p>
    <w:p w14:paraId="1F4E35C0">
      <w:pPr>
        <w:topLinePunct/>
        <w:spacing w:line="440" w:lineRule="exact"/>
        <w:ind w:firstLine="2408" w:firstLineChars="1147"/>
        <w:jc w:val="left"/>
        <w:rPr>
          <w:rFonts w:ascii="宋体" w:hAnsi="宋体"/>
        </w:rPr>
      </w:pPr>
      <w:r>
        <w:rPr>
          <w:rFonts w:ascii="宋体" w:hAnsi="宋体"/>
        </w:rPr>
        <w:t>联合体成员名称：</w:t>
      </w:r>
      <w:r>
        <w:rPr>
          <w:rFonts w:ascii="宋体" w:hAnsi="宋体"/>
          <w:szCs w:val="21"/>
          <w:u w:val="single"/>
        </w:rPr>
        <w:t xml:space="preserve">                          </w:t>
      </w:r>
      <w:r>
        <w:rPr>
          <w:rFonts w:ascii="宋体" w:hAnsi="宋体"/>
          <w:szCs w:val="21"/>
          <w:u w:val="single"/>
        </w:rPr>
        <w:tab/>
      </w:r>
      <w:r>
        <w:rPr>
          <w:rFonts w:ascii="宋体" w:hAnsi="宋体"/>
        </w:rPr>
        <w:t>（盖单位章）</w:t>
      </w:r>
    </w:p>
    <w:p w14:paraId="141F8ED0">
      <w:pPr>
        <w:topLinePunct/>
        <w:spacing w:line="440" w:lineRule="exact"/>
        <w:ind w:firstLine="2408" w:firstLineChars="1147"/>
        <w:jc w:val="left"/>
        <w:rPr>
          <w:rFonts w:ascii="宋体" w:hAnsi="宋体"/>
        </w:rPr>
      </w:pPr>
    </w:p>
    <w:p w14:paraId="7BF9C003">
      <w:pPr>
        <w:topLinePunct/>
        <w:spacing w:line="440" w:lineRule="exact"/>
        <w:ind w:firstLine="2408" w:firstLineChars="1147"/>
        <w:jc w:val="left"/>
        <w:rPr>
          <w:rFonts w:ascii="宋体" w:hAnsi="宋体"/>
        </w:rPr>
      </w:pPr>
      <w:r>
        <w:rPr>
          <w:rFonts w:ascii="宋体" w:hAnsi="宋体"/>
        </w:rPr>
        <w:t>联合体成员名称：</w:t>
      </w:r>
      <w:r>
        <w:rPr>
          <w:rFonts w:ascii="宋体" w:hAnsi="宋体"/>
          <w:szCs w:val="21"/>
          <w:u w:val="single"/>
        </w:rPr>
        <w:t xml:space="preserve">                          </w:t>
      </w:r>
      <w:r>
        <w:rPr>
          <w:rFonts w:ascii="宋体" w:hAnsi="宋体"/>
          <w:szCs w:val="21"/>
          <w:u w:val="single"/>
        </w:rPr>
        <w:tab/>
      </w:r>
      <w:r>
        <w:rPr>
          <w:rFonts w:ascii="宋体" w:hAnsi="宋体"/>
        </w:rPr>
        <w:t>（盖单位章）</w:t>
      </w:r>
    </w:p>
    <w:p w14:paraId="334C4638">
      <w:pPr>
        <w:topLinePunct/>
        <w:spacing w:line="440" w:lineRule="exact"/>
        <w:ind w:firstLine="2408" w:firstLineChars="1147"/>
        <w:rPr>
          <w:rFonts w:ascii="宋体" w:hAnsi="宋体"/>
        </w:rPr>
      </w:pPr>
      <w:r>
        <w:rPr>
          <w:rFonts w:ascii="宋体" w:hAnsi="宋体"/>
        </w:rPr>
        <w:t xml:space="preserve">…… </w:t>
      </w:r>
    </w:p>
    <w:p w14:paraId="5CADD77A">
      <w:pPr>
        <w:topLinePunct/>
        <w:spacing w:line="440" w:lineRule="exact"/>
        <w:ind w:firstLine="3700" w:firstLineChars="1762"/>
        <w:rPr>
          <w:rFonts w:ascii="宋体" w:hAnsi="宋体"/>
        </w:rPr>
      </w:pPr>
      <w:r>
        <w:rPr>
          <w:rFonts w:ascii="宋体" w:hAnsi="宋体"/>
          <w:u w:val="single"/>
        </w:rPr>
        <w:t xml:space="preserve">       </w:t>
      </w:r>
      <w:r>
        <w:rPr>
          <w:rFonts w:ascii="宋体" w:hAnsi="宋体"/>
        </w:rPr>
        <w:t>年</w:t>
      </w:r>
      <w:r>
        <w:rPr>
          <w:rFonts w:ascii="宋体" w:hAnsi="宋体"/>
          <w:u w:val="single"/>
        </w:rPr>
        <w:t xml:space="preserve">       </w:t>
      </w:r>
      <w:r>
        <w:rPr>
          <w:rFonts w:ascii="宋体" w:hAnsi="宋体"/>
        </w:rPr>
        <w:t>月</w:t>
      </w:r>
      <w:r>
        <w:rPr>
          <w:rFonts w:ascii="宋体" w:hAnsi="宋体"/>
          <w:u w:val="single"/>
        </w:rPr>
        <w:t xml:space="preserve">       </w:t>
      </w:r>
      <w:r>
        <w:rPr>
          <w:rFonts w:ascii="宋体" w:hAnsi="宋体"/>
        </w:rPr>
        <w:t>日</w:t>
      </w:r>
      <w:r>
        <w:rPr>
          <w:rFonts w:ascii="宋体" w:hAnsi="宋体"/>
        </w:rPr>
        <w:br w:type="page"/>
      </w:r>
    </w:p>
    <w:p w14:paraId="1B6C1734">
      <w:pPr>
        <w:keepNext/>
        <w:keepLines/>
        <w:spacing w:before="260" w:after="260" w:line="412" w:lineRule="auto"/>
        <w:jc w:val="center"/>
        <w:outlineLvl w:val="1"/>
        <w:rPr>
          <w:rFonts w:ascii="宋体" w:hAnsi="宋体"/>
          <w:b/>
          <w:sz w:val="32"/>
          <w:szCs w:val="20"/>
        </w:rPr>
      </w:pPr>
      <w:bookmarkStart w:id="509" w:name="_Toc9475"/>
      <w:bookmarkStart w:id="510" w:name="_Toc118805551"/>
      <w:bookmarkStart w:id="511" w:name="_Toc137648477"/>
      <w:bookmarkStart w:id="512" w:name="_Toc626_WPSOffice_Level1"/>
      <w:bookmarkStart w:id="513" w:name="_Toc19097"/>
      <w:bookmarkStart w:id="514" w:name="_Toc26891"/>
      <w:bookmarkStart w:id="515" w:name="_Toc25626"/>
      <w:bookmarkStart w:id="516" w:name="_Toc118805928"/>
      <w:bookmarkStart w:id="517" w:name="_Toc118805174"/>
      <w:bookmarkStart w:id="518" w:name="_Toc118806299"/>
      <w:bookmarkStart w:id="519" w:name="_Toc149140274"/>
      <w:bookmarkStart w:id="520" w:name="_Toc13130"/>
      <w:bookmarkStart w:id="521" w:name="_Toc12179"/>
      <w:r>
        <w:rPr>
          <w:rFonts w:ascii="宋体" w:hAnsi="宋体"/>
          <w:b/>
          <w:sz w:val="32"/>
          <w:szCs w:val="20"/>
        </w:rPr>
        <w:t>四、响应保证金</w:t>
      </w:r>
      <w:bookmarkEnd w:id="509"/>
      <w:bookmarkEnd w:id="510"/>
      <w:bookmarkEnd w:id="511"/>
      <w:bookmarkEnd w:id="512"/>
      <w:bookmarkEnd w:id="513"/>
      <w:bookmarkEnd w:id="514"/>
      <w:bookmarkEnd w:id="515"/>
      <w:bookmarkEnd w:id="516"/>
      <w:bookmarkEnd w:id="517"/>
      <w:bookmarkEnd w:id="518"/>
      <w:bookmarkEnd w:id="519"/>
      <w:bookmarkEnd w:id="520"/>
      <w:bookmarkEnd w:id="521"/>
    </w:p>
    <w:p w14:paraId="06743D7E">
      <w:pPr>
        <w:jc w:val="center"/>
        <w:rPr>
          <w:rFonts w:ascii="宋体" w:hAnsi="宋体"/>
        </w:rPr>
      </w:pPr>
      <w:r>
        <w:rPr>
          <w:rFonts w:ascii="宋体" w:hAnsi="宋体"/>
        </w:rPr>
        <w:t>（适用于递交响应保证金的情况，若不需要递交保证金，空置此页即可）</w:t>
      </w:r>
    </w:p>
    <w:p w14:paraId="58707E49">
      <w:pPr>
        <w:jc w:val="center"/>
        <w:rPr>
          <w:rFonts w:ascii="宋体" w:hAnsi="宋体"/>
        </w:rPr>
      </w:pPr>
    </w:p>
    <w:p w14:paraId="39BE3623">
      <w:pPr>
        <w:spacing w:line="400" w:lineRule="exact"/>
        <w:rPr>
          <w:rFonts w:ascii="宋体" w:hAnsi="宋体"/>
          <w:szCs w:val="21"/>
        </w:rPr>
      </w:pPr>
      <w:r>
        <w:rPr>
          <w:szCs w:val="21"/>
        </w:rPr>
        <w:t>1</w:t>
      </w:r>
      <w:r>
        <w:rPr>
          <w:rFonts w:ascii="宋体" w:hAnsi="宋体"/>
          <w:szCs w:val="21"/>
        </w:rPr>
        <w:t>、采用现金转账或电汇方式的，供应商应在此提供转账凭证彩色扫描件。</w:t>
      </w:r>
    </w:p>
    <w:p w14:paraId="33545008">
      <w:pPr>
        <w:spacing w:line="440" w:lineRule="exact"/>
        <w:rPr>
          <w:rFonts w:ascii="宋体" w:hAnsi="宋体"/>
          <w:szCs w:val="21"/>
        </w:rPr>
      </w:pPr>
      <w:r>
        <w:rPr>
          <w:szCs w:val="21"/>
        </w:rPr>
        <w:t>2</w:t>
      </w:r>
      <w:r>
        <w:rPr>
          <w:rFonts w:ascii="宋体" w:hAnsi="宋体"/>
          <w:szCs w:val="21"/>
        </w:rPr>
        <w:t>、采用</w:t>
      </w:r>
      <w:r>
        <w:rPr>
          <w:rFonts w:hint="eastAsia" w:ascii="宋体" w:hAnsi="宋体"/>
          <w:szCs w:val="21"/>
        </w:rPr>
        <w:t>保险机构保证保险、</w:t>
      </w:r>
      <w:r>
        <w:rPr>
          <w:rFonts w:ascii="宋体" w:hAnsi="宋体"/>
          <w:szCs w:val="21"/>
        </w:rPr>
        <w:t>担保机构担保</w:t>
      </w:r>
      <w:r>
        <w:rPr>
          <w:rFonts w:hint="eastAsia" w:ascii="宋体" w:hAnsi="宋体"/>
          <w:szCs w:val="21"/>
        </w:rPr>
        <w:t>保</w:t>
      </w:r>
      <w:r>
        <w:rPr>
          <w:rFonts w:ascii="宋体" w:hAnsi="宋体"/>
          <w:szCs w:val="21"/>
        </w:rPr>
        <w:t>函方式的，格式如下：</w:t>
      </w:r>
    </w:p>
    <w:p w14:paraId="07A759B4">
      <w:pPr>
        <w:spacing w:line="440" w:lineRule="exact"/>
        <w:rPr>
          <w:rFonts w:ascii="宋体" w:hAnsi="宋体"/>
          <w:sz w:val="24"/>
        </w:rPr>
      </w:pPr>
    </w:p>
    <w:p w14:paraId="54DE62F0">
      <w:pPr>
        <w:spacing w:line="440" w:lineRule="exact"/>
        <w:rPr>
          <w:rFonts w:ascii="宋体" w:hAnsi="宋体"/>
        </w:rPr>
      </w:pPr>
      <w:r>
        <w:rPr>
          <w:rFonts w:ascii="宋体" w:hAnsi="宋体"/>
          <w:szCs w:val="21"/>
          <w:u w:val="single"/>
        </w:rPr>
        <w:tab/>
      </w:r>
      <w:r>
        <w:rPr>
          <w:rFonts w:ascii="宋体" w:hAnsi="宋体"/>
          <w:szCs w:val="21"/>
          <w:u w:val="single"/>
        </w:rPr>
        <w:t xml:space="preserve">          </w:t>
      </w:r>
      <w:r>
        <w:rPr>
          <w:rFonts w:ascii="宋体" w:hAnsi="宋体"/>
          <w:szCs w:val="21"/>
          <w:u w:val="single"/>
        </w:rPr>
        <w:tab/>
      </w:r>
      <w:r>
        <w:rPr>
          <w:rFonts w:ascii="宋体" w:hAnsi="宋体"/>
        </w:rPr>
        <w:t>（采购人名称）</w:t>
      </w:r>
      <w:r>
        <w:rPr>
          <w:rFonts w:ascii="宋体" w:hAnsi="宋体"/>
          <w:szCs w:val="21"/>
        </w:rPr>
        <w:t>：</w:t>
      </w:r>
    </w:p>
    <w:p w14:paraId="0C2B68AE">
      <w:pPr>
        <w:spacing w:line="440" w:lineRule="exact"/>
        <w:rPr>
          <w:rFonts w:ascii="宋体" w:hAnsi="宋体"/>
          <w:szCs w:val="21"/>
        </w:rPr>
      </w:pPr>
    </w:p>
    <w:p w14:paraId="45302CF8">
      <w:pPr>
        <w:spacing w:line="400" w:lineRule="exact"/>
        <w:ind w:firstLine="315" w:firstLineChars="150"/>
        <w:rPr>
          <w:rFonts w:ascii="宋体" w:hAnsi="宋体"/>
          <w:szCs w:val="21"/>
        </w:rPr>
      </w:pPr>
      <w:r>
        <w:rPr>
          <w:rFonts w:ascii="宋体" w:hAnsi="宋体"/>
        </w:rPr>
        <w:t>鉴于</w:t>
      </w:r>
      <w:r>
        <w:rPr>
          <w:rFonts w:ascii="宋体" w:hAnsi="宋体"/>
          <w:u w:val="single"/>
        </w:rPr>
        <w:t xml:space="preserve">               </w:t>
      </w:r>
      <w:r>
        <w:rPr>
          <w:rFonts w:ascii="宋体" w:hAnsi="宋体"/>
          <w:szCs w:val="21"/>
        </w:rPr>
        <w:t>（供应商名称）（以下</w:t>
      </w:r>
      <w:r>
        <w:rPr>
          <w:rFonts w:ascii="宋体" w:hAnsi="宋体"/>
        </w:rPr>
        <w:t>称“供应商”）于</w:t>
      </w:r>
      <w:r>
        <w:rPr>
          <w:rFonts w:ascii="宋体" w:hAnsi="宋体"/>
          <w:u w:val="single"/>
        </w:rPr>
        <w:t xml:space="preserve">       </w:t>
      </w:r>
      <w:r>
        <w:rPr>
          <w:rFonts w:ascii="宋体" w:hAnsi="宋体"/>
          <w:szCs w:val="21"/>
        </w:rPr>
        <w:t>年</w:t>
      </w:r>
      <w:r>
        <w:rPr>
          <w:rFonts w:ascii="宋体" w:hAnsi="宋体"/>
          <w:u w:val="single"/>
        </w:rPr>
        <w:t xml:space="preserve">       </w:t>
      </w:r>
      <w:r>
        <w:rPr>
          <w:rFonts w:ascii="宋体" w:hAnsi="宋体"/>
          <w:szCs w:val="21"/>
        </w:rPr>
        <w:t>月</w:t>
      </w:r>
      <w:r>
        <w:rPr>
          <w:rFonts w:ascii="宋体" w:hAnsi="宋体"/>
          <w:u w:val="single"/>
        </w:rPr>
        <w:t xml:space="preserve">        </w:t>
      </w:r>
      <w:r>
        <w:rPr>
          <w:rFonts w:ascii="宋体" w:hAnsi="宋体"/>
          <w:szCs w:val="21"/>
        </w:rPr>
        <w:t>日参加</w:t>
      </w:r>
      <w:r>
        <w:rPr>
          <w:rFonts w:ascii="宋体" w:hAnsi="宋体"/>
          <w:u w:val="single"/>
        </w:rPr>
        <w:t xml:space="preserve">                 </w:t>
      </w:r>
      <w:r>
        <w:rPr>
          <w:rFonts w:ascii="宋体" w:hAnsi="宋体"/>
        </w:rPr>
        <w:t>（项目名称）框架协议采购活动</w:t>
      </w:r>
      <w:r>
        <w:rPr>
          <w:rFonts w:ascii="宋体" w:hAnsi="宋体"/>
          <w:szCs w:val="21"/>
        </w:rPr>
        <w:t>，</w:t>
      </w:r>
      <w:r>
        <w:rPr>
          <w:rFonts w:ascii="宋体" w:hAnsi="宋体"/>
          <w:u w:val="single"/>
        </w:rPr>
        <w:t xml:space="preserve">          </w:t>
      </w:r>
      <w:r>
        <w:rPr>
          <w:rFonts w:ascii="宋体" w:hAnsi="宋体"/>
          <w:szCs w:val="21"/>
        </w:rPr>
        <w:t>（担保人名称，以下简称“我方”）无条件地、不可撤销地保证：若</w:t>
      </w:r>
      <w:r>
        <w:rPr>
          <w:rFonts w:ascii="宋体" w:hAnsi="宋体"/>
        </w:rPr>
        <w:t>供应商在响应文件有效期内</w:t>
      </w:r>
      <w:r>
        <w:rPr>
          <w:rFonts w:ascii="宋体" w:hAnsi="宋体"/>
          <w:szCs w:val="21"/>
        </w:rPr>
        <w:t>撤销响应文件，或成交后无正当理由不与采购人订立框架协议，或在签订框架协议时向采购人提出附加条件，或不按照采购文件要求递交履约保证金，或者</w:t>
      </w:r>
      <w:r>
        <w:rPr>
          <w:rFonts w:ascii="宋体" w:hAnsi="宋体"/>
        </w:rPr>
        <w:t>发生采购文件明确规定</w:t>
      </w:r>
      <w:r>
        <w:rPr>
          <w:rFonts w:ascii="宋体" w:hAnsi="宋体"/>
          <w:szCs w:val="21"/>
        </w:rPr>
        <w:t>不予退还</w:t>
      </w:r>
      <w:r>
        <w:rPr>
          <w:rFonts w:ascii="宋体" w:hAnsi="宋体"/>
        </w:rPr>
        <w:t>响应保证金的其他情形</w:t>
      </w:r>
      <w:r>
        <w:rPr>
          <w:rFonts w:ascii="宋体" w:hAnsi="宋体"/>
          <w:szCs w:val="21"/>
        </w:rPr>
        <w:t>，我方承担保证责任。收到你方书面通知后，我方在</w:t>
      </w:r>
      <w:r>
        <w:rPr>
          <w:szCs w:val="21"/>
        </w:rPr>
        <w:t>7</w:t>
      </w:r>
      <w:r>
        <w:rPr>
          <w:rFonts w:ascii="宋体" w:hAnsi="宋体"/>
          <w:szCs w:val="21"/>
        </w:rPr>
        <w:t>日内向你方无条件支付人民币（大写）</w:t>
      </w:r>
      <w:r>
        <w:rPr>
          <w:rFonts w:ascii="宋体" w:hAnsi="宋体"/>
          <w:u w:val="single"/>
        </w:rPr>
        <w:t xml:space="preserve">            </w:t>
      </w:r>
      <w:r>
        <w:rPr>
          <w:rFonts w:ascii="宋体" w:hAnsi="宋体"/>
          <w:szCs w:val="21"/>
        </w:rPr>
        <w:t>。</w:t>
      </w:r>
    </w:p>
    <w:p w14:paraId="7FDD1868">
      <w:pPr>
        <w:spacing w:line="440" w:lineRule="exact"/>
        <w:ind w:firstLine="420"/>
        <w:rPr>
          <w:rFonts w:ascii="宋体" w:hAnsi="宋体"/>
          <w:szCs w:val="21"/>
        </w:rPr>
      </w:pPr>
      <w:r>
        <w:rPr>
          <w:rFonts w:ascii="宋体" w:hAnsi="宋体"/>
          <w:szCs w:val="21"/>
        </w:rPr>
        <w:t>本保函在响应文件有效期内保持有效。要求我方承担保证责任的通知应在响应文件有效期内送达我方。</w:t>
      </w:r>
    </w:p>
    <w:p w14:paraId="30A3AC74">
      <w:pPr>
        <w:spacing w:line="440" w:lineRule="exact"/>
        <w:ind w:firstLine="420"/>
        <w:rPr>
          <w:rFonts w:ascii="宋体" w:hAnsi="宋体"/>
          <w:szCs w:val="21"/>
        </w:rPr>
      </w:pPr>
    </w:p>
    <w:p w14:paraId="7C3F6DFA">
      <w:pPr>
        <w:spacing w:line="440" w:lineRule="exact"/>
        <w:rPr>
          <w:rFonts w:ascii="宋体" w:hAnsi="宋体"/>
          <w:szCs w:val="21"/>
        </w:rPr>
      </w:pPr>
    </w:p>
    <w:p w14:paraId="43996749">
      <w:pPr>
        <w:spacing w:line="440" w:lineRule="exact"/>
        <w:ind w:firstLine="3208" w:firstLineChars="1528"/>
        <w:rPr>
          <w:rFonts w:ascii="宋体" w:hAnsi="宋体"/>
          <w:szCs w:val="21"/>
        </w:rPr>
      </w:pPr>
      <w:r>
        <w:rPr>
          <w:rFonts w:ascii="宋体" w:hAnsi="宋体"/>
          <w:szCs w:val="21"/>
        </w:rPr>
        <w:t>担保人名称：</w:t>
      </w:r>
      <w:r>
        <w:rPr>
          <w:rFonts w:ascii="宋体" w:hAnsi="宋体"/>
          <w:szCs w:val="21"/>
          <w:u w:val="single"/>
        </w:rPr>
        <w:t xml:space="preserve">             </w:t>
      </w:r>
      <w:r>
        <w:rPr>
          <w:rFonts w:ascii="宋体" w:hAnsi="宋体"/>
          <w:szCs w:val="21"/>
          <w:u w:val="single"/>
        </w:rPr>
        <w:tab/>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u w:val="single"/>
        </w:rPr>
        <w:tab/>
      </w:r>
      <w:r>
        <w:rPr>
          <w:rFonts w:ascii="宋体" w:hAnsi="宋体"/>
          <w:szCs w:val="21"/>
        </w:rPr>
        <w:t>（盖单位章）</w:t>
      </w:r>
    </w:p>
    <w:p w14:paraId="62C4EFDE">
      <w:pPr>
        <w:spacing w:line="440" w:lineRule="exact"/>
        <w:ind w:firstLine="3208" w:firstLineChars="1528"/>
        <w:rPr>
          <w:rFonts w:ascii="宋体" w:hAnsi="宋体"/>
          <w:szCs w:val="21"/>
        </w:rPr>
      </w:pPr>
      <w:r>
        <w:rPr>
          <w:rFonts w:ascii="宋体" w:hAnsi="宋体"/>
          <w:szCs w:val="21"/>
        </w:rPr>
        <w:t>地     址：</w:t>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 xml:space="preserve">                   </w:t>
      </w:r>
      <w:r>
        <w:rPr>
          <w:rFonts w:ascii="宋体" w:hAnsi="宋体"/>
          <w:szCs w:val="21"/>
          <w:u w:val="single"/>
        </w:rPr>
        <w:tab/>
      </w:r>
    </w:p>
    <w:p w14:paraId="16ED9407">
      <w:pPr>
        <w:spacing w:line="440" w:lineRule="exact"/>
        <w:ind w:firstLine="3208" w:firstLineChars="1528"/>
        <w:rPr>
          <w:rFonts w:ascii="宋体" w:hAnsi="宋体"/>
          <w:szCs w:val="21"/>
          <w:u w:val="single"/>
        </w:rPr>
      </w:pPr>
      <w:r>
        <w:rPr>
          <w:rFonts w:ascii="宋体" w:hAnsi="宋体"/>
          <w:szCs w:val="21"/>
        </w:rPr>
        <w:t>邮政编码：</w:t>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 xml:space="preserve">           </w:t>
      </w:r>
      <w:r>
        <w:rPr>
          <w:rFonts w:ascii="宋体" w:hAnsi="宋体"/>
          <w:szCs w:val="21"/>
          <w:u w:val="single"/>
        </w:rPr>
        <w:tab/>
      </w:r>
      <w:bookmarkStart w:id="522" w:name="_Toc22972"/>
      <w:bookmarkStart w:id="523" w:name="_Toc352691667"/>
      <w:bookmarkStart w:id="524" w:name="_Toc369531703"/>
      <w:bookmarkStart w:id="525" w:name="_Toc384308382"/>
      <w:bookmarkStart w:id="526" w:name="_Toc361508758"/>
      <w:r>
        <w:rPr>
          <w:rFonts w:ascii="宋体" w:hAnsi="宋体"/>
          <w:szCs w:val="21"/>
          <w:u w:val="single"/>
        </w:rPr>
        <w:tab/>
      </w:r>
    </w:p>
    <w:p w14:paraId="6EAF3F4D">
      <w:pPr>
        <w:spacing w:line="440" w:lineRule="exact"/>
        <w:ind w:firstLine="3208" w:firstLineChars="1528"/>
        <w:rPr>
          <w:rFonts w:ascii="宋体" w:hAnsi="宋体"/>
          <w:szCs w:val="21"/>
        </w:rPr>
      </w:pPr>
      <w:r>
        <w:rPr>
          <w:rFonts w:ascii="宋体" w:hAnsi="宋体"/>
          <w:szCs w:val="21"/>
        </w:rPr>
        <w:t>电</w:t>
      </w:r>
      <w:bookmarkEnd w:id="522"/>
      <w:bookmarkEnd w:id="523"/>
      <w:bookmarkEnd w:id="524"/>
      <w:bookmarkEnd w:id="525"/>
      <w:bookmarkEnd w:id="526"/>
      <w:r>
        <w:rPr>
          <w:rFonts w:ascii="宋体" w:hAnsi="宋体"/>
          <w:szCs w:val="21"/>
        </w:rPr>
        <w:t xml:space="preserve">     话：</w:t>
      </w:r>
      <w:r>
        <w:rPr>
          <w:rFonts w:ascii="宋体" w:hAnsi="宋体"/>
          <w:szCs w:val="21"/>
          <w:u w:val="single"/>
        </w:rPr>
        <w:t xml:space="preserve">          </w:t>
      </w:r>
      <w:r>
        <w:rPr>
          <w:rFonts w:ascii="宋体" w:hAnsi="宋体"/>
          <w:szCs w:val="21"/>
          <w:u w:val="single"/>
        </w:rPr>
        <w:tab/>
      </w:r>
      <w:r>
        <w:rPr>
          <w:rFonts w:ascii="宋体" w:hAnsi="宋体"/>
          <w:szCs w:val="21"/>
          <w:u w:val="single"/>
        </w:rPr>
        <w:t xml:space="preserve">                       </w:t>
      </w:r>
      <w:r>
        <w:rPr>
          <w:rFonts w:ascii="宋体" w:hAnsi="宋体"/>
          <w:szCs w:val="21"/>
          <w:u w:val="single"/>
        </w:rPr>
        <w:tab/>
      </w:r>
    </w:p>
    <w:p w14:paraId="48787DB3">
      <w:pPr>
        <w:spacing w:line="440" w:lineRule="exact"/>
        <w:ind w:firstLine="3523" w:firstLineChars="1678"/>
        <w:jc w:val="right"/>
        <w:rPr>
          <w:rFonts w:ascii="宋体" w:hAnsi="宋体"/>
          <w:u w:val="single"/>
        </w:rPr>
      </w:pPr>
    </w:p>
    <w:p w14:paraId="0D35B885">
      <w:pPr>
        <w:topLinePunct/>
        <w:spacing w:line="440" w:lineRule="exact"/>
        <w:ind w:firstLine="4435" w:firstLineChars="2112"/>
        <w:jc w:val="right"/>
        <w:rPr>
          <w:rFonts w:ascii="宋体" w:hAnsi="宋体"/>
        </w:rPr>
      </w:pPr>
      <w:r>
        <w:rPr>
          <w:rFonts w:ascii="宋体" w:hAnsi="宋体"/>
          <w:u w:val="single"/>
        </w:rPr>
        <w:t xml:space="preserve">        </w:t>
      </w:r>
      <w:r>
        <w:rPr>
          <w:rFonts w:ascii="宋体" w:hAnsi="宋体"/>
        </w:rPr>
        <w:t>年</w:t>
      </w:r>
      <w:r>
        <w:rPr>
          <w:rFonts w:ascii="宋体" w:hAnsi="宋体"/>
          <w:u w:val="single"/>
        </w:rPr>
        <w:t xml:space="preserve">        </w:t>
      </w:r>
      <w:r>
        <w:rPr>
          <w:rFonts w:ascii="宋体" w:hAnsi="宋体"/>
        </w:rPr>
        <w:t>月</w:t>
      </w:r>
      <w:r>
        <w:rPr>
          <w:rFonts w:ascii="宋体" w:hAnsi="宋体"/>
          <w:u w:val="single"/>
        </w:rPr>
        <w:t xml:space="preserve">        </w:t>
      </w:r>
      <w:r>
        <w:rPr>
          <w:rFonts w:ascii="宋体" w:hAnsi="宋体"/>
        </w:rPr>
        <w:t>日</w:t>
      </w:r>
    </w:p>
    <w:p w14:paraId="6920CA45">
      <w:pPr>
        <w:spacing w:line="360" w:lineRule="auto"/>
        <w:ind w:firstLine="562" w:firstLineChars="200"/>
        <w:jc w:val="center"/>
        <w:rPr>
          <w:rFonts w:ascii="宋体" w:hAnsi="宋体"/>
          <w:b/>
          <w:bCs/>
          <w:sz w:val="28"/>
          <w:szCs w:val="28"/>
        </w:rPr>
      </w:pPr>
      <w:bookmarkStart w:id="527" w:name="_Toc6620"/>
      <w:bookmarkStart w:id="528" w:name="_Toc28933"/>
      <w:bookmarkStart w:id="529" w:name="_Toc118805175"/>
      <w:bookmarkStart w:id="530" w:name="_Toc118805929"/>
      <w:bookmarkStart w:id="531" w:name="_Toc118806300"/>
      <w:bookmarkStart w:id="532" w:name="_Toc23585"/>
      <w:bookmarkStart w:id="533" w:name="_Toc137648478"/>
      <w:bookmarkStart w:id="534" w:name="_Toc17644"/>
      <w:bookmarkStart w:id="535" w:name="_Toc19772_WPSOffice_Level1"/>
      <w:bookmarkStart w:id="536" w:name="_Toc118805552"/>
      <w:bookmarkStart w:id="537" w:name="_Toc2762"/>
      <w:bookmarkStart w:id="538" w:name="_Toc18493"/>
    </w:p>
    <w:p w14:paraId="6A2DDDBA">
      <w:pPr>
        <w:spacing w:line="360" w:lineRule="auto"/>
        <w:ind w:firstLine="562" w:firstLineChars="200"/>
        <w:jc w:val="center"/>
        <w:rPr>
          <w:rFonts w:ascii="宋体" w:hAnsi="宋体"/>
          <w:b/>
          <w:bCs/>
          <w:sz w:val="28"/>
          <w:szCs w:val="28"/>
        </w:rPr>
      </w:pPr>
    </w:p>
    <w:p w14:paraId="6758EFB1">
      <w:pPr>
        <w:spacing w:line="360" w:lineRule="auto"/>
        <w:ind w:firstLine="562" w:firstLineChars="200"/>
        <w:jc w:val="center"/>
        <w:rPr>
          <w:rFonts w:ascii="宋体" w:hAnsi="宋体"/>
          <w:b/>
          <w:bCs/>
          <w:sz w:val="28"/>
          <w:szCs w:val="28"/>
        </w:rPr>
      </w:pPr>
    </w:p>
    <w:p w14:paraId="36345FDA">
      <w:pPr>
        <w:rPr>
          <w:rFonts w:ascii="宋体" w:hAnsi="宋体"/>
          <w:b/>
          <w:bCs/>
          <w:sz w:val="28"/>
          <w:szCs w:val="28"/>
        </w:rPr>
      </w:pPr>
      <w:r>
        <w:rPr>
          <w:rFonts w:ascii="宋体" w:hAnsi="宋体"/>
          <w:b/>
          <w:bCs/>
          <w:sz w:val="28"/>
          <w:szCs w:val="28"/>
        </w:rPr>
        <w:br w:type="page"/>
      </w:r>
    </w:p>
    <w:bookmarkEnd w:id="527"/>
    <w:bookmarkEnd w:id="528"/>
    <w:bookmarkEnd w:id="529"/>
    <w:bookmarkEnd w:id="530"/>
    <w:bookmarkEnd w:id="531"/>
    <w:bookmarkEnd w:id="532"/>
    <w:bookmarkEnd w:id="533"/>
    <w:bookmarkEnd w:id="534"/>
    <w:bookmarkEnd w:id="535"/>
    <w:bookmarkEnd w:id="536"/>
    <w:bookmarkEnd w:id="537"/>
    <w:bookmarkEnd w:id="538"/>
    <w:p w14:paraId="2D4DB664">
      <w:pPr>
        <w:keepNext/>
        <w:keepLines/>
        <w:jc w:val="center"/>
        <w:outlineLvl w:val="1"/>
        <w:rPr>
          <w:rFonts w:hint="eastAsia" w:ascii="宋体" w:hAnsi="宋体"/>
          <w:b/>
          <w:sz w:val="32"/>
          <w:szCs w:val="20"/>
          <w:lang w:val="en-US" w:eastAsia="zh-CN"/>
        </w:rPr>
        <w:sectPr>
          <w:footerReference r:id="rId8" w:type="first"/>
          <w:headerReference r:id="rId6" w:type="default"/>
          <w:footerReference r:id="rId7" w:type="default"/>
          <w:footnotePr>
            <w:numFmt w:val="decimalEnclosedCircleChinese"/>
            <w:numRestart w:val="eachPage"/>
          </w:footnotePr>
          <w:pgSz w:w="11906" w:h="16838"/>
          <w:pgMar w:top="1440" w:right="1417" w:bottom="1440" w:left="1417" w:header="851" w:footer="992" w:gutter="0"/>
          <w:pgNumType w:fmt="decimal" w:start="1"/>
          <w:cols w:space="0" w:num="1"/>
          <w:titlePg/>
          <w:docGrid w:type="lines" w:linePitch="312" w:charSpace="0"/>
        </w:sectPr>
      </w:pPr>
      <w:bookmarkStart w:id="539" w:name="_Toc9753_WPSOffice_Level1"/>
      <w:bookmarkStart w:id="540" w:name="_Toc118805939"/>
      <w:bookmarkStart w:id="541" w:name="_Toc25698"/>
      <w:bookmarkStart w:id="542" w:name="_Toc118805562"/>
      <w:bookmarkStart w:id="543" w:name="_Toc25570"/>
      <w:bookmarkStart w:id="544" w:name="_Toc31620"/>
      <w:bookmarkStart w:id="545" w:name="_Toc3864"/>
      <w:bookmarkStart w:id="546" w:name="_Toc149140285"/>
      <w:bookmarkStart w:id="547" w:name="_Toc118806310"/>
      <w:bookmarkStart w:id="548" w:name="_Toc137648488"/>
      <w:bookmarkStart w:id="549" w:name="_Toc32052"/>
      <w:bookmarkStart w:id="550" w:name="_Toc32613"/>
      <w:bookmarkStart w:id="551" w:name="_Toc118805185"/>
    </w:p>
    <w:p w14:paraId="778D2C6E">
      <w:pPr>
        <w:keepNext/>
        <w:keepLines/>
        <w:spacing w:before="260" w:after="260" w:line="412" w:lineRule="auto"/>
        <w:jc w:val="center"/>
        <w:outlineLvl w:val="1"/>
        <w:rPr>
          <w:rFonts w:ascii="宋体" w:hAnsi="宋体"/>
          <w:b/>
          <w:sz w:val="32"/>
          <w:szCs w:val="20"/>
        </w:rPr>
      </w:pPr>
      <w:bookmarkStart w:id="552" w:name="_Toc149140275"/>
      <w:r>
        <w:rPr>
          <w:rFonts w:ascii="宋体" w:hAnsi="宋体"/>
          <w:b/>
          <w:sz w:val="32"/>
          <w:szCs w:val="20"/>
        </w:rPr>
        <w:t>五、商务和技术偏差表</w:t>
      </w:r>
      <w:bookmarkEnd w:id="552"/>
    </w:p>
    <w:tbl>
      <w:tblPr>
        <w:tblStyle w:val="40"/>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968"/>
        <w:gridCol w:w="2705"/>
        <w:gridCol w:w="1624"/>
      </w:tblGrid>
      <w:tr w14:paraId="410C3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center"/>
          </w:tcPr>
          <w:p w14:paraId="33D79D7F">
            <w:pPr>
              <w:widowControl/>
              <w:snapToGrid w:val="0"/>
              <w:jc w:val="center"/>
              <w:rPr>
                <w:rFonts w:ascii="宋体" w:hAnsi="宋体"/>
                <w:b/>
                <w:kern w:val="0"/>
                <w:szCs w:val="21"/>
              </w:rPr>
            </w:pPr>
            <w:r>
              <w:rPr>
                <w:rFonts w:ascii="宋体" w:hAnsi="宋体"/>
                <w:b/>
                <w:kern w:val="0"/>
                <w:szCs w:val="21"/>
              </w:rPr>
              <w:t>序号</w:t>
            </w:r>
          </w:p>
        </w:tc>
        <w:tc>
          <w:tcPr>
            <w:tcW w:w="2968" w:type="dxa"/>
            <w:vAlign w:val="center"/>
          </w:tcPr>
          <w:p w14:paraId="328C369E">
            <w:pPr>
              <w:widowControl/>
              <w:snapToGrid w:val="0"/>
              <w:jc w:val="center"/>
              <w:rPr>
                <w:rFonts w:ascii="宋体" w:hAnsi="宋体"/>
                <w:b/>
                <w:kern w:val="0"/>
                <w:szCs w:val="21"/>
              </w:rPr>
            </w:pPr>
            <w:r>
              <w:rPr>
                <w:rFonts w:ascii="宋体" w:hAnsi="宋体"/>
                <w:b/>
                <w:kern w:val="0"/>
                <w:szCs w:val="21"/>
              </w:rPr>
              <w:t>采购文件章节及条款号</w:t>
            </w:r>
          </w:p>
        </w:tc>
        <w:tc>
          <w:tcPr>
            <w:tcW w:w="2705" w:type="dxa"/>
            <w:vAlign w:val="center"/>
          </w:tcPr>
          <w:p w14:paraId="027FF9A3">
            <w:pPr>
              <w:widowControl/>
              <w:snapToGrid w:val="0"/>
              <w:jc w:val="center"/>
              <w:rPr>
                <w:rFonts w:ascii="宋体" w:hAnsi="宋体"/>
                <w:b/>
                <w:kern w:val="0"/>
                <w:szCs w:val="21"/>
              </w:rPr>
            </w:pPr>
            <w:r>
              <w:rPr>
                <w:rFonts w:ascii="宋体" w:hAnsi="宋体"/>
                <w:b/>
                <w:kern w:val="0"/>
                <w:szCs w:val="21"/>
              </w:rPr>
              <w:t>响应文件章节及条款号</w:t>
            </w:r>
          </w:p>
        </w:tc>
        <w:tc>
          <w:tcPr>
            <w:tcW w:w="1624" w:type="dxa"/>
            <w:vAlign w:val="center"/>
          </w:tcPr>
          <w:p w14:paraId="573B429E">
            <w:pPr>
              <w:widowControl/>
              <w:snapToGrid w:val="0"/>
              <w:jc w:val="center"/>
              <w:rPr>
                <w:rFonts w:ascii="宋体" w:hAnsi="宋体"/>
                <w:b/>
                <w:kern w:val="0"/>
                <w:szCs w:val="21"/>
              </w:rPr>
            </w:pPr>
            <w:r>
              <w:rPr>
                <w:rFonts w:ascii="宋体" w:hAnsi="宋体"/>
                <w:b/>
                <w:kern w:val="0"/>
                <w:szCs w:val="21"/>
              </w:rPr>
              <w:t>偏差说明</w:t>
            </w:r>
          </w:p>
        </w:tc>
      </w:tr>
      <w:tr w14:paraId="283AC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center"/>
          </w:tcPr>
          <w:p w14:paraId="785209D6">
            <w:pPr>
              <w:widowControl/>
              <w:snapToGrid w:val="0"/>
              <w:jc w:val="center"/>
              <w:rPr>
                <w:rFonts w:ascii="宋体" w:hAnsi="宋体"/>
                <w:kern w:val="0"/>
                <w:szCs w:val="21"/>
              </w:rPr>
            </w:pPr>
            <w:r>
              <w:rPr>
                <w:kern w:val="0"/>
                <w:szCs w:val="21"/>
              </w:rPr>
              <w:t>1</w:t>
            </w:r>
          </w:p>
        </w:tc>
        <w:tc>
          <w:tcPr>
            <w:tcW w:w="2968" w:type="dxa"/>
            <w:vAlign w:val="center"/>
          </w:tcPr>
          <w:p w14:paraId="2E22CC9E">
            <w:pPr>
              <w:widowControl/>
              <w:snapToGrid w:val="0"/>
              <w:jc w:val="center"/>
              <w:rPr>
                <w:rFonts w:ascii="宋体" w:hAnsi="宋体"/>
                <w:kern w:val="0"/>
                <w:szCs w:val="21"/>
              </w:rPr>
            </w:pPr>
          </w:p>
        </w:tc>
        <w:tc>
          <w:tcPr>
            <w:tcW w:w="2705" w:type="dxa"/>
            <w:vAlign w:val="center"/>
          </w:tcPr>
          <w:p w14:paraId="79080F03">
            <w:pPr>
              <w:widowControl/>
              <w:snapToGrid w:val="0"/>
              <w:jc w:val="center"/>
              <w:rPr>
                <w:rFonts w:ascii="宋体" w:hAnsi="宋体"/>
                <w:kern w:val="0"/>
                <w:szCs w:val="21"/>
              </w:rPr>
            </w:pPr>
          </w:p>
        </w:tc>
        <w:tc>
          <w:tcPr>
            <w:tcW w:w="1624" w:type="dxa"/>
            <w:vAlign w:val="center"/>
          </w:tcPr>
          <w:p w14:paraId="7EA50E5C">
            <w:pPr>
              <w:widowControl/>
              <w:snapToGrid w:val="0"/>
              <w:jc w:val="center"/>
              <w:rPr>
                <w:rFonts w:ascii="宋体" w:hAnsi="宋体"/>
                <w:kern w:val="0"/>
                <w:szCs w:val="21"/>
              </w:rPr>
            </w:pPr>
          </w:p>
        </w:tc>
      </w:tr>
      <w:tr w14:paraId="0BB14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center"/>
          </w:tcPr>
          <w:p w14:paraId="27DBF7DE">
            <w:pPr>
              <w:widowControl/>
              <w:snapToGrid w:val="0"/>
              <w:jc w:val="center"/>
              <w:rPr>
                <w:rFonts w:ascii="宋体" w:hAnsi="宋体"/>
                <w:kern w:val="0"/>
                <w:szCs w:val="21"/>
              </w:rPr>
            </w:pPr>
            <w:r>
              <w:rPr>
                <w:kern w:val="0"/>
                <w:szCs w:val="21"/>
              </w:rPr>
              <w:t>2</w:t>
            </w:r>
          </w:p>
        </w:tc>
        <w:tc>
          <w:tcPr>
            <w:tcW w:w="2968" w:type="dxa"/>
            <w:vAlign w:val="center"/>
          </w:tcPr>
          <w:p w14:paraId="579DADC3">
            <w:pPr>
              <w:widowControl/>
              <w:snapToGrid w:val="0"/>
              <w:jc w:val="center"/>
              <w:rPr>
                <w:rFonts w:ascii="宋体" w:hAnsi="宋体"/>
                <w:kern w:val="0"/>
                <w:szCs w:val="21"/>
              </w:rPr>
            </w:pPr>
          </w:p>
        </w:tc>
        <w:tc>
          <w:tcPr>
            <w:tcW w:w="2705" w:type="dxa"/>
            <w:vAlign w:val="center"/>
          </w:tcPr>
          <w:p w14:paraId="2AA04F40">
            <w:pPr>
              <w:widowControl/>
              <w:snapToGrid w:val="0"/>
              <w:jc w:val="center"/>
              <w:rPr>
                <w:rFonts w:ascii="宋体" w:hAnsi="宋体"/>
                <w:kern w:val="0"/>
                <w:szCs w:val="21"/>
              </w:rPr>
            </w:pPr>
          </w:p>
        </w:tc>
        <w:tc>
          <w:tcPr>
            <w:tcW w:w="1624" w:type="dxa"/>
            <w:vAlign w:val="center"/>
          </w:tcPr>
          <w:p w14:paraId="7B333D1D">
            <w:pPr>
              <w:widowControl/>
              <w:snapToGrid w:val="0"/>
              <w:jc w:val="center"/>
              <w:rPr>
                <w:rFonts w:ascii="宋体" w:hAnsi="宋体"/>
                <w:kern w:val="0"/>
                <w:szCs w:val="21"/>
              </w:rPr>
            </w:pPr>
          </w:p>
        </w:tc>
      </w:tr>
      <w:tr w14:paraId="34CEF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center"/>
          </w:tcPr>
          <w:p w14:paraId="74D77A12">
            <w:pPr>
              <w:widowControl/>
              <w:snapToGrid w:val="0"/>
              <w:jc w:val="center"/>
              <w:rPr>
                <w:rFonts w:ascii="宋体" w:hAnsi="宋体"/>
                <w:kern w:val="0"/>
                <w:szCs w:val="21"/>
              </w:rPr>
            </w:pPr>
            <w:r>
              <w:rPr>
                <w:kern w:val="0"/>
                <w:szCs w:val="21"/>
              </w:rPr>
              <w:t>3</w:t>
            </w:r>
          </w:p>
        </w:tc>
        <w:tc>
          <w:tcPr>
            <w:tcW w:w="2968" w:type="dxa"/>
            <w:vAlign w:val="center"/>
          </w:tcPr>
          <w:p w14:paraId="0E52C0B8">
            <w:pPr>
              <w:widowControl/>
              <w:snapToGrid w:val="0"/>
              <w:jc w:val="center"/>
              <w:rPr>
                <w:rFonts w:ascii="宋体" w:hAnsi="宋体"/>
                <w:kern w:val="0"/>
                <w:szCs w:val="21"/>
              </w:rPr>
            </w:pPr>
          </w:p>
        </w:tc>
        <w:tc>
          <w:tcPr>
            <w:tcW w:w="2705" w:type="dxa"/>
            <w:vAlign w:val="center"/>
          </w:tcPr>
          <w:p w14:paraId="0E5A9CCE">
            <w:pPr>
              <w:widowControl/>
              <w:snapToGrid w:val="0"/>
              <w:jc w:val="center"/>
              <w:rPr>
                <w:rFonts w:ascii="宋体" w:hAnsi="宋体"/>
                <w:kern w:val="0"/>
                <w:szCs w:val="21"/>
              </w:rPr>
            </w:pPr>
          </w:p>
        </w:tc>
        <w:tc>
          <w:tcPr>
            <w:tcW w:w="1624" w:type="dxa"/>
            <w:vAlign w:val="center"/>
          </w:tcPr>
          <w:p w14:paraId="57600AA4">
            <w:pPr>
              <w:widowControl/>
              <w:snapToGrid w:val="0"/>
              <w:jc w:val="center"/>
              <w:rPr>
                <w:rFonts w:ascii="宋体" w:hAnsi="宋体"/>
                <w:kern w:val="0"/>
                <w:szCs w:val="21"/>
              </w:rPr>
            </w:pPr>
          </w:p>
        </w:tc>
      </w:tr>
      <w:tr w14:paraId="269B2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center"/>
          </w:tcPr>
          <w:p w14:paraId="5C5A626A">
            <w:pPr>
              <w:widowControl/>
              <w:snapToGrid w:val="0"/>
              <w:jc w:val="center"/>
              <w:rPr>
                <w:rFonts w:ascii="宋体" w:hAnsi="宋体"/>
                <w:kern w:val="0"/>
                <w:szCs w:val="21"/>
              </w:rPr>
            </w:pPr>
            <w:r>
              <w:rPr>
                <w:kern w:val="0"/>
                <w:szCs w:val="21"/>
              </w:rPr>
              <w:t>4</w:t>
            </w:r>
          </w:p>
        </w:tc>
        <w:tc>
          <w:tcPr>
            <w:tcW w:w="2968" w:type="dxa"/>
            <w:vAlign w:val="center"/>
          </w:tcPr>
          <w:p w14:paraId="19ACEE90">
            <w:pPr>
              <w:widowControl/>
              <w:snapToGrid w:val="0"/>
              <w:jc w:val="center"/>
              <w:rPr>
                <w:rFonts w:ascii="宋体" w:hAnsi="宋体"/>
                <w:kern w:val="0"/>
                <w:szCs w:val="21"/>
              </w:rPr>
            </w:pPr>
          </w:p>
        </w:tc>
        <w:tc>
          <w:tcPr>
            <w:tcW w:w="2705" w:type="dxa"/>
            <w:vAlign w:val="center"/>
          </w:tcPr>
          <w:p w14:paraId="2F128516">
            <w:pPr>
              <w:widowControl/>
              <w:snapToGrid w:val="0"/>
              <w:jc w:val="center"/>
              <w:rPr>
                <w:rFonts w:ascii="宋体" w:hAnsi="宋体"/>
                <w:kern w:val="0"/>
                <w:szCs w:val="21"/>
              </w:rPr>
            </w:pPr>
          </w:p>
        </w:tc>
        <w:tc>
          <w:tcPr>
            <w:tcW w:w="1624" w:type="dxa"/>
            <w:vAlign w:val="center"/>
          </w:tcPr>
          <w:p w14:paraId="30B48EED">
            <w:pPr>
              <w:widowControl/>
              <w:snapToGrid w:val="0"/>
              <w:jc w:val="center"/>
              <w:rPr>
                <w:rFonts w:ascii="宋体" w:hAnsi="宋体"/>
                <w:kern w:val="0"/>
                <w:szCs w:val="21"/>
              </w:rPr>
            </w:pPr>
          </w:p>
        </w:tc>
      </w:tr>
      <w:tr w14:paraId="10BAF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center"/>
          </w:tcPr>
          <w:p w14:paraId="5F429723">
            <w:pPr>
              <w:widowControl/>
              <w:snapToGrid w:val="0"/>
              <w:jc w:val="center"/>
              <w:rPr>
                <w:rFonts w:ascii="宋体" w:hAnsi="宋体"/>
                <w:kern w:val="0"/>
                <w:szCs w:val="21"/>
              </w:rPr>
            </w:pPr>
            <w:r>
              <w:rPr>
                <w:kern w:val="0"/>
                <w:szCs w:val="21"/>
              </w:rPr>
              <w:t>5</w:t>
            </w:r>
          </w:p>
        </w:tc>
        <w:tc>
          <w:tcPr>
            <w:tcW w:w="2968" w:type="dxa"/>
            <w:vAlign w:val="center"/>
          </w:tcPr>
          <w:p w14:paraId="52F3DD11">
            <w:pPr>
              <w:widowControl/>
              <w:snapToGrid w:val="0"/>
              <w:jc w:val="center"/>
              <w:rPr>
                <w:rFonts w:ascii="宋体" w:hAnsi="宋体"/>
                <w:kern w:val="0"/>
                <w:szCs w:val="21"/>
              </w:rPr>
            </w:pPr>
          </w:p>
        </w:tc>
        <w:tc>
          <w:tcPr>
            <w:tcW w:w="2705" w:type="dxa"/>
            <w:vAlign w:val="center"/>
          </w:tcPr>
          <w:p w14:paraId="1A13E40A">
            <w:pPr>
              <w:widowControl/>
              <w:snapToGrid w:val="0"/>
              <w:jc w:val="center"/>
              <w:rPr>
                <w:rFonts w:ascii="宋体" w:hAnsi="宋体"/>
                <w:kern w:val="0"/>
                <w:szCs w:val="21"/>
              </w:rPr>
            </w:pPr>
          </w:p>
        </w:tc>
        <w:tc>
          <w:tcPr>
            <w:tcW w:w="1624" w:type="dxa"/>
            <w:vAlign w:val="center"/>
          </w:tcPr>
          <w:p w14:paraId="3C8C5749">
            <w:pPr>
              <w:widowControl/>
              <w:snapToGrid w:val="0"/>
              <w:jc w:val="center"/>
              <w:rPr>
                <w:rFonts w:ascii="宋体" w:hAnsi="宋体"/>
                <w:kern w:val="0"/>
                <w:szCs w:val="21"/>
              </w:rPr>
            </w:pPr>
          </w:p>
        </w:tc>
      </w:tr>
      <w:tr w14:paraId="281DF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center"/>
          </w:tcPr>
          <w:p w14:paraId="0AD99002">
            <w:pPr>
              <w:widowControl/>
              <w:snapToGrid w:val="0"/>
              <w:jc w:val="center"/>
              <w:rPr>
                <w:rFonts w:ascii="宋体" w:hAnsi="宋体"/>
                <w:kern w:val="0"/>
                <w:szCs w:val="21"/>
              </w:rPr>
            </w:pPr>
            <w:r>
              <w:rPr>
                <w:rFonts w:ascii="宋体" w:hAnsi="宋体"/>
                <w:kern w:val="0"/>
                <w:szCs w:val="21"/>
              </w:rPr>
              <w:t>……</w:t>
            </w:r>
          </w:p>
        </w:tc>
        <w:tc>
          <w:tcPr>
            <w:tcW w:w="2968" w:type="dxa"/>
            <w:vAlign w:val="center"/>
          </w:tcPr>
          <w:p w14:paraId="63ED1254">
            <w:pPr>
              <w:widowControl/>
              <w:snapToGrid w:val="0"/>
              <w:jc w:val="center"/>
              <w:rPr>
                <w:rFonts w:ascii="宋体" w:hAnsi="宋体"/>
                <w:kern w:val="0"/>
                <w:szCs w:val="21"/>
              </w:rPr>
            </w:pPr>
          </w:p>
        </w:tc>
        <w:tc>
          <w:tcPr>
            <w:tcW w:w="2705" w:type="dxa"/>
            <w:vAlign w:val="center"/>
          </w:tcPr>
          <w:p w14:paraId="480FAB7F">
            <w:pPr>
              <w:widowControl/>
              <w:snapToGrid w:val="0"/>
              <w:jc w:val="center"/>
              <w:rPr>
                <w:rFonts w:ascii="宋体" w:hAnsi="宋体"/>
                <w:kern w:val="0"/>
                <w:szCs w:val="21"/>
              </w:rPr>
            </w:pPr>
          </w:p>
        </w:tc>
        <w:tc>
          <w:tcPr>
            <w:tcW w:w="1624" w:type="dxa"/>
            <w:vAlign w:val="center"/>
          </w:tcPr>
          <w:p w14:paraId="0F0C1A6F">
            <w:pPr>
              <w:widowControl/>
              <w:snapToGrid w:val="0"/>
              <w:jc w:val="center"/>
              <w:rPr>
                <w:rFonts w:ascii="宋体" w:hAnsi="宋体"/>
                <w:kern w:val="0"/>
                <w:szCs w:val="21"/>
              </w:rPr>
            </w:pPr>
          </w:p>
        </w:tc>
      </w:tr>
    </w:tbl>
    <w:p w14:paraId="6A796BF5">
      <w:pPr>
        <w:keepNext/>
        <w:keepLines/>
        <w:ind w:firstLine="630" w:firstLineChars="300"/>
        <w:jc w:val="both"/>
        <w:outlineLvl w:val="1"/>
        <w:rPr>
          <w:rFonts w:hint="eastAsia" w:ascii="宋体" w:hAnsi="宋体"/>
          <w:b/>
          <w:sz w:val="32"/>
          <w:szCs w:val="20"/>
          <w:lang w:val="en-US" w:eastAsia="zh-CN"/>
        </w:rPr>
        <w:sectPr>
          <w:footerReference r:id="rId9" w:type="default"/>
          <w:footnotePr>
            <w:numFmt w:val="decimalEnclosedCircleChinese"/>
            <w:numRestart w:val="eachPage"/>
          </w:footnotePr>
          <w:pgSz w:w="11906" w:h="16838"/>
          <w:pgMar w:top="1440" w:right="1417" w:bottom="1440" w:left="1417" w:header="851" w:footer="992" w:gutter="0"/>
          <w:pgNumType w:fmt="decimal"/>
          <w:cols w:space="0" w:num="1"/>
          <w:titlePg/>
          <w:docGrid w:type="lines" w:linePitch="312" w:charSpace="0"/>
        </w:sectPr>
      </w:pPr>
      <w:r>
        <w:rPr>
          <w:rFonts w:ascii="宋体" w:hAnsi="宋体"/>
          <w:szCs w:val="21"/>
        </w:rPr>
        <w:t>供应商保证：除商务和技术偏差表列出的偏差外，供应商响应采购文件的全部要求。</w:t>
      </w:r>
    </w:p>
    <w:p w14:paraId="0024CE35">
      <w:pPr>
        <w:keepNext/>
        <w:keepLines/>
        <w:jc w:val="center"/>
        <w:outlineLvl w:val="1"/>
        <w:rPr>
          <w:rFonts w:ascii="宋体" w:hAnsi="宋体"/>
          <w:b/>
          <w:sz w:val="32"/>
          <w:szCs w:val="20"/>
        </w:rPr>
      </w:pPr>
      <w:r>
        <w:rPr>
          <w:rFonts w:hint="eastAsia" w:ascii="宋体" w:hAnsi="宋体"/>
          <w:b/>
          <w:sz w:val="32"/>
          <w:szCs w:val="20"/>
          <w:lang w:val="en-US" w:eastAsia="zh-CN"/>
        </w:rPr>
        <w:t>六</w:t>
      </w:r>
      <w:r>
        <w:rPr>
          <w:rFonts w:ascii="宋体" w:hAnsi="宋体"/>
          <w:b/>
          <w:sz w:val="32"/>
          <w:szCs w:val="20"/>
        </w:rPr>
        <w:t>、资格审查资料</w:t>
      </w:r>
      <w:bookmarkEnd w:id="539"/>
      <w:bookmarkEnd w:id="540"/>
      <w:bookmarkEnd w:id="541"/>
      <w:bookmarkEnd w:id="542"/>
      <w:bookmarkEnd w:id="543"/>
      <w:bookmarkEnd w:id="544"/>
      <w:bookmarkEnd w:id="545"/>
      <w:bookmarkEnd w:id="546"/>
      <w:bookmarkEnd w:id="547"/>
      <w:bookmarkEnd w:id="548"/>
      <w:bookmarkEnd w:id="549"/>
      <w:bookmarkEnd w:id="550"/>
      <w:bookmarkEnd w:id="551"/>
    </w:p>
    <w:p w14:paraId="3B101F3A">
      <w:pPr>
        <w:widowControl/>
        <w:spacing w:before="100" w:beforeAutospacing="1" w:after="100" w:afterAutospacing="1"/>
        <w:jc w:val="center"/>
        <w:outlineLvl w:val="2"/>
        <w:rPr>
          <w:rFonts w:ascii="宋体" w:hAnsi="宋体"/>
          <w:b/>
          <w:bCs/>
          <w:kern w:val="0"/>
          <w:sz w:val="27"/>
          <w:szCs w:val="27"/>
        </w:rPr>
      </w:pPr>
      <w:bookmarkStart w:id="553" w:name="_Toc118805563"/>
      <w:bookmarkStart w:id="554" w:name="_Toc137648489"/>
      <w:bookmarkStart w:id="555" w:name="_Toc149140286"/>
      <w:bookmarkStart w:id="556" w:name="_Toc15704"/>
      <w:bookmarkStart w:id="557" w:name="_Toc3945"/>
      <w:bookmarkStart w:id="558" w:name="_Toc28443"/>
      <w:bookmarkStart w:id="559" w:name="_Toc16228"/>
      <w:bookmarkStart w:id="560" w:name="_Toc14589_WPSOffice_Level2"/>
      <w:bookmarkStart w:id="561" w:name="_Toc118805940"/>
      <w:bookmarkStart w:id="562" w:name="_Toc118806311"/>
      <w:bookmarkStart w:id="563" w:name="_Toc118805186"/>
      <w:bookmarkStart w:id="564" w:name="_Toc32396"/>
      <w:bookmarkStart w:id="565" w:name="_Toc143102283"/>
      <w:bookmarkStart w:id="566" w:name="_Toc20536"/>
      <w:r>
        <w:rPr>
          <w:rFonts w:ascii="宋体" w:hAnsi="宋体"/>
          <w:b/>
          <w:bCs/>
          <w:kern w:val="0"/>
          <w:sz w:val="27"/>
          <w:szCs w:val="27"/>
        </w:rPr>
        <w:t>（一）基本情况</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tbl>
      <w:tblPr>
        <w:tblStyle w:val="40"/>
        <w:tblW w:w="899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892"/>
        <w:gridCol w:w="840"/>
        <w:gridCol w:w="1524"/>
        <w:gridCol w:w="934"/>
        <w:gridCol w:w="1432"/>
        <w:gridCol w:w="545"/>
        <w:gridCol w:w="716"/>
        <w:gridCol w:w="1114"/>
      </w:tblGrid>
      <w:tr w14:paraId="07002E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1892" w:type="dxa"/>
            <w:noWrap w:val="0"/>
            <w:vAlign w:val="center"/>
          </w:tcPr>
          <w:p w14:paraId="7CBF8068">
            <w:pPr>
              <w:pStyle w:val="79"/>
              <w:jc w:val="center"/>
              <w:rPr>
                <w:rFonts w:hint="eastAsia"/>
                <w:sz w:val="21"/>
                <w:szCs w:val="19"/>
                <w:lang w:val="zh-CN"/>
              </w:rPr>
            </w:pPr>
            <w:r>
              <w:rPr>
                <w:rFonts w:hint="eastAsia"/>
                <w:sz w:val="21"/>
                <w:szCs w:val="19"/>
                <w:lang w:val="zh-CN"/>
              </w:rPr>
              <w:t>供应商名称</w:t>
            </w:r>
          </w:p>
        </w:tc>
        <w:tc>
          <w:tcPr>
            <w:tcW w:w="7105" w:type="dxa"/>
            <w:gridSpan w:val="7"/>
            <w:noWrap w:val="0"/>
            <w:vAlign w:val="center"/>
          </w:tcPr>
          <w:p w14:paraId="165AEC2E">
            <w:pPr>
              <w:pStyle w:val="79"/>
              <w:jc w:val="center"/>
              <w:rPr>
                <w:rFonts w:hint="eastAsia"/>
                <w:sz w:val="21"/>
                <w:szCs w:val="19"/>
                <w:lang w:val="zh-CN"/>
              </w:rPr>
            </w:pPr>
          </w:p>
        </w:tc>
      </w:tr>
      <w:tr w14:paraId="24B0FB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1892" w:type="dxa"/>
            <w:noWrap w:val="0"/>
            <w:vAlign w:val="center"/>
          </w:tcPr>
          <w:p w14:paraId="0677AFB1">
            <w:pPr>
              <w:pStyle w:val="79"/>
              <w:jc w:val="center"/>
              <w:rPr>
                <w:rFonts w:hint="eastAsia"/>
                <w:sz w:val="21"/>
                <w:szCs w:val="19"/>
                <w:lang w:val="zh-CN"/>
              </w:rPr>
            </w:pPr>
            <w:r>
              <w:rPr>
                <w:rFonts w:hint="eastAsia"/>
                <w:sz w:val="21"/>
                <w:szCs w:val="19"/>
                <w:lang w:val="zh-CN"/>
              </w:rPr>
              <w:t>注册地址</w:t>
            </w:r>
          </w:p>
        </w:tc>
        <w:tc>
          <w:tcPr>
            <w:tcW w:w="3298" w:type="dxa"/>
            <w:gridSpan w:val="3"/>
            <w:noWrap w:val="0"/>
            <w:vAlign w:val="center"/>
          </w:tcPr>
          <w:p w14:paraId="63DC861A">
            <w:pPr>
              <w:pStyle w:val="79"/>
              <w:jc w:val="center"/>
              <w:rPr>
                <w:rFonts w:hint="eastAsia"/>
                <w:sz w:val="21"/>
                <w:szCs w:val="19"/>
                <w:lang w:val="zh-CN"/>
              </w:rPr>
            </w:pPr>
          </w:p>
        </w:tc>
        <w:tc>
          <w:tcPr>
            <w:tcW w:w="1432" w:type="dxa"/>
            <w:noWrap w:val="0"/>
            <w:vAlign w:val="center"/>
          </w:tcPr>
          <w:p w14:paraId="2137F2D9">
            <w:pPr>
              <w:pStyle w:val="79"/>
              <w:jc w:val="center"/>
              <w:rPr>
                <w:rFonts w:hint="eastAsia"/>
                <w:sz w:val="21"/>
                <w:szCs w:val="20"/>
                <w:lang w:val="zh-CN"/>
              </w:rPr>
            </w:pPr>
            <w:r>
              <w:rPr>
                <w:rFonts w:hint="eastAsia"/>
                <w:sz w:val="21"/>
                <w:szCs w:val="20"/>
                <w:lang w:val="zh-CN"/>
              </w:rPr>
              <w:t>邮政编码</w:t>
            </w:r>
          </w:p>
        </w:tc>
        <w:tc>
          <w:tcPr>
            <w:tcW w:w="2375" w:type="dxa"/>
            <w:gridSpan w:val="3"/>
            <w:noWrap w:val="0"/>
            <w:vAlign w:val="center"/>
          </w:tcPr>
          <w:p w14:paraId="06E67462">
            <w:pPr>
              <w:pStyle w:val="79"/>
              <w:jc w:val="center"/>
              <w:rPr>
                <w:rFonts w:hint="eastAsia"/>
                <w:sz w:val="21"/>
                <w:szCs w:val="20"/>
                <w:lang w:val="zh-CN"/>
              </w:rPr>
            </w:pPr>
          </w:p>
        </w:tc>
      </w:tr>
      <w:tr w14:paraId="6C3499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36" w:hRule="exact"/>
          <w:jc w:val="center"/>
        </w:trPr>
        <w:tc>
          <w:tcPr>
            <w:tcW w:w="1892" w:type="dxa"/>
            <w:vMerge w:val="restart"/>
            <w:noWrap w:val="0"/>
            <w:vAlign w:val="center"/>
          </w:tcPr>
          <w:p w14:paraId="5A1793E3">
            <w:pPr>
              <w:pStyle w:val="79"/>
              <w:jc w:val="center"/>
              <w:rPr>
                <w:rFonts w:hint="eastAsia"/>
                <w:sz w:val="21"/>
                <w:szCs w:val="26"/>
                <w:lang w:val="zh-CN"/>
              </w:rPr>
            </w:pPr>
            <w:r>
              <w:rPr>
                <w:rFonts w:hint="eastAsia"/>
                <w:sz w:val="21"/>
                <w:szCs w:val="19"/>
                <w:lang w:val="zh-CN"/>
              </w:rPr>
              <w:t>联系方式</w:t>
            </w:r>
          </w:p>
        </w:tc>
        <w:tc>
          <w:tcPr>
            <w:tcW w:w="840" w:type="dxa"/>
            <w:noWrap w:val="0"/>
            <w:vAlign w:val="center"/>
          </w:tcPr>
          <w:p w14:paraId="0868AAF0">
            <w:pPr>
              <w:pStyle w:val="79"/>
              <w:ind w:right="9"/>
              <w:jc w:val="center"/>
              <w:rPr>
                <w:rFonts w:hint="eastAsia"/>
                <w:sz w:val="21"/>
                <w:szCs w:val="19"/>
                <w:lang w:val="zh-CN"/>
              </w:rPr>
            </w:pPr>
            <w:r>
              <w:rPr>
                <w:rFonts w:hint="eastAsia"/>
                <w:sz w:val="21"/>
                <w:szCs w:val="19"/>
                <w:lang w:val="zh-CN"/>
              </w:rPr>
              <w:t xml:space="preserve">联系人 </w:t>
            </w:r>
          </w:p>
        </w:tc>
        <w:tc>
          <w:tcPr>
            <w:tcW w:w="2458" w:type="dxa"/>
            <w:gridSpan w:val="2"/>
            <w:noWrap w:val="0"/>
            <w:vAlign w:val="center"/>
          </w:tcPr>
          <w:p w14:paraId="0C79A7EB">
            <w:pPr>
              <w:pStyle w:val="79"/>
              <w:jc w:val="center"/>
              <w:rPr>
                <w:rFonts w:hint="eastAsia"/>
                <w:sz w:val="21"/>
                <w:szCs w:val="19"/>
                <w:lang w:val="zh-CN"/>
              </w:rPr>
            </w:pPr>
          </w:p>
        </w:tc>
        <w:tc>
          <w:tcPr>
            <w:tcW w:w="1432" w:type="dxa"/>
            <w:noWrap w:val="0"/>
            <w:vAlign w:val="center"/>
          </w:tcPr>
          <w:p w14:paraId="38F79A47">
            <w:pPr>
              <w:pStyle w:val="79"/>
              <w:jc w:val="center"/>
              <w:rPr>
                <w:rFonts w:hint="eastAsia"/>
                <w:sz w:val="21"/>
                <w:szCs w:val="19"/>
                <w:lang w:val="zh-CN"/>
              </w:rPr>
            </w:pPr>
            <w:r>
              <w:rPr>
                <w:rFonts w:hint="eastAsia"/>
                <w:sz w:val="21"/>
                <w:szCs w:val="19"/>
                <w:lang w:val="zh-CN"/>
              </w:rPr>
              <w:t>电    话</w:t>
            </w:r>
          </w:p>
        </w:tc>
        <w:tc>
          <w:tcPr>
            <w:tcW w:w="2375" w:type="dxa"/>
            <w:gridSpan w:val="3"/>
            <w:noWrap w:val="0"/>
            <w:vAlign w:val="center"/>
          </w:tcPr>
          <w:p w14:paraId="086EFA90">
            <w:pPr>
              <w:pStyle w:val="79"/>
              <w:jc w:val="center"/>
              <w:rPr>
                <w:rFonts w:hint="eastAsia"/>
                <w:sz w:val="21"/>
                <w:szCs w:val="19"/>
                <w:lang w:val="zh-CN"/>
              </w:rPr>
            </w:pPr>
          </w:p>
        </w:tc>
      </w:tr>
      <w:tr w14:paraId="5C2D0C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54" w:hRule="exact"/>
          <w:jc w:val="center"/>
        </w:trPr>
        <w:tc>
          <w:tcPr>
            <w:tcW w:w="1892" w:type="dxa"/>
            <w:vMerge w:val="continue"/>
            <w:noWrap w:val="0"/>
            <w:vAlign w:val="center"/>
          </w:tcPr>
          <w:p w14:paraId="403BC356">
            <w:pPr>
              <w:pStyle w:val="79"/>
              <w:jc w:val="center"/>
              <w:rPr>
                <w:rFonts w:hint="eastAsia"/>
                <w:sz w:val="21"/>
                <w:szCs w:val="19"/>
                <w:lang w:val="zh-CN"/>
              </w:rPr>
            </w:pPr>
          </w:p>
        </w:tc>
        <w:tc>
          <w:tcPr>
            <w:tcW w:w="840" w:type="dxa"/>
            <w:noWrap w:val="0"/>
            <w:vAlign w:val="center"/>
          </w:tcPr>
          <w:p w14:paraId="565F70CC">
            <w:pPr>
              <w:pStyle w:val="79"/>
              <w:ind w:right="9"/>
              <w:jc w:val="center"/>
              <w:rPr>
                <w:rFonts w:hint="eastAsia"/>
                <w:sz w:val="21"/>
                <w:szCs w:val="19"/>
                <w:lang w:val="zh-CN"/>
              </w:rPr>
            </w:pPr>
            <w:r>
              <w:rPr>
                <w:rFonts w:hint="eastAsia"/>
                <w:sz w:val="21"/>
                <w:szCs w:val="19"/>
                <w:lang w:val="zh-CN"/>
              </w:rPr>
              <w:t xml:space="preserve">传  真 </w:t>
            </w:r>
          </w:p>
        </w:tc>
        <w:tc>
          <w:tcPr>
            <w:tcW w:w="2458" w:type="dxa"/>
            <w:gridSpan w:val="2"/>
            <w:noWrap w:val="0"/>
            <w:vAlign w:val="center"/>
          </w:tcPr>
          <w:p w14:paraId="64BD462C">
            <w:pPr>
              <w:pStyle w:val="79"/>
              <w:jc w:val="center"/>
              <w:rPr>
                <w:rFonts w:hint="eastAsia"/>
                <w:sz w:val="21"/>
                <w:szCs w:val="19"/>
                <w:lang w:val="zh-CN"/>
              </w:rPr>
            </w:pPr>
          </w:p>
        </w:tc>
        <w:tc>
          <w:tcPr>
            <w:tcW w:w="1432" w:type="dxa"/>
            <w:noWrap w:val="0"/>
            <w:vAlign w:val="center"/>
          </w:tcPr>
          <w:p w14:paraId="338E0CAC">
            <w:pPr>
              <w:pStyle w:val="79"/>
              <w:jc w:val="center"/>
              <w:rPr>
                <w:rFonts w:hint="eastAsia"/>
                <w:sz w:val="21"/>
                <w:szCs w:val="19"/>
                <w:lang w:val="zh-CN"/>
              </w:rPr>
            </w:pPr>
            <w:r>
              <w:rPr>
                <w:rFonts w:hint="eastAsia"/>
                <w:sz w:val="21"/>
                <w:szCs w:val="19"/>
                <w:lang w:val="zh-CN"/>
              </w:rPr>
              <w:t>电子邮件</w:t>
            </w:r>
          </w:p>
        </w:tc>
        <w:tc>
          <w:tcPr>
            <w:tcW w:w="2375" w:type="dxa"/>
            <w:gridSpan w:val="3"/>
            <w:noWrap w:val="0"/>
            <w:vAlign w:val="center"/>
          </w:tcPr>
          <w:p w14:paraId="062152A0">
            <w:pPr>
              <w:pStyle w:val="79"/>
              <w:jc w:val="center"/>
              <w:rPr>
                <w:rFonts w:hint="eastAsia"/>
                <w:sz w:val="21"/>
                <w:szCs w:val="19"/>
                <w:lang w:val="zh-CN"/>
              </w:rPr>
            </w:pPr>
          </w:p>
        </w:tc>
      </w:tr>
      <w:tr w14:paraId="3DF7B3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1892" w:type="dxa"/>
            <w:noWrap w:val="0"/>
            <w:vAlign w:val="center"/>
          </w:tcPr>
          <w:p w14:paraId="73FC0B1B">
            <w:pPr>
              <w:pStyle w:val="79"/>
              <w:jc w:val="center"/>
              <w:rPr>
                <w:rFonts w:hint="eastAsia"/>
                <w:sz w:val="21"/>
                <w:szCs w:val="19"/>
                <w:lang w:val="zh-CN"/>
              </w:rPr>
            </w:pPr>
            <w:r>
              <w:rPr>
                <w:rFonts w:hint="eastAsia"/>
                <w:sz w:val="21"/>
                <w:szCs w:val="19"/>
                <w:lang w:val="zh-CN"/>
              </w:rPr>
              <w:t>法定代表人</w:t>
            </w:r>
          </w:p>
        </w:tc>
        <w:tc>
          <w:tcPr>
            <w:tcW w:w="840" w:type="dxa"/>
            <w:noWrap w:val="0"/>
            <w:vAlign w:val="center"/>
          </w:tcPr>
          <w:p w14:paraId="7581351D">
            <w:pPr>
              <w:pStyle w:val="79"/>
              <w:ind w:right="9"/>
              <w:jc w:val="center"/>
              <w:rPr>
                <w:rFonts w:hint="eastAsia"/>
                <w:sz w:val="21"/>
                <w:szCs w:val="19"/>
                <w:lang w:val="zh-CN"/>
              </w:rPr>
            </w:pPr>
            <w:r>
              <w:rPr>
                <w:rFonts w:hint="eastAsia"/>
                <w:sz w:val="21"/>
                <w:szCs w:val="19"/>
                <w:lang w:val="zh-CN"/>
              </w:rPr>
              <w:t xml:space="preserve">姓  名 </w:t>
            </w:r>
          </w:p>
        </w:tc>
        <w:tc>
          <w:tcPr>
            <w:tcW w:w="1524" w:type="dxa"/>
            <w:noWrap w:val="0"/>
            <w:vAlign w:val="center"/>
          </w:tcPr>
          <w:p w14:paraId="6FD26290">
            <w:pPr>
              <w:pStyle w:val="79"/>
              <w:jc w:val="center"/>
              <w:rPr>
                <w:rFonts w:hint="eastAsia"/>
                <w:sz w:val="21"/>
                <w:szCs w:val="19"/>
                <w:lang w:val="zh-CN"/>
              </w:rPr>
            </w:pPr>
          </w:p>
        </w:tc>
        <w:tc>
          <w:tcPr>
            <w:tcW w:w="934" w:type="dxa"/>
            <w:noWrap w:val="0"/>
            <w:vAlign w:val="center"/>
          </w:tcPr>
          <w:p w14:paraId="58C1788F">
            <w:pPr>
              <w:pStyle w:val="79"/>
              <w:jc w:val="center"/>
              <w:rPr>
                <w:rFonts w:hint="eastAsia"/>
                <w:sz w:val="21"/>
                <w:szCs w:val="19"/>
                <w:lang w:val="zh-CN"/>
              </w:rPr>
            </w:pPr>
            <w:r>
              <w:rPr>
                <w:rFonts w:hint="eastAsia"/>
                <w:sz w:val="21"/>
                <w:szCs w:val="19"/>
                <w:lang w:val="zh-CN"/>
              </w:rPr>
              <w:t>技术职称</w:t>
            </w:r>
          </w:p>
        </w:tc>
        <w:tc>
          <w:tcPr>
            <w:tcW w:w="1977" w:type="dxa"/>
            <w:gridSpan w:val="2"/>
            <w:noWrap w:val="0"/>
            <w:vAlign w:val="center"/>
          </w:tcPr>
          <w:p w14:paraId="026AB0B0">
            <w:pPr>
              <w:pStyle w:val="79"/>
              <w:jc w:val="center"/>
              <w:rPr>
                <w:rFonts w:hint="eastAsia"/>
                <w:sz w:val="21"/>
                <w:szCs w:val="19"/>
                <w:lang w:val="zh-CN"/>
              </w:rPr>
            </w:pPr>
          </w:p>
        </w:tc>
        <w:tc>
          <w:tcPr>
            <w:tcW w:w="716" w:type="dxa"/>
            <w:noWrap w:val="0"/>
            <w:vAlign w:val="center"/>
          </w:tcPr>
          <w:p w14:paraId="1362ABA0">
            <w:pPr>
              <w:pStyle w:val="79"/>
              <w:ind w:right="46" w:rightChars="22"/>
              <w:jc w:val="center"/>
              <w:rPr>
                <w:rFonts w:hint="eastAsia"/>
                <w:sz w:val="21"/>
                <w:szCs w:val="19"/>
                <w:lang w:val="zh-CN"/>
              </w:rPr>
            </w:pPr>
            <w:r>
              <w:rPr>
                <w:rFonts w:hint="eastAsia"/>
                <w:sz w:val="21"/>
                <w:szCs w:val="19"/>
                <w:lang w:val="zh-CN"/>
              </w:rPr>
              <w:t>电  话</w:t>
            </w:r>
          </w:p>
        </w:tc>
        <w:tc>
          <w:tcPr>
            <w:tcW w:w="1114" w:type="dxa"/>
            <w:noWrap w:val="0"/>
            <w:vAlign w:val="center"/>
          </w:tcPr>
          <w:p w14:paraId="25FC76C1">
            <w:pPr>
              <w:pStyle w:val="79"/>
              <w:ind w:right="52"/>
              <w:jc w:val="center"/>
              <w:rPr>
                <w:rFonts w:hint="eastAsia"/>
                <w:sz w:val="21"/>
                <w:szCs w:val="19"/>
                <w:lang w:val="zh-CN"/>
              </w:rPr>
            </w:pPr>
          </w:p>
        </w:tc>
      </w:tr>
      <w:tr w14:paraId="16B94A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1892" w:type="dxa"/>
            <w:noWrap w:val="0"/>
            <w:vAlign w:val="center"/>
          </w:tcPr>
          <w:p w14:paraId="4ED73B1A">
            <w:pPr>
              <w:pStyle w:val="79"/>
              <w:jc w:val="center"/>
              <w:rPr>
                <w:rFonts w:hint="eastAsia"/>
                <w:sz w:val="21"/>
                <w:szCs w:val="19"/>
                <w:lang w:val="zh-CN"/>
              </w:rPr>
            </w:pPr>
            <w:r>
              <w:rPr>
                <w:rFonts w:hint="eastAsia"/>
                <w:sz w:val="21"/>
                <w:szCs w:val="19"/>
                <w:lang w:val="zh-CN"/>
              </w:rPr>
              <w:t>技术负责人</w:t>
            </w:r>
          </w:p>
        </w:tc>
        <w:tc>
          <w:tcPr>
            <w:tcW w:w="840" w:type="dxa"/>
            <w:noWrap w:val="0"/>
            <w:vAlign w:val="center"/>
          </w:tcPr>
          <w:p w14:paraId="0C446C29">
            <w:pPr>
              <w:pStyle w:val="79"/>
              <w:ind w:right="9"/>
              <w:jc w:val="center"/>
              <w:rPr>
                <w:rFonts w:hint="eastAsia"/>
                <w:sz w:val="21"/>
                <w:szCs w:val="19"/>
                <w:lang w:val="zh-CN"/>
              </w:rPr>
            </w:pPr>
            <w:r>
              <w:rPr>
                <w:rFonts w:hint="eastAsia"/>
                <w:sz w:val="21"/>
                <w:szCs w:val="19"/>
                <w:lang w:val="zh-CN"/>
              </w:rPr>
              <w:t xml:space="preserve">姓  名 </w:t>
            </w:r>
          </w:p>
        </w:tc>
        <w:tc>
          <w:tcPr>
            <w:tcW w:w="1524" w:type="dxa"/>
            <w:noWrap w:val="0"/>
            <w:vAlign w:val="center"/>
          </w:tcPr>
          <w:p w14:paraId="039180C6">
            <w:pPr>
              <w:pStyle w:val="79"/>
              <w:jc w:val="center"/>
              <w:rPr>
                <w:rFonts w:hint="eastAsia"/>
                <w:sz w:val="21"/>
                <w:szCs w:val="19"/>
                <w:lang w:val="zh-CN"/>
              </w:rPr>
            </w:pPr>
          </w:p>
        </w:tc>
        <w:tc>
          <w:tcPr>
            <w:tcW w:w="934" w:type="dxa"/>
            <w:noWrap w:val="0"/>
            <w:vAlign w:val="center"/>
          </w:tcPr>
          <w:p w14:paraId="674C4566">
            <w:pPr>
              <w:pStyle w:val="79"/>
              <w:jc w:val="center"/>
              <w:rPr>
                <w:rFonts w:hint="eastAsia"/>
                <w:sz w:val="21"/>
                <w:szCs w:val="19"/>
                <w:lang w:val="zh-CN"/>
              </w:rPr>
            </w:pPr>
            <w:r>
              <w:rPr>
                <w:rFonts w:hint="eastAsia"/>
                <w:sz w:val="21"/>
                <w:szCs w:val="19"/>
                <w:lang w:val="zh-CN"/>
              </w:rPr>
              <w:t>技术职称</w:t>
            </w:r>
          </w:p>
        </w:tc>
        <w:tc>
          <w:tcPr>
            <w:tcW w:w="1977" w:type="dxa"/>
            <w:gridSpan w:val="2"/>
            <w:noWrap w:val="0"/>
            <w:vAlign w:val="center"/>
          </w:tcPr>
          <w:p w14:paraId="5E35F66C">
            <w:pPr>
              <w:pStyle w:val="79"/>
              <w:jc w:val="center"/>
              <w:rPr>
                <w:rFonts w:hint="eastAsia"/>
                <w:sz w:val="21"/>
                <w:szCs w:val="19"/>
                <w:lang w:val="zh-CN"/>
              </w:rPr>
            </w:pPr>
          </w:p>
        </w:tc>
        <w:tc>
          <w:tcPr>
            <w:tcW w:w="716" w:type="dxa"/>
            <w:noWrap w:val="0"/>
            <w:vAlign w:val="center"/>
          </w:tcPr>
          <w:p w14:paraId="777A1A23">
            <w:pPr>
              <w:pStyle w:val="79"/>
              <w:ind w:right="46" w:rightChars="22"/>
              <w:jc w:val="center"/>
              <w:rPr>
                <w:rFonts w:hint="eastAsia"/>
                <w:sz w:val="21"/>
                <w:szCs w:val="19"/>
                <w:lang w:val="zh-CN"/>
              </w:rPr>
            </w:pPr>
            <w:r>
              <w:rPr>
                <w:rFonts w:hint="eastAsia"/>
                <w:sz w:val="21"/>
                <w:szCs w:val="19"/>
                <w:lang w:val="zh-CN"/>
              </w:rPr>
              <w:t>电  话</w:t>
            </w:r>
          </w:p>
        </w:tc>
        <w:tc>
          <w:tcPr>
            <w:tcW w:w="1114" w:type="dxa"/>
            <w:noWrap w:val="0"/>
            <w:vAlign w:val="center"/>
          </w:tcPr>
          <w:p w14:paraId="56098419">
            <w:pPr>
              <w:pStyle w:val="79"/>
              <w:ind w:right="52"/>
              <w:jc w:val="center"/>
              <w:rPr>
                <w:rFonts w:hint="eastAsia"/>
                <w:sz w:val="21"/>
                <w:szCs w:val="19"/>
                <w:lang w:val="zh-CN"/>
              </w:rPr>
            </w:pPr>
          </w:p>
        </w:tc>
      </w:tr>
      <w:tr w14:paraId="45EDCA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9" w:hRule="exact"/>
          <w:jc w:val="center"/>
        </w:trPr>
        <w:tc>
          <w:tcPr>
            <w:tcW w:w="1892" w:type="dxa"/>
            <w:noWrap w:val="0"/>
            <w:vAlign w:val="center"/>
          </w:tcPr>
          <w:p w14:paraId="5BCBE483">
            <w:pPr>
              <w:pStyle w:val="79"/>
              <w:jc w:val="center"/>
              <w:rPr>
                <w:rFonts w:hint="eastAsia"/>
                <w:sz w:val="21"/>
                <w:szCs w:val="19"/>
                <w:lang w:val="zh-CN"/>
              </w:rPr>
            </w:pPr>
            <w:r>
              <w:rPr>
                <w:rFonts w:hint="eastAsia"/>
                <w:sz w:val="21"/>
                <w:szCs w:val="19"/>
                <w:lang w:val="zh-CN"/>
              </w:rPr>
              <w:t>营业执照号</w:t>
            </w:r>
          </w:p>
        </w:tc>
        <w:tc>
          <w:tcPr>
            <w:tcW w:w="2364" w:type="dxa"/>
            <w:gridSpan w:val="2"/>
            <w:noWrap w:val="0"/>
            <w:vAlign w:val="center"/>
          </w:tcPr>
          <w:p w14:paraId="2567E5C0">
            <w:pPr>
              <w:pStyle w:val="79"/>
              <w:jc w:val="center"/>
              <w:rPr>
                <w:rFonts w:hint="eastAsia"/>
                <w:sz w:val="21"/>
                <w:szCs w:val="20"/>
                <w:lang w:val="zh-CN"/>
              </w:rPr>
            </w:pPr>
          </w:p>
        </w:tc>
        <w:tc>
          <w:tcPr>
            <w:tcW w:w="934" w:type="dxa"/>
            <w:vMerge w:val="restart"/>
            <w:noWrap w:val="0"/>
            <w:vAlign w:val="center"/>
          </w:tcPr>
          <w:p w14:paraId="4AA697AC">
            <w:pPr>
              <w:pStyle w:val="79"/>
              <w:jc w:val="center"/>
              <w:rPr>
                <w:rFonts w:hint="eastAsia"/>
                <w:sz w:val="21"/>
                <w:szCs w:val="20"/>
                <w:lang w:val="zh-CN"/>
              </w:rPr>
            </w:pPr>
            <w:r>
              <w:rPr>
                <w:rFonts w:hint="eastAsia"/>
                <w:sz w:val="21"/>
                <w:szCs w:val="19"/>
                <w:lang w:val="zh-CN"/>
              </w:rPr>
              <w:t>其中</w:t>
            </w:r>
          </w:p>
        </w:tc>
        <w:tc>
          <w:tcPr>
            <w:tcW w:w="3807" w:type="dxa"/>
            <w:gridSpan w:val="4"/>
            <w:noWrap w:val="0"/>
            <w:vAlign w:val="center"/>
          </w:tcPr>
          <w:p w14:paraId="14533F5C">
            <w:pPr>
              <w:pStyle w:val="79"/>
              <w:rPr>
                <w:rFonts w:hint="eastAsia"/>
                <w:sz w:val="21"/>
                <w:szCs w:val="19"/>
                <w:lang w:val="zh-CN"/>
              </w:rPr>
            </w:pPr>
            <w:r>
              <w:rPr>
                <w:rFonts w:hint="eastAsia"/>
                <w:sz w:val="21"/>
                <w:szCs w:val="19"/>
                <w:lang w:val="zh-CN"/>
              </w:rPr>
              <w:t>员工总人数</w:t>
            </w:r>
          </w:p>
        </w:tc>
      </w:tr>
      <w:tr w14:paraId="247067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54" w:hRule="exact"/>
          <w:jc w:val="center"/>
        </w:trPr>
        <w:tc>
          <w:tcPr>
            <w:tcW w:w="1892" w:type="dxa"/>
            <w:noWrap w:val="0"/>
            <w:vAlign w:val="center"/>
          </w:tcPr>
          <w:p w14:paraId="35BB30B5">
            <w:pPr>
              <w:pStyle w:val="79"/>
              <w:jc w:val="center"/>
              <w:rPr>
                <w:rFonts w:hint="eastAsia"/>
                <w:sz w:val="21"/>
                <w:szCs w:val="19"/>
                <w:lang w:val="zh-CN"/>
              </w:rPr>
            </w:pPr>
            <w:r>
              <w:rPr>
                <w:rFonts w:hint="eastAsia"/>
                <w:sz w:val="21"/>
                <w:szCs w:val="19"/>
                <w:lang w:val="zh-CN"/>
              </w:rPr>
              <w:t>注册资本</w:t>
            </w:r>
          </w:p>
        </w:tc>
        <w:tc>
          <w:tcPr>
            <w:tcW w:w="2364" w:type="dxa"/>
            <w:gridSpan w:val="2"/>
            <w:noWrap w:val="0"/>
            <w:vAlign w:val="center"/>
          </w:tcPr>
          <w:p w14:paraId="4667986F">
            <w:pPr>
              <w:pStyle w:val="79"/>
              <w:jc w:val="center"/>
              <w:rPr>
                <w:rFonts w:hint="eastAsia"/>
                <w:sz w:val="21"/>
                <w:szCs w:val="19"/>
                <w:lang w:val="zh-CN"/>
              </w:rPr>
            </w:pPr>
          </w:p>
        </w:tc>
        <w:tc>
          <w:tcPr>
            <w:tcW w:w="934" w:type="dxa"/>
            <w:vMerge w:val="continue"/>
            <w:noWrap w:val="0"/>
            <w:vAlign w:val="center"/>
          </w:tcPr>
          <w:p w14:paraId="2A1589E2">
            <w:pPr>
              <w:pStyle w:val="79"/>
              <w:ind w:left="206"/>
              <w:rPr>
                <w:rFonts w:hint="eastAsia"/>
                <w:sz w:val="21"/>
                <w:szCs w:val="19"/>
                <w:lang w:val="zh-CN"/>
              </w:rPr>
            </w:pPr>
          </w:p>
        </w:tc>
        <w:tc>
          <w:tcPr>
            <w:tcW w:w="1432" w:type="dxa"/>
            <w:noWrap w:val="0"/>
            <w:vAlign w:val="center"/>
          </w:tcPr>
          <w:p w14:paraId="435B92F8">
            <w:pPr>
              <w:pStyle w:val="79"/>
              <w:jc w:val="center"/>
              <w:rPr>
                <w:rFonts w:hint="eastAsia"/>
                <w:sz w:val="21"/>
                <w:szCs w:val="19"/>
                <w:lang w:val="zh-CN"/>
              </w:rPr>
            </w:pPr>
            <w:r>
              <w:rPr>
                <w:rFonts w:hint="eastAsia"/>
                <w:sz w:val="21"/>
                <w:szCs w:val="19"/>
                <w:lang w:val="zh-CN"/>
              </w:rPr>
              <w:t>高级职称人员</w:t>
            </w:r>
          </w:p>
        </w:tc>
        <w:tc>
          <w:tcPr>
            <w:tcW w:w="2375" w:type="dxa"/>
            <w:gridSpan w:val="3"/>
            <w:noWrap w:val="0"/>
            <w:vAlign w:val="center"/>
          </w:tcPr>
          <w:p w14:paraId="5E7AC601">
            <w:pPr>
              <w:pStyle w:val="79"/>
              <w:jc w:val="center"/>
              <w:rPr>
                <w:rFonts w:hint="eastAsia"/>
                <w:sz w:val="21"/>
                <w:szCs w:val="19"/>
                <w:lang w:val="zh-CN"/>
              </w:rPr>
            </w:pPr>
          </w:p>
        </w:tc>
      </w:tr>
      <w:tr w14:paraId="162C30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54" w:hRule="exact"/>
          <w:jc w:val="center"/>
        </w:trPr>
        <w:tc>
          <w:tcPr>
            <w:tcW w:w="1892" w:type="dxa"/>
            <w:noWrap w:val="0"/>
            <w:vAlign w:val="center"/>
          </w:tcPr>
          <w:p w14:paraId="727D1134">
            <w:pPr>
              <w:pStyle w:val="79"/>
              <w:jc w:val="center"/>
              <w:rPr>
                <w:rFonts w:hint="eastAsia"/>
                <w:sz w:val="21"/>
                <w:szCs w:val="19"/>
                <w:lang w:val="zh-CN"/>
              </w:rPr>
            </w:pPr>
            <w:r>
              <w:rPr>
                <w:rFonts w:hint="eastAsia"/>
                <w:sz w:val="21"/>
                <w:szCs w:val="19"/>
                <w:lang w:val="zh-CN"/>
              </w:rPr>
              <w:t>成立日期</w:t>
            </w:r>
          </w:p>
        </w:tc>
        <w:tc>
          <w:tcPr>
            <w:tcW w:w="2364" w:type="dxa"/>
            <w:gridSpan w:val="2"/>
            <w:noWrap w:val="0"/>
            <w:vAlign w:val="center"/>
          </w:tcPr>
          <w:p w14:paraId="1432664B">
            <w:pPr>
              <w:pStyle w:val="79"/>
              <w:jc w:val="center"/>
              <w:rPr>
                <w:rFonts w:hint="eastAsia"/>
                <w:sz w:val="21"/>
                <w:szCs w:val="19"/>
                <w:lang w:val="zh-CN"/>
              </w:rPr>
            </w:pPr>
          </w:p>
        </w:tc>
        <w:tc>
          <w:tcPr>
            <w:tcW w:w="934" w:type="dxa"/>
            <w:vMerge w:val="continue"/>
            <w:noWrap w:val="0"/>
            <w:vAlign w:val="center"/>
          </w:tcPr>
          <w:p w14:paraId="145C8BBA">
            <w:pPr>
              <w:pStyle w:val="79"/>
              <w:ind w:left="206"/>
              <w:rPr>
                <w:rFonts w:hint="eastAsia"/>
                <w:sz w:val="21"/>
                <w:szCs w:val="19"/>
                <w:lang w:val="zh-CN"/>
              </w:rPr>
            </w:pPr>
          </w:p>
        </w:tc>
        <w:tc>
          <w:tcPr>
            <w:tcW w:w="1432" w:type="dxa"/>
            <w:noWrap w:val="0"/>
            <w:vAlign w:val="center"/>
          </w:tcPr>
          <w:p w14:paraId="3D5F96B9">
            <w:pPr>
              <w:pStyle w:val="79"/>
              <w:jc w:val="center"/>
              <w:rPr>
                <w:rFonts w:hint="eastAsia"/>
                <w:sz w:val="21"/>
                <w:szCs w:val="19"/>
                <w:lang w:val="zh-CN"/>
              </w:rPr>
            </w:pPr>
            <w:r>
              <w:rPr>
                <w:rFonts w:hint="eastAsia"/>
                <w:sz w:val="21"/>
                <w:szCs w:val="19"/>
                <w:lang w:val="zh-CN"/>
              </w:rPr>
              <w:t>中级职称人员</w:t>
            </w:r>
          </w:p>
        </w:tc>
        <w:tc>
          <w:tcPr>
            <w:tcW w:w="2375" w:type="dxa"/>
            <w:gridSpan w:val="3"/>
            <w:noWrap w:val="0"/>
            <w:vAlign w:val="center"/>
          </w:tcPr>
          <w:p w14:paraId="7C763128">
            <w:pPr>
              <w:pStyle w:val="79"/>
              <w:jc w:val="center"/>
              <w:rPr>
                <w:rFonts w:hint="eastAsia"/>
                <w:sz w:val="21"/>
                <w:szCs w:val="19"/>
                <w:lang w:val="zh-CN"/>
              </w:rPr>
            </w:pPr>
          </w:p>
        </w:tc>
      </w:tr>
      <w:tr w14:paraId="1A73B0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656" w:hRule="exact"/>
          <w:jc w:val="center"/>
        </w:trPr>
        <w:tc>
          <w:tcPr>
            <w:tcW w:w="1892" w:type="dxa"/>
            <w:noWrap w:val="0"/>
            <w:vAlign w:val="center"/>
          </w:tcPr>
          <w:p w14:paraId="76CBCA16">
            <w:pPr>
              <w:pStyle w:val="79"/>
              <w:jc w:val="center"/>
              <w:rPr>
                <w:rFonts w:hint="eastAsia"/>
                <w:sz w:val="21"/>
                <w:szCs w:val="19"/>
                <w:lang w:val="zh-CN"/>
              </w:rPr>
            </w:pPr>
            <w:r>
              <w:rPr>
                <w:rFonts w:hint="eastAsia"/>
                <w:sz w:val="21"/>
                <w:szCs w:val="19"/>
                <w:lang w:val="zh-CN"/>
              </w:rPr>
              <w:t>基本账户</w:t>
            </w:r>
          </w:p>
          <w:p w14:paraId="61EF8CD5">
            <w:pPr>
              <w:pStyle w:val="79"/>
              <w:jc w:val="center"/>
              <w:rPr>
                <w:rFonts w:hint="eastAsia"/>
                <w:sz w:val="21"/>
                <w:szCs w:val="19"/>
                <w:lang w:val="zh-CN"/>
              </w:rPr>
            </w:pPr>
            <w:r>
              <w:rPr>
                <w:rFonts w:hint="eastAsia"/>
                <w:sz w:val="21"/>
                <w:szCs w:val="19"/>
                <w:lang w:val="zh-CN"/>
              </w:rPr>
              <w:t>开户银行</w:t>
            </w:r>
          </w:p>
        </w:tc>
        <w:tc>
          <w:tcPr>
            <w:tcW w:w="2364" w:type="dxa"/>
            <w:gridSpan w:val="2"/>
            <w:noWrap w:val="0"/>
            <w:vAlign w:val="center"/>
          </w:tcPr>
          <w:p w14:paraId="042737EC">
            <w:pPr>
              <w:pStyle w:val="79"/>
              <w:jc w:val="center"/>
              <w:rPr>
                <w:rFonts w:hint="eastAsia"/>
                <w:sz w:val="21"/>
                <w:szCs w:val="19"/>
                <w:lang w:val="zh-CN"/>
              </w:rPr>
            </w:pPr>
          </w:p>
        </w:tc>
        <w:tc>
          <w:tcPr>
            <w:tcW w:w="934" w:type="dxa"/>
            <w:vMerge w:val="continue"/>
            <w:noWrap w:val="0"/>
            <w:vAlign w:val="center"/>
          </w:tcPr>
          <w:p w14:paraId="56EBA300">
            <w:pPr>
              <w:pStyle w:val="79"/>
              <w:jc w:val="center"/>
              <w:rPr>
                <w:rFonts w:hint="eastAsia"/>
                <w:sz w:val="21"/>
                <w:szCs w:val="19"/>
                <w:lang w:val="zh-CN"/>
              </w:rPr>
            </w:pPr>
          </w:p>
        </w:tc>
        <w:tc>
          <w:tcPr>
            <w:tcW w:w="1432" w:type="dxa"/>
            <w:noWrap w:val="0"/>
            <w:vAlign w:val="center"/>
          </w:tcPr>
          <w:p w14:paraId="29E91906">
            <w:pPr>
              <w:pStyle w:val="79"/>
              <w:jc w:val="center"/>
              <w:rPr>
                <w:rFonts w:hint="eastAsia"/>
                <w:sz w:val="21"/>
                <w:szCs w:val="19"/>
                <w:lang w:val="zh-CN"/>
              </w:rPr>
            </w:pPr>
            <w:r>
              <w:rPr>
                <w:rFonts w:hint="eastAsia"/>
                <w:sz w:val="21"/>
                <w:szCs w:val="19"/>
                <w:lang w:val="zh-CN"/>
              </w:rPr>
              <w:t>初级职称人员</w:t>
            </w:r>
          </w:p>
        </w:tc>
        <w:tc>
          <w:tcPr>
            <w:tcW w:w="2375" w:type="dxa"/>
            <w:gridSpan w:val="3"/>
            <w:noWrap w:val="0"/>
            <w:vAlign w:val="center"/>
          </w:tcPr>
          <w:p w14:paraId="37B9FBAE">
            <w:pPr>
              <w:pStyle w:val="79"/>
              <w:jc w:val="center"/>
              <w:rPr>
                <w:rFonts w:hint="eastAsia"/>
                <w:sz w:val="21"/>
                <w:szCs w:val="19"/>
                <w:lang w:val="zh-CN"/>
              </w:rPr>
            </w:pPr>
          </w:p>
        </w:tc>
      </w:tr>
      <w:tr w14:paraId="77CC48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54" w:hRule="exact"/>
          <w:jc w:val="center"/>
        </w:trPr>
        <w:tc>
          <w:tcPr>
            <w:tcW w:w="1892" w:type="dxa"/>
            <w:noWrap w:val="0"/>
            <w:vAlign w:val="center"/>
          </w:tcPr>
          <w:p w14:paraId="10523B74">
            <w:pPr>
              <w:pStyle w:val="79"/>
              <w:jc w:val="center"/>
              <w:rPr>
                <w:rFonts w:hint="eastAsia"/>
                <w:sz w:val="21"/>
                <w:szCs w:val="19"/>
                <w:lang w:val="zh-CN"/>
              </w:rPr>
            </w:pPr>
            <w:r>
              <w:rPr>
                <w:rFonts w:hint="eastAsia"/>
                <w:sz w:val="21"/>
                <w:szCs w:val="19"/>
                <w:lang w:val="zh-CN"/>
              </w:rPr>
              <w:t>基本账户银行账号</w:t>
            </w:r>
          </w:p>
        </w:tc>
        <w:tc>
          <w:tcPr>
            <w:tcW w:w="2364" w:type="dxa"/>
            <w:gridSpan w:val="2"/>
            <w:noWrap w:val="0"/>
            <w:vAlign w:val="center"/>
          </w:tcPr>
          <w:p w14:paraId="4192B032">
            <w:pPr>
              <w:pStyle w:val="79"/>
              <w:jc w:val="center"/>
              <w:rPr>
                <w:rFonts w:hint="eastAsia"/>
                <w:sz w:val="21"/>
                <w:szCs w:val="19"/>
                <w:lang w:val="zh-CN"/>
              </w:rPr>
            </w:pPr>
          </w:p>
        </w:tc>
        <w:tc>
          <w:tcPr>
            <w:tcW w:w="934" w:type="dxa"/>
            <w:vMerge w:val="continue"/>
            <w:noWrap w:val="0"/>
            <w:vAlign w:val="center"/>
          </w:tcPr>
          <w:p w14:paraId="74E0675A">
            <w:pPr>
              <w:pStyle w:val="79"/>
              <w:jc w:val="center"/>
              <w:rPr>
                <w:rFonts w:hint="eastAsia"/>
                <w:sz w:val="21"/>
                <w:szCs w:val="19"/>
                <w:lang w:val="zh-CN"/>
              </w:rPr>
            </w:pPr>
          </w:p>
        </w:tc>
        <w:tc>
          <w:tcPr>
            <w:tcW w:w="1432" w:type="dxa"/>
            <w:noWrap w:val="0"/>
            <w:vAlign w:val="center"/>
          </w:tcPr>
          <w:p w14:paraId="542B2669">
            <w:pPr>
              <w:pStyle w:val="79"/>
              <w:jc w:val="center"/>
              <w:rPr>
                <w:rFonts w:hint="eastAsia"/>
                <w:sz w:val="21"/>
                <w:szCs w:val="19"/>
                <w:lang w:val="zh-CN"/>
              </w:rPr>
            </w:pPr>
            <w:r>
              <w:rPr>
                <w:rFonts w:hint="eastAsia"/>
                <w:sz w:val="21"/>
                <w:szCs w:val="19"/>
                <w:lang w:val="zh-CN"/>
              </w:rPr>
              <w:t>其他人员</w:t>
            </w:r>
          </w:p>
        </w:tc>
        <w:tc>
          <w:tcPr>
            <w:tcW w:w="2375" w:type="dxa"/>
            <w:gridSpan w:val="3"/>
            <w:noWrap w:val="0"/>
            <w:vAlign w:val="center"/>
          </w:tcPr>
          <w:p w14:paraId="74860DCA">
            <w:pPr>
              <w:pStyle w:val="79"/>
              <w:jc w:val="center"/>
              <w:rPr>
                <w:rFonts w:hint="eastAsia"/>
                <w:sz w:val="21"/>
                <w:szCs w:val="19"/>
                <w:lang w:val="zh-CN"/>
              </w:rPr>
            </w:pPr>
          </w:p>
        </w:tc>
      </w:tr>
      <w:tr w14:paraId="58B291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4" w:hRule="exact"/>
          <w:jc w:val="center"/>
        </w:trPr>
        <w:tc>
          <w:tcPr>
            <w:tcW w:w="1892" w:type="dxa"/>
            <w:noWrap w:val="0"/>
            <w:vAlign w:val="center"/>
          </w:tcPr>
          <w:p w14:paraId="3F6C29F7">
            <w:pPr>
              <w:pStyle w:val="79"/>
              <w:jc w:val="center"/>
              <w:rPr>
                <w:rFonts w:hint="eastAsia"/>
                <w:sz w:val="21"/>
                <w:szCs w:val="19"/>
                <w:lang w:val="zh-CN"/>
              </w:rPr>
            </w:pPr>
            <w:r>
              <w:rPr>
                <w:rFonts w:hint="eastAsia"/>
                <w:sz w:val="21"/>
                <w:szCs w:val="19"/>
                <w:lang w:val="zh-CN"/>
              </w:rPr>
              <w:t>经营范围</w:t>
            </w:r>
          </w:p>
        </w:tc>
        <w:tc>
          <w:tcPr>
            <w:tcW w:w="7105" w:type="dxa"/>
            <w:gridSpan w:val="7"/>
            <w:noWrap w:val="0"/>
            <w:vAlign w:val="center"/>
          </w:tcPr>
          <w:p w14:paraId="24ADE1C9">
            <w:pPr>
              <w:pStyle w:val="79"/>
              <w:rPr>
                <w:rFonts w:hint="eastAsia"/>
                <w:sz w:val="21"/>
                <w:szCs w:val="19"/>
                <w:lang w:val="zh-CN"/>
              </w:rPr>
            </w:pPr>
          </w:p>
        </w:tc>
      </w:tr>
      <w:tr w14:paraId="47C5D7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205" w:hRule="exact"/>
          <w:jc w:val="center"/>
        </w:trPr>
        <w:tc>
          <w:tcPr>
            <w:tcW w:w="1892" w:type="dxa"/>
            <w:noWrap w:val="0"/>
            <w:vAlign w:val="center"/>
          </w:tcPr>
          <w:p w14:paraId="54474EB3">
            <w:pPr>
              <w:pStyle w:val="79"/>
              <w:jc w:val="center"/>
              <w:rPr>
                <w:rFonts w:hint="eastAsia"/>
                <w:sz w:val="21"/>
                <w:szCs w:val="19"/>
                <w:lang w:val="zh-CN"/>
              </w:rPr>
            </w:pPr>
            <w:r>
              <w:rPr>
                <w:rFonts w:hint="eastAsia"/>
                <w:sz w:val="21"/>
                <w:szCs w:val="19"/>
                <w:lang w:val="zh-CN"/>
              </w:rPr>
              <w:t>供应商关联企业情况</w:t>
            </w:r>
          </w:p>
        </w:tc>
        <w:tc>
          <w:tcPr>
            <w:tcW w:w="7105" w:type="dxa"/>
            <w:gridSpan w:val="7"/>
            <w:noWrap w:val="0"/>
            <w:vAlign w:val="center"/>
          </w:tcPr>
          <w:p w14:paraId="261E7327">
            <w:pPr>
              <w:pStyle w:val="79"/>
              <w:spacing w:line="360" w:lineRule="auto"/>
              <w:rPr>
                <w:rFonts w:hint="eastAsia"/>
                <w:sz w:val="21"/>
                <w:szCs w:val="19"/>
                <w:lang w:val="zh-CN"/>
              </w:rPr>
            </w:pPr>
            <w:r>
              <w:rPr>
                <w:rFonts w:hint="eastAsia"/>
                <w:sz w:val="21"/>
                <w:szCs w:val="19"/>
                <w:lang w:val="zh-CN"/>
              </w:rPr>
              <w:t>企业应提供其投资参股的关联企业情况，包括以下内容：</w:t>
            </w:r>
          </w:p>
          <w:p w14:paraId="31BE7831">
            <w:pPr>
              <w:pStyle w:val="79"/>
              <w:spacing w:line="360" w:lineRule="auto"/>
              <w:rPr>
                <w:rFonts w:hint="eastAsia"/>
                <w:b/>
                <w:bCs/>
                <w:sz w:val="21"/>
                <w:szCs w:val="19"/>
                <w:u w:val="single"/>
                <w:lang w:val="zh-CN"/>
              </w:rPr>
            </w:pPr>
            <w:r>
              <w:rPr>
                <w:rFonts w:hint="eastAsia"/>
                <w:b/>
                <w:bCs/>
                <w:sz w:val="21"/>
                <w:szCs w:val="19"/>
              </w:rPr>
              <w:t>1</w:t>
            </w:r>
            <w:r>
              <w:rPr>
                <w:rFonts w:hint="eastAsia"/>
                <w:b/>
                <w:bCs/>
                <w:sz w:val="21"/>
                <w:szCs w:val="19"/>
                <w:lang w:val="zh-CN"/>
              </w:rPr>
              <w:t>）与本单位负责人为同一人的其他单位名单：</w:t>
            </w:r>
            <w:r>
              <w:rPr>
                <w:rFonts w:hint="eastAsia"/>
                <w:b/>
                <w:bCs/>
                <w:sz w:val="21"/>
                <w:szCs w:val="19"/>
                <w:u w:val="single"/>
                <w:lang w:val="zh-CN"/>
              </w:rPr>
              <w:t xml:space="preserve">            </w:t>
            </w:r>
            <w:r>
              <w:rPr>
                <w:rFonts w:hint="eastAsia"/>
                <w:b/>
                <w:bCs/>
                <w:sz w:val="21"/>
                <w:szCs w:val="19"/>
                <w:u w:val="single"/>
              </w:rPr>
              <w:t xml:space="preserve"> </w:t>
            </w:r>
            <w:r>
              <w:rPr>
                <w:rFonts w:hint="eastAsia"/>
                <w:b/>
                <w:bCs/>
                <w:sz w:val="21"/>
                <w:szCs w:val="19"/>
                <w:u w:val="single"/>
                <w:lang w:val="zh-CN"/>
              </w:rPr>
              <w:t xml:space="preserve">     </w:t>
            </w:r>
          </w:p>
          <w:p w14:paraId="52826343">
            <w:pPr>
              <w:pStyle w:val="79"/>
              <w:spacing w:line="360" w:lineRule="auto"/>
              <w:rPr>
                <w:rFonts w:hint="eastAsia"/>
                <w:b/>
                <w:bCs/>
                <w:sz w:val="21"/>
                <w:szCs w:val="19"/>
                <w:u w:val="single"/>
                <w:lang w:val="zh-CN"/>
              </w:rPr>
            </w:pPr>
            <w:r>
              <w:rPr>
                <w:rFonts w:hint="eastAsia"/>
                <w:b/>
                <w:bCs/>
                <w:sz w:val="21"/>
                <w:szCs w:val="19"/>
              </w:rPr>
              <w:t>2</w:t>
            </w:r>
            <w:r>
              <w:rPr>
                <w:rFonts w:hint="eastAsia"/>
                <w:b/>
                <w:bCs/>
                <w:sz w:val="21"/>
                <w:szCs w:val="19"/>
                <w:lang w:val="zh-CN"/>
              </w:rPr>
              <w:t>）对本单位存在控股、管理关系的其他单位名单：</w:t>
            </w:r>
            <w:r>
              <w:rPr>
                <w:rFonts w:hint="eastAsia"/>
                <w:b/>
                <w:bCs/>
                <w:sz w:val="21"/>
                <w:szCs w:val="19"/>
                <w:u w:val="single"/>
                <w:lang w:val="zh-CN"/>
              </w:rPr>
              <w:t xml:space="preserve">      </w:t>
            </w:r>
            <w:r>
              <w:rPr>
                <w:rFonts w:hint="eastAsia"/>
                <w:b/>
                <w:bCs/>
                <w:sz w:val="21"/>
                <w:szCs w:val="19"/>
                <w:u w:val="single"/>
              </w:rPr>
              <w:t xml:space="preserve">    </w:t>
            </w:r>
            <w:r>
              <w:rPr>
                <w:rFonts w:hint="eastAsia"/>
                <w:b/>
                <w:bCs/>
                <w:sz w:val="21"/>
                <w:szCs w:val="19"/>
                <w:u w:val="single"/>
                <w:lang w:val="zh-CN"/>
              </w:rPr>
              <w:t xml:space="preserve">    </w:t>
            </w:r>
          </w:p>
          <w:p w14:paraId="4F7926E3">
            <w:pPr>
              <w:pStyle w:val="79"/>
              <w:spacing w:line="360" w:lineRule="auto"/>
              <w:rPr>
                <w:rFonts w:hint="eastAsia"/>
                <w:sz w:val="21"/>
                <w:szCs w:val="19"/>
                <w:lang w:val="zh-CN"/>
              </w:rPr>
            </w:pPr>
            <w:r>
              <w:rPr>
                <w:rFonts w:hint="eastAsia"/>
                <w:b/>
                <w:bCs/>
                <w:sz w:val="21"/>
                <w:szCs w:val="19"/>
                <w:lang w:val="zh-CN"/>
              </w:rPr>
              <w:t xml:space="preserve">3）本单位对其他单位存在控股、管理关系的名单： </w:t>
            </w:r>
            <w:r>
              <w:rPr>
                <w:rFonts w:hint="eastAsia"/>
                <w:b/>
                <w:bCs/>
                <w:sz w:val="21"/>
                <w:szCs w:val="19"/>
                <w:u w:val="single"/>
                <w:lang w:val="zh-CN"/>
              </w:rPr>
              <w:t xml:space="preserve">      </w:t>
            </w:r>
            <w:r>
              <w:rPr>
                <w:rFonts w:hint="eastAsia"/>
                <w:b/>
                <w:bCs/>
                <w:sz w:val="21"/>
                <w:szCs w:val="19"/>
                <w:u w:val="single"/>
              </w:rPr>
              <w:t xml:space="preserve"> </w:t>
            </w:r>
            <w:r>
              <w:rPr>
                <w:rFonts w:hint="eastAsia"/>
                <w:b/>
                <w:bCs/>
                <w:sz w:val="21"/>
                <w:szCs w:val="19"/>
                <w:u w:val="single"/>
                <w:lang w:val="zh-CN"/>
              </w:rPr>
              <w:t xml:space="preserve">      </w:t>
            </w:r>
          </w:p>
        </w:tc>
      </w:tr>
      <w:tr w14:paraId="3B7241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44" w:hRule="exact"/>
          <w:jc w:val="center"/>
        </w:trPr>
        <w:tc>
          <w:tcPr>
            <w:tcW w:w="1892" w:type="dxa"/>
            <w:noWrap w:val="0"/>
            <w:vAlign w:val="center"/>
          </w:tcPr>
          <w:p w14:paraId="7D474E64">
            <w:pPr>
              <w:pStyle w:val="79"/>
              <w:ind w:left="6" w:leftChars="3"/>
              <w:jc w:val="center"/>
              <w:rPr>
                <w:rFonts w:hint="eastAsia"/>
                <w:sz w:val="21"/>
                <w:szCs w:val="21"/>
                <w:lang w:val="zh-CN"/>
              </w:rPr>
            </w:pPr>
            <w:r>
              <w:rPr>
                <w:rFonts w:hint="eastAsia"/>
                <w:sz w:val="21"/>
                <w:szCs w:val="21"/>
                <w:lang w:val="zh-CN"/>
              </w:rPr>
              <w:t>备 注</w:t>
            </w:r>
          </w:p>
        </w:tc>
        <w:tc>
          <w:tcPr>
            <w:tcW w:w="7105" w:type="dxa"/>
            <w:gridSpan w:val="7"/>
            <w:noWrap w:val="0"/>
            <w:vAlign w:val="center"/>
          </w:tcPr>
          <w:p w14:paraId="6EF05146">
            <w:pPr>
              <w:pStyle w:val="79"/>
              <w:jc w:val="center"/>
              <w:rPr>
                <w:rFonts w:hint="eastAsia"/>
                <w:szCs w:val="19"/>
                <w:lang w:val="zh-CN"/>
              </w:rPr>
            </w:pPr>
          </w:p>
        </w:tc>
      </w:tr>
    </w:tbl>
    <w:p w14:paraId="771107BE">
      <w:pPr>
        <w:spacing w:line="400" w:lineRule="exact"/>
        <w:ind w:firstLine="420"/>
        <w:rPr>
          <w:rFonts w:hint="eastAsia" w:ascii="黑体" w:hAnsi="黑体" w:eastAsia="黑体" w:cs="黑体"/>
        </w:rPr>
      </w:pPr>
      <w:r>
        <w:rPr>
          <w:rFonts w:hint="eastAsia" w:ascii="黑体" w:hAnsi="黑体" w:eastAsia="黑体" w:cs="黑体"/>
        </w:rPr>
        <w:t>供应商应根据供应商须知第3.5.1项和第3.5.2项的要求提供主体资格证明及相关资质证明材料。</w:t>
      </w:r>
    </w:p>
    <w:p w14:paraId="5B3C60E8">
      <w:pPr>
        <w:spacing w:line="400" w:lineRule="exact"/>
        <w:ind w:firstLine="420"/>
        <w:rPr>
          <w:rFonts w:hint="eastAsia" w:ascii="黑体" w:hAnsi="黑体" w:eastAsia="黑体" w:cs="黑体"/>
        </w:rPr>
      </w:pPr>
      <w:r>
        <w:rPr>
          <w:rFonts w:hint="eastAsia" w:ascii="黑体" w:hAnsi="黑体" w:eastAsia="黑体" w:cs="黑体"/>
        </w:rPr>
        <w:t>供应商还应根据供应商须知第3.5.5项的要求提供相关证明材料。</w:t>
      </w:r>
    </w:p>
    <w:p w14:paraId="2B767C14">
      <w:pPr>
        <w:spacing w:line="400" w:lineRule="exact"/>
        <w:ind w:firstLine="420"/>
        <w:rPr>
          <w:rFonts w:ascii="宋体" w:hAnsi="宋体"/>
        </w:rPr>
      </w:pPr>
    </w:p>
    <w:p w14:paraId="1017DBEB">
      <w:pPr>
        <w:spacing w:line="400" w:lineRule="exact"/>
        <w:ind w:firstLine="420"/>
        <w:rPr>
          <w:rFonts w:ascii="宋体" w:hAnsi="宋体"/>
        </w:rPr>
      </w:pPr>
    </w:p>
    <w:p w14:paraId="1AC23CC6">
      <w:pPr>
        <w:pStyle w:val="20"/>
      </w:pPr>
    </w:p>
    <w:p w14:paraId="2D2C4250"/>
    <w:p w14:paraId="1A1310F8"/>
    <w:p w14:paraId="3CCDCA4A">
      <w:pPr>
        <w:widowControl/>
        <w:numPr>
          <w:ilvl w:val="0"/>
          <w:numId w:val="3"/>
        </w:numPr>
        <w:spacing w:before="100" w:beforeAutospacing="1" w:after="100" w:afterAutospacing="1"/>
        <w:jc w:val="center"/>
        <w:outlineLvl w:val="2"/>
        <w:rPr>
          <w:rFonts w:ascii="宋体" w:hAnsi="宋体"/>
          <w:b/>
          <w:bCs/>
          <w:kern w:val="0"/>
          <w:sz w:val="27"/>
          <w:szCs w:val="27"/>
          <w:highlight w:val="none"/>
        </w:rPr>
      </w:pPr>
      <w:r>
        <w:rPr>
          <w:rFonts w:ascii="宋体" w:hAnsi="宋体"/>
          <w:b/>
          <w:bCs/>
          <w:kern w:val="0"/>
          <w:sz w:val="27"/>
          <w:szCs w:val="27"/>
          <w:highlight w:val="none"/>
        </w:rPr>
        <w:t>近年</w:t>
      </w:r>
      <w:r>
        <w:rPr>
          <w:rFonts w:hint="eastAsia" w:ascii="宋体" w:hAnsi="宋体"/>
          <w:b/>
          <w:bCs/>
          <w:kern w:val="0"/>
          <w:sz w:val="27"/>
          <w:szCs w:val="27"/>
          <w:highlight w:val="none"/>
          <w:lang w:val="en-US" w:eastAsia="zh-CN"/>
        </w:rPr>
        <w:t>已完</w:t>
      </w:r>
      <w:r>
        <w:rPr>
          <w:rFonts w:ascii="宋体" w:hAnsi="宋体"/>
          <w:b/>
          <w:bCs/>
          <w:kern w:val="0"/>
          <w:sz w:val="27"/>
          <w:szCs w:val="27"/>
          <w:highlight w:val="none"/>
        </w:rPr>
        <w:t>类似项目情况表</w:t>
      </w:r>
    </w:p>
    <w:p w14:paraId="0EF7C4B8">
      <w:pPr>
        <w:widowControl/>
        <w:numPr>
          <w:ilvl w:val="0"/>
          <w:numId w:val="4"/>
        </w:numPr>
        <w:spacing w:before="100" w:beforeAutospacing="1" w:after="100" w:afterAutospacing="1"/>
        <w:jc w:val="center"/>
        <w:outlineLvl w:val="2"/>
        <w:rPr>
          <w:rFonts w:hint="eastAsia" w:ascii="宋体" w:hAnsi="宋体"/>
          <w:b/>
          <w:bCs/>
          <w:kern w:val="0"/>
          <w:sz w:val="27"/>
          <w:szCs w:val="27"/>
          <w:highlight w:val="none"/>
          <w:lang w:val="en-US" w:eastAsia="zh-CN"/>
        </w:rPr>
      </w:pPr>
      <w:r>
        <w:rPr>
          <w:rFonts w:hint="eastAsia" w:ascii="宋体" w:hAnsi="宋体"/>
          <w:b/>
          <w:bCs/>
          <w:kern w:val="0"/>
          <w:sz w:val="27"/>
          <w:szCs w:val="27"/>
          <w:highlight w:val="none"/>
          <w:lang w:val="en-US" w:eastAsia="zh-CN"/>
        </w:rPr>
        <w:t>近年已完成类似项目汇总表</w:t>
      </w:r>
    </w:p>
    <w:tbl>
      <w:tblPr>
        <w:tblStyle w:val="107"/>
        <w:tblW w:w="83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6"/>
        <w:gridCol w:w="2908"/>
        <w:gridCol w:w="1651"/>
        <w:gridCol w:w="1620"/>
        <w:gridCol w:w="1513"/>
      </w:tblGrid>
      <w:tr w14:paraId="6711E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696" w:type="dxa"/>
            <w:vAlign w:val="top"/>
          </w:tcPr>
          <w:p w14:paraId="3B61A725">
            <w:pPr>
              <w:pStyle w:val="167"/>
              <w:spacing w:before="262" w:line="222" w:lineRule="auto"/>
              <w:ind w:left="142"/>
              <w:rPr>
                <w:highlight w:val="none"/>
              </w:rPr>
            </w:pPr>
            <w:r>
              <w:rPr>
                <w:spacing w:val="-2"/>
                <w:highlight w:val="none"/>
              </w:rPr>
              <w:t>序号</w:t>
            </w:r>
          </w:p>
        </w:tc>
        <w:tc>
          <w:tcPr>
            <w:tcW w:w="2908" w:type="dxa"/>
            <w:vAlign w:val="top"/>
          </w:tcPr>
          <w:p w14:paraId="039B9708">
            <w:pPr>
              <w:pStyle w:val="167"/>
              <w:spacing w:before="262" w:line="221" w:lineRule="auto"/>
              <w:ind w:left="1247"/>
              <w:rPr>
                <w:highlight w:val="none"/>
              </w:rPr>
            </w:pPr>
            <w:r>
              <w:rPr>
                <w:spacing w:val="-3"/>
                <w:highlight w:val="none"/>
              </w:rPr>
              <w:t>项目名称</w:t>
            </w:r>
          </w:p>
        </w:tc>
        <w:tc>
          <w:tcPr>
            <w:tcW w:w="1651" w:type="dxa"/>
            <w:vAlign w:val="top"/>
          </w:tcPr>
          <w:p w14:paraId="2BB4AA26">
            <w:pPr>
              <w:pStyle w:val="167"/>
              <w:spacing w:before="262" w:line="220" w:lineRule="auto"/>
              <w:ind w:left="408"/>
              <w:rPr>
                <w:highlight w:val="none"/>
              </w:rPr>
            </w:pPr>
            <w:r>
              <w:rPr>
                <w:spacing w:val="-2"/>
                <w:highlight w:val="none"/>
              </w:rPr>
              <w:t>材料名称</w:t>
            </w:r>
          </w:p>
        </w:tc>
        <w:tc>
          <w:tcPr>
            <w:tcW w:w="1620" w:type="dxa"/>
            <w:vAlign w:val="top"/>
          </w:tcPr>
          <w:p w14:paraId="3C7DF5E7">
            <w:pPr>
              <w:pStyle w:val="167"/>
              <w:spacing w:before="262" w:line="220" w:lineRule="auto"/>
              <w:ind w:left="183"/>
              <w:rPr>
                <w:rFonts w:hint="default" w:eastAsia="宋体"/>
                <w:highlight w:val="none"/>
                <w:lang w:val="en-US" w:eastAsia="zh-CN"/>
              </w:rPr>
            </w:pPr>
            <w:r>
              <w:rPr>
                <w:rFonts w:hint="eastAsia"/>
                <w:spacing w:val="-1"/>
                <w:highlight w:val="none"/>
                <w:lang w:val="en-US" w:eastAsia="zh-CN"/>
              </w:rPr>
              <w:t>合同签订时间</w:t>
            </w:r>
          </w:p>
        </w:tc>
        <w:tc>
          <w:tcPr>
            <w:tcW w:w="1513" w:type="dxa"/>
            <w:vAlign w:val="top"/>
          </w:tcPr>
          <w:p w14:paraId="10FB8DDE">
            <w:pPr>
              <w:pStyle w:val="167"/>
              <w:spacing w:before="125" w:line="243" w:lineRule="auto"/>
              <w:ind w:left="346" w:right="228" w:hanging="111"/>
              <w:rPr>
                <w:highlight w:val="none"/>
              </w:rPr>
            </w:pPr>
            <w:r>
              <w:rPr>
                <w:rFonts w:hint="eastAsia"/>
                <w:spacing w:val="-2"/>
                <w:highlight w:val="none"/>
                <w:lang w:val="en-US" w:eastAsia="zh-CN"/>
              </w:rPr>
              <w:t>运输</w:t>
            </w:r>
            <w:r>
              <w:rPr>
                <w:spacing w:val="-2"/>
                <w:highlight w:val="none"/>
              </w:rPr>
              <w:t>量</w:t>
            </w:r>
            <w:r>
              <w:rPr>
                <w:spacing w:val="-6"/>
                <w:highlight w:val="none"/>
              </w:rPr>
              <w:t>（吨）</w:t>
            </w:r>
          </w:p>
        </w:tc>
      </w:tr>
      <w:tr w14:paraId="2C7CA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6" w:type="dxa"/>
            <w:vAlign w:val="top"/>
          </w:tcPr>
          <w:p w14:paraId="45D01678">
            <w:pPr>
              <w:rPr>
                <w:rFonts w:ascii="Arial"/>
                <w:sz w:val="21"/>
                <w:highlight w:val="green"/>
              </w:rPr>
            </w:pPr>
          </w:p>
        </w:tc>
        <w:tc>
          <w:tcPr>
            <w:tcW w:w="2908" w:type="dxa"/>
            <w:vAlign w:val="top"/>
          </w:tcPr>
          <w:p w14:paraId="73B09534">
            <w:pPr>
              <w:rPr>
                <w:rFonts w:ascii="Arial"/>
                <w:sz w:val="21"/>
                <w:highlight w:val="green"/>
              </w:rPr>
            </w:pPr>
          </w:p>
        </w:tc>
        <w:tc>
          <w:tcPr>
            <w:tcW w:w="1651" w:type="dxa"/>
            <w:vAlign w:val="top"/>
          </w:tcPr>
          <w:p w14:paraId="03D95C8B">
            <w:pPr>
              <w:rPr>
                <w:rFonts w:ascii="Arial"/>
                <w:sz w:val="21"/>
                <w:highlight w:val="green"/>
              </w:rPr>
            </w:pPr>
          </w:p>
        </w:tc>
        <w:tc>
          <w:tcPr>
            <w:tcW w:w="1620" w:type="dxa"/>
            <w:vAlign w:val="top"/>
          </w:tcPr>
          <w:p w14:paraId="090CB5F2">
            <w:pPr>
              <w:rPr>
                <w:rFonts w:ascii="Arial"/>
                <w:sz w:val="21"/>
                <w:highlight w:val="green"/>
              </w:rPr>
            </w:pPr>
          </w:p>
        </w:tc>
        <w:tc>
          <w:tcPr>
            <w:tcW w:w="1513" w:type="dxa"/>
            <w:vAlign w:val="top"/>
          </w:tcPr>
          <w:p w14:paraId="7452AB40">
            <w:pPr>
              <w:rPr>
                <w:rFonts w:ascii="Arial"/>
                <w:sz w:val="21"/>
                <w:highlight w:val="green"/>
              </w:rPr>
            </w:pPr>
          </w:p>
        </w:tc>
      </w:tr>
      <w:tr w14:paraId="697C0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6" w:type="dxa"/>
            <w:vAlign w:val="top"/>
          </w:tcPr>
          <w:p w14:paraId="709F0649">
            <w:pPr>
              <w:rPr>
                <w:rFonts w:ascii="Arial"/>
                <w:sz w:val="21"/>
                <w:highlight w:val="green"/>
              </w:rPr>
            </w:pPr>
          </w:p>
        </w:tc>
        <w:tc>
          <w:tcPr>
            <w:tcW w:w="2908" w:type="dxa"/>
            <w:vAlign w:val="top"/>
          </w:tcPr>
          <w:p w14:paraId="3D40A48C">
            <w:pPr>
              <w:rPr>
                <w:rFonts w:ascii="Arial"/>
                <w:sz w:val="21"/>
                <w:highlight w:val="green"/>
              </w:rPr>
            </w:pPr>
          </w:p>
        </w:tc>
        <w:tc>
          <w:tcPr>
            <w:tcW w:w="1651" w:type="dxa"/>
            <w:vAlign w:val="top"/>
          </w:tcPr>
          <w:p w14:paraId="2A9A34E0">
            <w:pPr>
              <w:rPr>
                <w:rFonts w:ascii="Arial"/>
                <w:sz w:val="21"/>
                <w:highlight w:val="green"/>
              </w:rPr>
            </w:pPr>
          </w:p>
        </w:tc>
        <w:tc>
          <w:tcPr>
            <w:tcW w:w="1620" w:type="dxa"/>
            <w:vAlign w:val="top"/>
          </w:tcPr>
          <w:p w14:paraId="581B877B">
            <w:pPr>
              <w:rPr>
                <w:rFonts w:ascii="Arial"/>
                <w:sz w:val="21"/>
                <w:highlight w:val="green"/>
              </w:rPr>
            </w:pPr>
          </w:p>
        </w:tc>
        <w:tc>
          <w:tcPr>
            <w:tcW w:w="1513" w:type="dxa"/>
            <w:vAlign w:val="top"/>
          </w:tcPr>
          <w:p w14:paraId="6C96EDDD">
            <w:pPr>
              <w:rPr>
                <w:rFonts w:ascii="Arial"/>
                <w:sz w:val="21"/>
                <w:highlight w:val="green"/>
              </w:rPr>
            </w:pPr>
          </w:p>
        </w:tc>
      </w:tr>
      <w:tr w14:paraId="4E448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6" w:type="dxa"/>
            <w:vAlign w:val="top"/>
          </w:tcPr>
          <w:p w14:paraId="6D22BCFC">
            <w:pPr>
              <w:rPr>
                <w:rFonts w:ascii="Arial"/>
                <w:sz w:val="21"/>
                <w:highlight w:val="green"/>
              </w:rPr>
            </w:pPr>
          </w:p>
        </w:tc>
        <w:tc>
          <w:tcPr>
            <w:tcW w:w="2908" w:type="dxa"/>
            <w:vAlign w:val="top"/>
          </w:tcPr>
          <w:p w14:paraId="52CA55EC">
            <w:pPr>
              <w:rPr>
                <w:rFonts w:ascii="Arial"/>
                <w:sz w:val="21"/>
                <w:highlight w:val="green"/>
              </w:rPr>
            </w:pPr>
          </w:p>
        </w:tc>
        <w:tc>
          <w:tcPr>
            <w:tcW w:w="1651" w:type="dxa"/>
            <w:vAlign w:val="top"/>
          </w:tcPr>
          <w:p w14:paraId="4A1DBB55">
            <w:pPr>
              <w:rPr>
                <w:rFonts w:ascii="Arial"/>
                <w:sz w:val="21"/>
                <w:highlight w:val="green"/>
              </w:rPr>
            </w:pPr>
          </w:p>
        </w:tc>
        <w:tc>
          <w:tcPr>
            <w:tcW w:w="1620" w:type="dxa"/>
            <w:vAlign w:val="top"/>
          </w:tcPr>
          <w:p w14:paraId="62822F5D">
            <w:pPr>
              <w:rPr>
                <w:rFonts w:ascii="Arial"/>
                <w:sz w:val="21"/>
                <w:highlight w:val="green"/>
              </w:rPr>
            </w:pPr>
          </w:p>
        </w:tc>
        <w:tc>
          <w:tcPr>
            <w:tcW w:w="1513" w:type="dxa"/>
            <w:vAlign w:val="top"/>
          </w:tcPr>
          <w:p w14:paraId="177954BD">
            <w:pPr>
              <w:rPr>
                <w:rFonts w:ascii="Arial"/>
                <w:sz w:val="21"/>
                <w:highlight w:val="green"/>
              </w:rPr>
            </w:pPr>
          </w:p>
        </w:tc>
      </w:tr>
      <w:tr w14:paraId="51E83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6" w:type="dxa"/>
            <w:vAlign w:val="top"/>
          </w:tcPr>
          <w:p w14:paraId="6FE8924D">
            <w:pPr>
              <w:rPr>
                <w:rFonts w:ascii="Arial"/>
                <w:sz w:val="21"/>
                <w:highlight w:val="green"/>
              </w:rPr>
            </w:pPr>
          </w:p>
        </w:tc>
        <w:tc>
          <w:tcPr>
            <w:tcW w:w="2908" w:type="dxa"/>
            <w:vAlign w:val="top"/>
          </w:tcPr>
          <w:p w14:paraId="381F203C">
            <w:pPr>
              <w:rPr>
                <w:rFonts w:ascii="Arial"/>
                <w:sz w:val="21"/>
                <w:highlight w:val="green"/>
              </w:rPr>
            </w:pPr>
          </w:p>
        </w:tc>
        <w:tc>
          <w:tcPr>
            <w:tcW w:w="1651" w:type="dxa"/>
            <w:vAlign w:val="top"/>
          </w:tcPr>
          <w:p w14:paraId="2F0383F2">
            <w:pPr>
              <w:rPr>
                <w:rFonts w:ascii="Arial"/>
                <w:sz w:val="21"/>
                <w:highlight w:val="green"/>
              </w:rPr>
            </w:pPr>
          </w:p>
        </w:tc>
        <w:tc>
          <w:tcPr>
            <w:tcW w:w="1620" w:type="dxa"/>
            <w:vAlign w:val="top"/>
          </w:tcPr>
          <w:p w14:paraId="5364936F">
            <w:pPr>
              <w:rPr>
                <w:rFonts w:ascii="Arial"/>
                <w:sz w:val="21"/>
                <w:highlight w:val="green"/>
              </w:rPr>
            </w:pPr>
          </w:p>
        </w:tc>
        <w:tc>
          <w:tcPr>
            <w:tcW w:w="1513" w:type="dxa"/>
            <w:vAlign w:val="top"/>
          </w:tcPr>
          <w:p w14:paraId="096642F6">
            <w:pPr>
              <w:rPr>
                <w:rFonts w:ascii="Arial"/>
                <w:sz w:val="21"/>
                <w:highlight w:val="green"/>
              </w:rPr>
            </w:pPr>
          </w:p>
        </w:tc>
      </w:tr>
      <w:tr w14:paraId="40896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6" w:type="dxa"/>
            <w:vAlign w:val="top"/>
          </w:tcPr>
          <w:p w14:paraId="55EF6EC1">
            <w:pPr>
              <w:rPr>
                <w:rFonts w:ascii="Arial"/>
                <w:sz w:val="21"/>
                <w:highlight w:val="green"/>
              </w:rPr>
            </w:pPr>
          </w:p>
        </w:tc>
        <w:tc>
          <w:tcPr>
            <w:tcW w:w="2908" w:type="dxa"/>
            <w:vAlign w:val="top"/>
          </w:tcPr>
          <w:p w14:paraId="7DA414EC">
            <w:pPr>
              <w:rPr>
                <w:rFonts w:ascii="Arial"/>
                <w:sz w:val="21"/>
                <w:highlight w:val="green"/>
              </w:rPr>
            </w:pPr>
          </w:p>
        </w:tc>
        <w:tc>
          <w:tcPr>
            <w:tcW w:w="1651" w:type="dxa"/>
            <w:vAlign w:val="top"/>
          </w:tcPr>
          <w:p w14:paraId="1606EA7A">
            <w:pPr>
              <w:rPr>
                <w:rFonts w:ascii="Arial"/>
                <w:sz w:val="21"/>
                <w:highlight w:val="green"/>
              </w:rPr>
            </w:pPr>
          </w:p>
        </w:tc>
        <w:tc>
          <w:tcPr>
            <w:tcW w:w="1620" w:type="dxa"/>
            <w:vAlign w:val="top"/>
          </w:tcPr>
          <w:p w14:paraId="557E0210">
            <w:pPr>
              <w:rPr>
                <w:rFonts w:ascii="Arial"/>
                <w:sz w:val="21"/>
                <w:highlight w:val="green"/>
              </w:rPr>
            </w:pPr>
          </w:p>
        </w:tc>
        <w:tc>
          <w:tcPr>
            <w:tcW w:w="1513" w:type="dxa"/>
            <w:vAlign w:val="top"/>
          </w:tcPr>
          <w:p w14:paraId="1624F370">
            <w:pPr>
              <w:rPr>
                <w:rFonts w:ascii="Arial"/>
                <w:sz w:val="21"/>
                <w:highlight w:val="green"/>
              </w:rPr>
            </w:pPr>
          </w:p>
        </w:tc>
      </w:tr>
      <w:tr w14:paraId="0617D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6" w:type="dxa"/>
            <w:vAlign w:val="top"/>
          </w:tcPr>
          <w:p w14:paraId="0C2BBAA8">
            <w:pPr>
              <w:rPr>
                <w:rFonts w:ascii="Arial"/>
                <w:sz w:val="21"/>
                <w:highlight w:val="green"/>
              </w:rPr>
            </w:pPr>
          </w:p>
        </w:tc>
        <w:tc>
          <w:tcPr>
            <w:tcW w:w="2908" w:type="dxa"/>
            <w:vAlign w:val="top"/>
          </w:tcPr>
          <w:p w14:paraId="295DEB49">
            <w:pPr>
              <w:rPr>
                <w:rFonts w:ascii="Arial"/>
                <w:sz w:val="21"/>
                <w:highlight w:val="green"/>
              </w:rPr>
            </w:pPr>
          </w:p>
        </w:tc>
        <w:tc>
          <w:tcPr>
            <w:tcW w:w="1651" w:type="dxa"/>
            <w:vAlign w:val="top"/>
          </w:tcPr>
          <w:p w14:paraId="24CAD15A">
            <w:pPr>
              <w:rPr>
                <w:rFonts w:ascii="Arial"/>
                <w:sz w:val="21"/>
                <w:highlight w:val="green"/>
              </w:rPr>
            </w:pPr>
          </w:p>
        </w:tc>
        <w:tc>
          <w:tcPr>
            <w:tcW w:w="1620" w:type="dxa"/>
            <w:vAlign w:val="top"/>
          </w:tcPr>
          <w:p w14:paraId="383F4B76">
            <w:pPr>
              <w:rPr>
                <w:rFonts w:ascii="Arial"/>
                <w:sz w:val="21"/>
                <w:highlight w:val="green"/>
              </w:rPr>
            </w:pPr>
          </w:p>
        </w:tc>
        <w:tc>
          <w:tcPr>
            <w:tcW w:w="1513" w:type="dxa"/>
            <w:vAlign w:val="top"/>
          </w:tcPr>
          <w:p w14:paraId="1138E64B">
            <w:pPr>
              <w:rPr>
                <w:rFonts w:ascii="Arial"/>
                <w:sz w:val="21"/>
                <w:highlight w:val="green"/>
              </w:rPr>
            </w:pPr>
          </w:p>
        </w:tc>
      </w:tr>
      <w:tr w14:paraId="5519B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6" w:type="dxa"/>
            <w:vAlign w:val="top"/>
          </w:tcPr>
          <w:p w14:paraId="198500C7">
            <w:pPr>
              <w:rPr>
                <w:rFonts w:ascii="Arial"/>
                <w:sz w:val="21"/>
                <w:highlight w:val="green"/>
              </w:rPr>
            </w:pPr>
          </w:p>
        </w:tc>
        <w:tc>
          <w:tcPr>
            <w:tcW w:w="2908" w:type="dxa"/>
            <w:vAlign w:val="top"/>
          </w:tcPr>
          <w:p w14:paraId="27C380AE">
            <w:pPr>
              <w:rPr>
                <w:rFonts w:ascii="Arial"/>
                <w:sz w:val="21"/>
                <w:highlight w:val="green"/>
              </w:rPr>
            </w:pPr>
          </w:p>
        </w:tc>
        <w:tc>
          <w:tcPr>
            <w:tcW w:w="1651" w:type="dxa"/>
            <w:vAlign w:val="top"/>
          </w:tcPr>
          <w:p w14:paraId="3FF59B5D">
            <w:pPr>
              <w:rPr>
                <w:rFonts w:ascii="Arial"/>
                <w:sz w:val="21"/>
                <w:highlight w:val="green"/>
              </w:rPr>
            </w:pPr>
          </w:p>
        </w:tc>
        <w:tc>
          <w:tcPr>
            <w:tcW w:w="1620" w:type="dxa"/>
            <w:vAlign w:val="top"/>
          </w:tcPr>
          <w:p w14:paraId="4BD347A5">
            <w:pPr>
              <w:rPr>
                <w:rFonts w:ascii="Arial"/>
                <w:sz w:val="21"/>
                <w:highlight w:val="green"/>
              </w:rPr>
            </w:pPr>
          </w:p>
        </w:tc>
        <w:tc>
          <w:tcPr>
            <w:tcW w:w="1513" w:type="dxa"/>
            <w:vAlign w:val="top"/>
          </w:tcPr>
          <w:p w14:paraId="3FE76F08">
            <w:pPr>
              <w:rPr>
                <w:rFonts w:ascii="Arial"/>
                <w:sz w:val="21"/>
                <w:highlight w:val="green"/>
              </w:rPr>
            </w:pPr>
          </w:p>
        </w:tc>
      </w:tr>
      <w:tr w14:paraId="20764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6" w:type="dxa"/>
            <w:vAlign w:val="top"/>
          </w:tcPr>
          <w:p w14:paraId="7E192232">
            <w:pPr>
              <w:rPr>
                <w:rFonts w:ascii="Arial"/>
                <w:sz w:val="21"/>
                <w:highlight w:val="green"/>
              </w:rPr>
            </w:pPr>
          </w:p>
        </w:tc>
        <w:tc>
          <w:tcPr>
            <w:tcW w:w="2908" w:type="dxa"/>
            <w:vAlign w:val="top"/>
          </w:tcPr>
          <w:p w14:paraId="679F59AC">
            <w:pPr>
              <w:rPr>
                <w:rFonts w:ascii="Arial"/>
                <w:sz w:val="21"/>
                <w:highlight w:val="green"/>
              </w:rPr>
            </w:pPr>
          </w:p>
        </w:tc>
        <w:tc>
          <w:tcPr>
            <w:tcW w:w="1651" w:type="dxa"/>
            <w:vAlign w:val="top"/>
          </w:tcPr>
          <w:p w14:paraId="0A369FE8">
            <w:pPr>
              <w:rPr>
                <w:rFonts w:ascii="Arial"/>
                <w:sz w:val="21"/>
                <w:highlight w:val="green"/>
              </w:rPr>
            </w:pPr>
          </w:p>
        </w:tc>
        <w:tc>
          <w:tcPr>
            <w:tcW w:w="1620" w:type="dxa"/>
            <w:vAlign w:val="top"/>
          </w:tcPr>
          <w:p w14:paraId="5705FB46">
            <w:pPr>
              <w:rPr>
                <w:rFonts w:ascii="Arial"/>
                <w:sz w:val="21"/>
                <w:highlight w:val="green"/>
              </w:rPr>
            </w:pPr>
          </w:p>
        </w:tc>
        <w:tc>
          <w:tcPr>
            <w:tcW w:w="1513" w:type="dxa"/>
            <w:vAlign w:val="top"/>
          </w:tcPr>
          <w:p w14:paraId="6EAD7E6F">
            <w:pPr>
              <w:rPr>
                <w:rFonts w:ascii="Arial"/>
                <w:sz w:val="21"/>
                <w:highlight w:val="green"/>
              </w:rPr>
            </w:pPr>
          </w:p>
        </w:tc>
      </w:tr>
      <w:tr w14:paraId="044CA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6" w:type="dxa"/>
            <w:vAlign w:val="top"/>
          </w:tcPr>
          <w:p w14:paraId="1643B734">
            <w:pPr>
              <w:rPr>
                <w:rFonts w:ascii="Arial"/>
                <w:sz w:val="21"/>
                <w:highlight w:val="green"/>
              </w:rPr>
            </w:pPr>
          </w:p>
        </w:tc>
        <w:tc>
          <w:tcPr>
            <w:tcW w:w="2908" w:type="dxa"/>
            <w:vAlign w:val="top"/>
          </w:tcPr>
          <w:p w14:paraId="33BDAC7A">
            <w:pPr>
              <w:rPr>
                <w:rFonts w:ascii="Arial"/>
                <w:sz w:val="21"/>
                <w:highlight w:val="green"/>
              </w:rPr>
            </w:pPr>
          </w:p>
        </w:tc>
        <w:tc>
          <w:tcPr>
            <w:tcW w:w="1651" w:type="dxa"/>
            <w:vAlign w:val="top"/>
          </w:tcPr>
          <w:p w14:paraId="4DDCC88F">
            <w:pPr>
              <w:rPr>
                <w:rFonts w:ascii="Arial"/>
                <w:sz w:val="21"/>
                <w:highlight w:val="green"/>
              </w:rPr>
            </w:pPr>
          </w:p>
        </w:tc>
        <w:tc>
          <w:tcPr>
            <w:tcW w:w="1620" w:type="dxa"/>
            <w:vAlign w:val="top"/>
          </w:tcPr>
          <w:p w14:paraId="644D5C2C">
            <w:pPr>
              <w:rPr>
                <w:rFonts w:ascii="Arial"/>
                <w:sz w:val="21"/>
                <w:highlight w:val="green"/>
              </w:rPr>
            </w:pPr>
          </w:p>
        </w:tc>
        <w:tc>
          <w:tcPr>
            <w:tcW w:w="1513" w:type="dxa"/>
            <w:vAlign w:val="top"/>
          </w:tcPr>
          <w:p w14:paraId="535EBBFE">
            <w:pPr>
              <w:rPr>
                <w:rFonts w:ascii="Arial"/>
                <w:sz w:val="21"/>
                <w:highlight w:val="green"/>
              </w:rPr>
            </w:pPr>
          </w:p>
        </w:tc>
      </w:tr>
      <w:tr w14:paraId="0AAD1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6" w:type="dxa"/>
            <w:vAlign w:val="top"/>
          </w:tcPr>
          <w:p w14:paraId="12CF1833">
            <w:pPr>
              <w:rPr>
                <w:rFonts w:ascii="Arial"/>
                <w:sz w:val="21"/>
                <w:highlight w:val="green"/>
              </w:rPr>
            </w:pPr>
          </w:p>
        </w:tc>
        <w:tc>
          <w:tcPr>
            <w:tcW w:w="2908" w:type="dxa"/>
            <w:vAlign w:val="top"/>
          </w:tcPr>
          <w:p w14:paraId="51550368">
            <w:pPr>
              <w:rPr>
                <w:rFonts w:ascii="Arial"/>
                <w:sz w:val="21"/>
                <w:highlight w:val="green"/>
              </w:rPr>
            </w:pPr>
          </w:p>
        </w:tc>
        <w:tc>
          <w:tcPr>
            <w:tcW w:w="1651" w:type="dxa"/>
            <w:vAlign w:val="top"/>
          </w:tcPr>
          <w:p w14:paraId="43F0BA1A">
            <w:pPr>
              <w:rPr>
                <w:rFonts w:ascii="Arial"/>
                <w:sz w:val="21"/>
                <w:highlight w:val="green"/>
              </w:rPr>
            </w:pPr>
          </w:p>
        </w:tc>
        <w:tc>
          <w:tcPr>
            <w:tcW w:w="1620" w:type="dxa"/>
            <w:vAlign w:val="top"/>
          </w:tcPr>
          <w:p w14:paraId="4CC7172C">
            <w:pPr>
              <w:rPr>
                <w:rFonts w:ascii="Arial"/>
                <w:sz w:val="21"/>
                <w:highlight w:val="green"/>
              </w:rPr>
            </w:pPr>
          </w:p>
        </w:tc>
        <w:tc>
          <w:tcPr>
            <w:tcW w:w="1513" w:type="dxa"/>
            <w:vAlign w:val="top"/>
          </w:tcPr>
          <w:p w14:paraId="6927051B">
            <w:pPr>
              <w:rPr>
                <w:rFonts w:ascii="Arial"/>
                <w:sz w:val="21"/>
                <w:highlight w:val="green"/>
              </w:rPr>
            </w:pPr>
          </w:p>
        </w:tc>
      </w:tr>
      <w:tr w14:paraId="1B0D9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6" w:type="dxa"/>
            <w:vAlign w:val="top"/>
          </w:tcPr>
          <w:p w14:paraId="4BFA7A38">
            <w:pPr>
              <w:rPr>
                <w:rFonts w:ascii="Arial"/>
                <w:sz w:val="21"/>
                <w:highlight w:val="green"/>
              </w:rPr>
            </w:pPr>
          </w:p>
        </w:tc>
        <w:tc>
          <w:tcPr>
            <w:tcW w:w="2908" w:type="dxa"/>
            <w:vAlign w:val="top"/>
          </w:tcPr>
          <w:p w14:paraId="48E8DA72">
            <w:pPr>
              <w:rPr>
                <w:rFonts w:ascii="Arial"/>
                <w:sz w:val="21"/>
                <w:highlight w:val="green"/>
              </w:rPr>
            </w:pPr>
          </w:p>
        </w:tc>
        <w:tc>
          <w:tcPr>
            <w:tcW w:w="1651" w:type="dxa"/>
            <w:vAlign w:val="top"/>
          </w:tcPr>
          <w:p w14:paraId="632E87A7">
            <w:pPr>
              <w:rPr>
                <w:rFonts w:ascii="Arial"/>
                <w:sz w:val="21"/>
                <w:highlight w:val="green"/>
              </w:rPr>
            </w:pPr>
          </w:p>
        </w:tc>
        <w:tc>
          <w:tcPr>
            <w:tcW w:w="1620" w:type="dxa"/>
            <w:vAlign w:val="top"/>
          </w:tcPr>
          <w:p w14:paraId="1475E96F">
            <w:pPr>
              <w:rPr>
                <w:rFonts w:ascii="Arial"/>
                <w:sz w:val="21"/>
                <w:highlight w:val="green"/>
              </w:rPr>
            </w:pPr>
          </w:p>
        </w:tc>
        <w:tc>
          <w:tcPr>
            <w:tcW w:w="1513" w:type="dxa"/>
            <w:vAlign w:val="top"/>
          </w:tcPr>
          <w:p w14:paraId="086CF71D">
            <w:pPr>
              <w:rPr>
                <w:rFonts w:ascii="Arial"/>
                <w:sz w:val="21"/>
                <w:highlight w:val="green"/>
              </w:rPr>
            </w:pPr>
          </w:p>
        </w:tc>
      </w:tr>
      <w:tr w14:paraId="11DFF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6" w:type="dxa"/>
            <w:vAlign w:val="top"/>
          </w:tcPr>
          <w:p w14:paraId="2494DCF8">
            <w:pPr>
              <w:rPr>
                <w:rFonts w:ascii="Arial"/>
                <w:sz w:val="21"/>
                <w:highlight w:val="green"/>
              </w:rPr>
            </w:pPr>
          </w:p>
        </w:tc>
        <w:tc>
          <w:tcPr>
            <w:tcW w:w="2908" w:type="dxa"/>
            <w:vAlign w:val="top"/>
          </w:tcPr>
          <w:p w14:paraId="3261D7F8">
            <w:pPr>
              <w:rPr>
                <w:rFonts w:ascii="Arial"/>
                <w:sz w:val="21"/>
                <w:highlight w:val="green"/>
              </w:rPr>
            </w:pPr>
          </w:p>
        </w:tc>
        <w:tc>
          <w:tcPr>
            <w:tcW w:w="1651" w:type="dxa"/>
            <w:vAlign w:val="top"/>
          </w:tcPr>
          <w:p w14:paraId="13020868">
            <w:pPr>
              <w:rPr>
                <w:rFonts w:ascii="Arial"/>
                <w:sz w:val="21"/>
                <w:highlight w:val="green"/>
              </w:rPr>
            </w:pPr>
          </w:p>
        </w:tc>
        <w:tc>
          <w:tcPr>
            <w:tcW w:w="1620" w:type="dxa"/>
            <w:vAlign w:val="top"/>
          </w:tcPr>
          <w:p w14:paraId="5E9A1C8F">
            <w:pPr>
              <w:rPr>
                <w:rFonts w:ascii="Arial"/>
                <w:sz w:val="21"/>
                <w:highlight w:val="green"/>
              </w:rPr>
            </w:pPr>
          </w:p>
        </w:tc>
        <w:tc>
          <w:tcPr>
            <w:tcW w:w="1513" w:type="dxa"/>
            <w:vAlign w:val="top"/>
          </w:tcPr>
          <w:p w14:paraId="60FB5008">
            <w:pPr>
              <w:rPr>
                <w:rFonts w:ascii="Arial"/>
                <w:sz w:val="21"/>
                <w:highlight w:val="green"/>
              </w:rPr>
            </w:pPr>
          </w:p>
        </w:tc>
      </w:tr>
      <w:tr w14:paraId="023E8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6" w:type="dxa"/>
            <w:vAlign w:val="top"/>
          </w:tcPr>
          <w:p w14:paraId="6AF40A9E">
            <w:pPr>
              <w:rPr>
                <w:rFonts w:ascii="Arial"/>
                <w:sz w:val="21"/>
                <w:highlight w:val="green"/>
              </w:rPr>
            </w:pPr>
          </w:p>
        </w:tc>
        <w:tc>
          <w:tcPr>
            <w:tcW w:w="2908" w:type="dxa"/>
            <w:vAlign w:val="top"/>
          </w:tcPr>
          <w:p w14:paraId="655667C5">
            <w:pPr>
              <w:rPr>
                <w:rFonts w:ascii="Arial"/>
                <w:sz w:val="21"/>
                <w:highlight w:val="green"/>
              </w:rPr>
            </w:pPr>
          </w:p>
        </w:tc>
        <w:tc>
          <w:tcPr>
            <w:tcW w:w="1651" w:type="dxa"/>
            <w:vAlign w:val="top"/>
          </w:tcPr>
          <w:p w14:paraId="4A085057">
            <w:pPr>
              <w:rPr>
                <w:rFonts w:ascii="Arial"/>
                <w:sz w:val="21"/>
                <w:highlight w:val="green"/>
              </w:rPr>
            </w:pPr>
          </w:p>
        </w:tc>
        <w:tc>
          <w:tcPr>
            <w:tcW w:w="1620" w:type="dxa"/>
            <w:vAlign w:val="top"/>
          </w:tcPr>
          <w:p w14:paraId="3928C3C6">
            <w:pPr>
              <w:rPr>
                <w:rFonts w:ascii="Arial"/>
                <w:sz w:val="21"/>
                <w:highlight w:val="green"/>
              </w:rPr>
            </w:pPr>
          </w:p>
        </w:tc>
        <w:tc>
          <w:tcPr>
            <w:tcW w:w="1513" w:type="dxa"/>
            <w:vAlign w:val="top"/>
          </w:tcPr>
          <w:p w14:paraId="5C82E5E8">
            <w:pPr>
              <w:rPr>
                <w:rFonts w:ascii="Arial"/>
                <w:sz w:val="21"/>
                <w:highlight w:val="green"/>
              </w:rPr>
            </w:pPr>
          </w:p>
        </w:tc>
      </w:tr>
      <w:tr w14:paraId="38917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6" w:type="dxa"/>
            <w:vAlign w:val="top"/>
          </w:tcPr>
          <w:p w14:paraId="1FC00320">
            <w:pPr>
              <w:rPr>
                <w:rFonts w:ascii="Arial"/>
                <w:sz w:val="21"/>
                <w:highlight w:val="green"/>
              </w:rPr>
            </w:pPr>
          </w:p>
        </w:tc>
        <w:tc>
          <w:tcPr>
            <w:tcW w:w="2908" w:type="dxa"/>
            <w:vAlign w:val="top"/>
          </w:tcPr>
          <w:p w14:paraId="71257F67">
            <w:pPr>
              <w:rPr>
                <w:rFonts w:ascii="Arial"/>
                <w:sz w:val="21"/>
                <w:highlight w:val="green"/>
              </w:rPr>
            </w:pPr>
          </w:p>
        </w:tc>
        <w:tc>
          <w:tcPr>
            <w:tcW w:w="1651" w:type="dxa"/>
            <w:vAlign w:val="top"/>
          </w:tcPr>
          <w:p w14:paraId="6C0E751C">
            <w:pPr>
              <w:rPr>
                <w:rFonts w:ascii="Arial"/>
                <w:sz w:val="21"/>
                <w:highlight w:val="green"/>
              </w:rPr>
            </w:pPr>
          </w:p>
        </w:tc>
        <w:tc>
          <w:tcPr>
            <w:tcW w:w="1620" w:type="dxa"/>
            <w:vAlign w:val="top"/>
          </w:tcPr>
          <w:p w14:paraId="6FF187E4">
            <w:pPr>
              <w:rPr>
                <w:rFonts w:ascii="Arial"/>
                <w:sz w:val="21"/>
                <w:highlight w:val="green"/>
              </w:rPr>
            </w:pPr>
          </w:p>
        </w:tc>
        <w:tc>
          <w:tcPr>
            <w:tcW w:w="1513" w:type="dxa"/>
            <w:vAlign w:val="top"/>
          </w:tcPr>
          <w:p w14:paraId="2684E0D4">
            <w:pPr>
              <w:rPr>
                <w:rFonts w:ascii="Arial"/>
                <w:sz w:val="21"/>
                <w:highlight w:val="green"/>
              </w:rPr>
            </w:pPr>
          </w:p>
        </w:tc>
      </w:tr>
      <w:tr w14:paraId="61C77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6" w:type="dxa"/>
            <w:vAlign w:val="top"/>
          </w:tcPr>
          <w:p w14:paraId="5A440A7B">
            <w:pPr>
              <w:rPr>
                <w:rFonts w:ascii="Arial"/>
                <w:sz w:val="21"/>
                <w:highlight w:val="green"/>
              </w:rPr>
            </w:pPr>
          </w:p>
        </w:tc>
        <w:tc>
          <w:tcPr>
            <w:tcW w:w="2908" w:type="dxa"/>
            <w:vAlign w:val="top"/>
          </w:tcPr>
          <w:p w14:paraId="76A898AE">
            <w:pPr>
              <w:rPr>
                <w:rFonts w:ascii="Arial"/>
                <w:sz w:val="21"/>
                <w:highlight w:val="green"/>
              </w:rPr>
            </w:pPr>
          </w:p>
        </w:tc>
        <w:tc>
          <w:tcPr>
            <w:tcW w:w="1651" w:type="dxa"/>
            <w:vAlign w:val="top"/>
          </w:tcPr>
          <w:p w14:paraId="2A5D6FDA">
            <w:pPr>
              <w:rPr>
                <w:rFonts w:ascii="Arial"/>
                <w:sz w:val="21"/>
                <w:highlight w:val="green"/>
              </w:rPr>
            </w:pPr>
          </w:p>
        </w:tc>
        <w:tc>
          <w:tcPr>
            <w:tcW w:w="1620" w:type="dxa"/>
            <w:vAlign w:val="top"/>
          </w:tcPr>
          <w:p w14:paraId="03C878CE">
            <w:pPr>
              <w:rPr>
                <w:rFonts w:ascii="Arial"/>
                <w:sz w:val="21"/>
                <w:highlight w:val="green"/>
              </w:rPr>
            </w:pPr>
          </w:p>
        </w:tc>
        <w:tc>
          <w:tcPr>
            <w:tcW w:w="1513" w:type="dxa"/>
            <w:vAlign w:val="top"/>
          </w:tcPr>
          <w:p w14:paraId="4670A503">
            <w:pPr>
              <w:rPr>
                <w:rFonts w:ascii="Arial"/>
                <w:sz w:val="21"/>
                <w:highlight w:val="green"/>
              </w:rPr>
            </w:pPr>
          </w:p>
        </w:tc>
      </w:tr>
      <w:tr w14:paraId="5FB02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6875" w:type="dxa"/>
            <w:gridSpan w:val="4"/>
            <w:vAlign w:val="top"/>
          </w:tcPr>
          <w:p w14:paraId="28AF61B3">
            <w:pPr>
              <w:pStyle w:val="167"/>
              <w:spacing w:before="168" w:line="219" w:lineRule="auto"/>
              <w:ind w:left="1282"/>
              <w:rPr>
                <w:sz w:val="24"/>
                <w:szCs w:val="24"/>
                <w:highlight w:val="green"/>
              </w:rPr>
            </w:pPr>
            <w:r>
              <w:rPr>
                <w:spacing w:val="-2"/>
                <w:sz w:val="24"/>
                <w:szCs w:val="24"/>
                <w:highlight w:val="none"/>
              </w:rPr>
              <w:t>近年完成的类似项目合同合计（吨）</w:t>
            </w:r>
          </w:p>
        </w:tc>
        <w:tc>
          <w:tcPr>
            <w:tcW w:w="1513" w:type="dxa"/>
            <w:vAlign w:val="top"/>
          </w:tcPr>
          <w:p w14:paraId="620BA317">
            <w:pPr>
              <w:rPr>
                <w:rFonts w:ascii="Arial"/>
                <w:sz w:val="21"/>
                <w:highlight w:val="green"/>
              </w:rPr>
            </w:pPr>
          </w:p>
        </w:tc>
      </w:tr>
    </w:tbl>
    <w:p w14:paraId="43799BA2">
      <w:pPr>
        <w:widowControl/>
        <w:numPr>
          <w:ilvl w:val="0"/>
          <w:numId w:val="0"/>
        </w:numPr>
        <w:spacing w:before="100" w:beforeAutospacing="1" w:after="100" w:afterAutospacing="1"/>
        <w:jc w:val="both"/>
        <w:outlineLvl w:val="2"/>
        <w:rPr>
          <w:rFonts w:hint="eastAsia" w:ascii="宋体" w:hAnsi="宋体"/>
          <w:b/>
          <w:bCs/>
          <w:kern w:val="0"/>
          <w:sz w:val="27"/>
          <w:szCs w:val="27"/>
          <w:highlight w:val="none"/>
          <w:lang w:val="en-US" w:eastAsia="zh-CN"/>
        </w:rPr>
      </w:pPr>
    </w:p>
    <w:p w14:paraId="5E8F1847">
      <w:pPr>
        <w:widowControl/>
        <w:numPr>
          <w:ilvl w:val="0"/>
          <w:numId w:val="0"/>
        </w:numPr>
        <w:spacing w:before="100" w:beforeAutospacing="1" w:after="100" w:afterAutospacing="1"/>
        <w:jc w:val="both"/>
        <w:outlineLvl w:val="2"/>
        <w:rPr>
          <w:rFonts w:hint="eastAsia" w:ascii="宋体" w:hAnsi="宋体"/>
          <w:b/>
          <w:bCs/>
          <w:kern w:val="0"/>
          <w:sz w:val="27"/>
          <w:szCs w:val="27"/>
          <w:highlight w:val="none"/>
          <w:lang w:val="en-US" w:eastAsia="zh-CN"/>
        </w:rPr>
      </w:pPr>
    </w:p>
    <w:p w14:paraId="059E370D">
      <w:pPr>
        <w:widowControl/>
        <w:numPr>
          <w:ilvl w:val="0"/>
          <w:numId w:val="4"/>
        </w:numPr>
        <w:spacing w:before="100" w:beforeAutospacing="1" w:after="100" w:afterAutospacing="1"/>
        <w:jc w:val="center"/>
        <w:outlineLvl w:val="2"/>
        <w:rPr>
          <w:rFonts w:hint="eastAsia" w:ascii="宋体" w:hAnsi="宋体"/>
          <w:b/>
          <w:bCs/>
          <w:kern w:val="0"/>
          <w:sz w:val="27"/>
          <w:szCs w:val="27"/>
          <w:highlight w:val="none"/>
          <w:lang w:val="en-US" w:eastAsia="zh-CN"/>
        </w:rPr>
      </w:pPr>
      <w:r>
        <w:rPr>
          <w:rFonts w:hint="eastAsia" w:ascii="宋体" w:hAnsi="宋体"/>
          <w:b/>
          <w:bCs/>
          <w:kern w:val="0"/>
          <w:sz w:val="27"/>
          <w:szCs w:val="27"/>
          <w:highlight w:val="none"/>
          <w:lang w:val="en-US" w:eastAsia="zh-CN"/>
        </w:rPr>
        <w:t>近年已完成类似项目明细表</w:t>
      </w:r>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03DF0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14:paraId="365768D4">
            <w:pPr>
              <w:topLinePunct/>
              <w:spacing w:line="440" w:lineRule="exact"/>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序号</w:t>
            </w:r>
          </w:p>
        </w:tc>
        <w:tc>
          <w:tcPr>
            <w:tcW w:w="6253" w:type="dxa"/>
          </w:tcPr>
          <w:p w14:paraId="059182FD">
            <w:pPr>
              <w:topLinePunct/>
              <w:spacing w:line="440" w:lineRule="exact"/>
              <w:rPr>
                <w:rFonts w:ascii="宋体" w:hAnsi="宋体"/>
                <w:highlight w:val="none"/>
              </w:rPr>
            </w:pPr>
          </w:p>
        </w:tc>
      </w:tr>
      <w:tr w14:paraId="5330E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14:paraId="2B8FD669">
            <w:pPr>
              <w:topLinePunct/>
              <w:spacing w:line="440" w:lineRule="exact"/>
              <w:jc w:val="center"/>
              <w:rPr>
                <w:rFonts w:ascii="宋体" w:hAnsi="宋体"/>
                <w:szCs w:val="21"/>
                <w:highlight w:val="none"/>
              </w:rPr>
            </w:pPr>
            <w:r>
              <w:rPr>
                <w:rFonts w:ascii="宋体" w:hAnsi="宋体"/>
                <w:szCs w:val="21"/>
                <w:highlight w:val="none"/>
              </w:rPr>
              <w:t>货物名称</w:t>
            </w:r>
          </w:p>
        </w:tc>
        <w:tc>
          <w:tcPr>
            <w:tcW w:w="6253" w:type="dxa"/>
          </w:tcPr>
          <w:p w14:paraId="45B40E77">
            <w:pPr>
              <w:topLinePunct/>
              <w:spacing w:line="440" w:lineRule="exact"/>
              <w:rPr>
                <w:rFonts w:ascii="宋体" w:hAnsi="宋体"/>
                <w:highlight w:val="none"/>
              </w:rPr>
            </w:pPr>
          </w:p>
        </w:tc>
      </w:tr>
      <w:tr w14:paraId="77E8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vAlign w:val="center"/>
          </w:tcPr>
          <w:p w14:paraId="481A460C">
            <w:pPr>
              <w:topLinePunct/>
              <w:spacing w:line="440" w:lineRule="exact"/>
              <w:jc w:val="center"/>
              <w:rPr>
                <w:rFonts w:ascii="宋体" w:hAnsi="宋体"/>
                <w:szCs w:val="21"/>
                <w:highlight w:val="none"/>
              </w:rPr>
            </w:pPr>
            <w:r>
              <w:rPr>
                <w:rFonts w:ascii="宋体" w:hAnsi="宋体"/>
                <w:szCs w:val="21"/>
                <w:highlight w:val="none"/>
              </w:rPr>
              <w:t>规格和型号</w:t>
            </w:r>
          </w:p>
        </w:tc>
        <w:tc>
          <w:tcPr>
            <w:tcW w:w="6253" w:type="dxa"/>
          </w:tcPr>
          <w:p w14:paraId="16BA04AF">
            <w:pPr>
              <w:topLinePunct/>
              <w:spacing w:line="440" w:lineRule="exact"/>
              <w:rPr>
                <w:rFonts w:ascii="宋体" w:hAnsi="宋体"/>
                <w:highlight w:val="none"/>
              </w:rPr>
            </w:pPr>
          </w:p>
        </w:tc>
      </w:tr>
      <w:tr w14:paraId="32965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14:paraId="296F8637">
            <w:pPr>
              <w:topLinePunct/>
              <w:spacing w:line="440" w:lineRule="exact"/>
              <w:jc w:val="center"/>
              <w:rPr>
                <w:rFonts w:ascii="宋体" w:hAnsi="宋体"/>
                <w:szCs w:val="21"/>
                <w:highlight w:val="none"/>
              </w:rPr>
            </w:pPr>
            <w:r>
              <w:rPr>
                <w:rFonts w:ascii="宋体" w:hAnsi="宋体"/>
                <w:szCs w:val="21"/>
                <w:highlight w:val="none"/>
              </w:rPr>
              <w:t>项目名称</w:t>
            </w:r>
          </w:p>
        </w:tc>
        <w:tc>
          <w:tcPr>
            <w:tcW w:w="6253" w:type="dxa"/>
          </w:tcPr>
          <w:p w14:paraId="346B45EB">
            <w:pPr>
              <w:topLinePunct/>
              <w:spacing w:line="440" w:lineRule="exact"/>
              <w:rPr>
                <w:rFonts w:ascii="宋体" w:hAnsi="宋体"/>
                <w:highlight w:val="none"/>
              </w:rPr>
            </w:pPr>
          </w:p>
        </w:tc>
      </w:tr>
      <w:tr w14:paraId="1F373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14:paraId="77403383">
            <w:pPr>
              <w:topLinePunct/>
              <w:spacing w:line="440" w:lineRule="exact"/>
              <w:jc w:val="center"/>
              <w:rPr>
                <w:rFonts w:ascii="宋体" w:hAnsi="宋体"/>
                <w:szCs w:val="21"/>
                <w:highlight w:val="none"/>
              </w:rPr>
            </w:pPr>
            <w:r>
              <w:rPr>
                <w:rFonts w:ascii="宋体" w:hAnsi="宋体"/>
                <w:szCs w:val="21"/>
                <w:highlight w:val="none"/>
              </w:rPr>
              <w:t>买方名称</w:t>
            </w:r>
          </w:p>
        </w:tc>
        <w:tc>
          <w:tcPr>
            <w:tcW w:w="6253" w:type="dxa"/>
          </w:tcPr>
          <w:p w14:paraId="0C17C542">
            <w:pPr>
              <w:topLinePunct/>
              <w:spacing w:line="440" w:lineRule="exact"/>
              <w:rPr>
                <w:rFonts w:ascii="宋体" w:hAnsi="宋体"/>
                <w:highlight w:val="none"/>
              </w:rPr>
            </w:pPr>
          </w:p>
        </w:tc>
      </w:tr>
      <w:tr w14:paraId="0F68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vAlign w:val="center"/>
          </w:tcPr>
          <w:p w14:paraId="408BEE31">
            <w:pPr>
              <w:topLinePunct/>
              <w:spacing w:line="440" w:lineRule="exact"/>
              <w:jc w:val="center"/>
              <w:rPr>
                <w:rFonts w:ascii="宋体" w:hAnsi="宋体"/>
                <w:szCs w:val="21"/>
                <w:highlight w:val="none"/>
              </w:rPr>
            </w:pPr>
            <w:r>
              <w:rPr>
                <w:rFonts w:ascii="宋体" w:hAnsi="宋体"/>
                <w:szCs w:val="21"/>
                <w:highlight w:val="none"/>
              </w:rPr>
              <w:t>买方联系人及电话</w:t>
            </w:r>
          </w:p>
        </w:tc>
        <w:tc>
          <w:tcPr>
            <w:tcW w:w="6253" w:type="dxa"/>
          </w:tcPr>
          <w:p w14:paraId="2FD7266C">
            <w:pPr>
              <w:topLinePunct/>
              <w:spacing w:line="440" w:lineRule="exact"/>
              <w:rPr>
                <w:rFonts w:ascii="宋体" w:hAnsi="宋体"/>
                <w:highlight w:val="none"/>
              </w:rPr>
            </w:pPr>
          </w:p>
        </w:tc>
      </w:tr>
      <w:tr w14:paraId="4E6C5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14:paraId="11BCD6C2">
            <w:pPr>
              <w:topLinePunct/>
              <w:spacing w:line="440" w:lineRule="exact"/>
              <w:jc w:val="center"/>
              <w:rPr>
                <w:rFonts w:ascii="宋体" w:hAnsi="宋体"/>
                <w:szCs w:val="21"/>
                <w:highlight w:val="none"/>
              </w:rPr>
            </w:pPr>
            <w:r>
              <w:rPr>
                <w:rFonts w:ascii="宋体" w:hAnsi="宋体"/>
                <w:szCs w:val="21"/>
                <w:highlight w:val="none"/>
              </w:rPr>
              <w:t>合同价格</w:t>
            </w:r>
          </w:p>
        </w:tc>
        <w:tc>
          <w:tcPr>
            <w:tcW w:w="6253" w:type="dxa"/>
          </w:tcPr>
          <w:p w14:paraId="7538E87F">
            <w:pPr>
              <w:topLinePunct/>
              <w:spacing w:line="440" w:lineRule="exact"/>
              <w:rPr>
                <w:rFonts w:ascii="宋体" w:hAnsi="宋体"/>
                <w:highlight w:val="none"/>
              </w:rPr>
            </w:pPr>
          </w:p>
        </w:tc>
      </w:tr>
      <w:tr w14:paraId="28C83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14:paraId="08B9A053">
            <w:pPr>
              <w:topLinePunct/>
              <w:spacing w:line="440" w:lineRule="exact"/>
              <w:jc w:val="center"/>
              <w:rPr>
                <w:rFonts w:ascii="宋体" w:hAnsi="宋体"/>
                <w:szCs w:val="21"/>
                <w:highlight w:val="none"/>
              </w:rPr>
            </w:pPr>
            <w:r>
              <w:rPr>
                <w:rFonts w:ascii="宋体" w:hAnsi="宋体"/>
                <w:szCs w:val="21"/>
                <w:highlight w:val="none"/>
              </w:rPr>
              <w:t>项目概况及供应商履约情况</w:t>
            </w:r>
          </w:p>
        </w:tc>
        <w:tc>
          <w:tcPr>
            <w:tcW w:w="6253" w:type="dxa"/>
          </w:tcPr>
          <w:p w14:paraId="5464C0CA">
            <w:pPr>
              <w:topLinePunct/>
              <w:spacing w:line="440" w:lineRule="exact"/>
              <w:rPr>
                <w:rFonts w:ascii="宋体" w:hAnsi="宋体"/>
                <w:highlight w:val="none"/>
              </w:rPr>
            </w:pPr>
          </w:p>
          <w:p w14:paraId="193C5238">
            <w:pPr>
              <w:topLinePunct/>
              <w:spacing w:line="440" w:lineRule="exact"/>
              <w:rPr>
                <w:rFonts w:ascii="宋体" w:hAnsi="宋体"/>
                <w:highlight w:val="none"/>
              </w:rPr>
            </w:pPr>
          </w:p>
          <w:p w14:paraId="3C019C7A">
            <w:pPr>
              <w:topLinePunct/>
              <w:spacing w:line="440" w:lineRule="exact"/>
              <w:rPr>
                <w:rFonts w:ascii="宋体" w:hAnsi="宋体"/>
                <w:highlight w:val="none"/>
              </w:rPr>
            </w:pPr>
          </w:p>
          <w:p w14:paraId="2AB2B121">
            <w:pPr>
              <w:topLinePunct/>
              <w:spacing w:line="440" w:lineRule="exact"/>
              <w:rPr>
                <w:rFonts w:ascii="宋体" w:hAnsi="宋体"/>
                <w:highlight w:val="none"/>
              </w:rPr>
            </w:pPr>
          </w:p>
          <w:p w14:paraId="75F0C821">
            <w:pPr>
              <w:topLinePunct/>
              <w:spacing w:line="440" w:lineRule="exact"/>
              <w:rPr>
                <w:rFonts w:ascii="宋体" w:hAnsi="宋体"/>
                <w:highlight w:val="none"/>
              </w:rPr>
            </w:pPr>
          </w:p>
          <w:p w14:paraId="187B5402">
            <w:pPr>
              <w:topLinePunct/>
              <w:spacing w:line="440" w:lineRule="exact"/>
              <w:rPr>
                <w:rFonts w:ascii="宋体" w:hAnsi="宋体"/>
                <w:highlight w:val="none"/>
              </w:rPr>
            </w:pPr>
          </w:p>
          <w:p w14:paraId="254287B0">
            <w:pPr>
              <w:topLinePunct/>
              <w:spacing w:line="440" w:lineRule="exact"/>
              <w:rPr>
                <w:rFonts w:ascii="宋体" w:hAnsi="宋体"/>
                <w:highlight w:val="none"/>
              </w:rPr>
            </w:pPr>
          </w:p>
        </w:tc>
      </w:tr>
      <w:tr w14:paraId="2A7AE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14:paraId="4A87B13A">
            <w:pPr>
              <w:topLinePunct/>
              <w:spacing w:line="440" w:lineRule="exact"/>
              <w:jc w:val="center"/>
              <w:rPr>
                <w:rFonts w:ascii="宋体" w:hAnsi="宋体"/>
                <w:szCs w:val="21"/>
                <w:highlight w:val="none"/>
              </w:rPr>
            </w:pPr>
            <w:r>
              <w:rPr>
                <w:rFonts w:ascii="宋体" w:hAnsi="宋体"/>
                <w:szCs w:val="21"/>
                <w:highlight w:val="none"/>
              </w:rPr>
              <w:t>备注</w:t>
            </w:r>
          </w:p>
        </w:tc>
        <w:tc>
          <w:tcPr>
            <w:tcW w:w="6253" w:type="dxa"/>
          </w:tcPr>
          <w:p w14:paraId="25D8144C">
            <w:pPr>
              <w:topLinePunct/>
              <w:spacing w:line="440" w:lineRule="exact"/>
              <w:rPr>
                <w:rFonts w:ascii="宋体" w:hAnsi="宋体"/>
                <w:highlight w:val="none"/>
              </w:rPr>
            </w:pPr>
          </w:p>
        </w:tc>
      </w:tr>
    </w:tbl>
    <w:p w14:paraId="5F751E41">
      <w:pPr>
        <w:pStyle w:val="20"/>
        <w:numPr>
          <w:ilvl w:val="0"/>
          <w:numId w:val="0"/>
        </w:numPr>
        <w:ind w:firstLine="420" w:firstLineChars="200"/>
        <w:rPr>
          <w:rFonts w:ascii="宋体" w:hAnsi="宋体" w:eastAsia="宋体" w:cs="Times New Roman"/>
          <w:kern w:val="2"/>
          <w:sz w:val="21"/>
          <w:szCs w:val="24"/>
          <w:highlight w:val="none"/>
          <w:lang w:val="en-US" w:eastAsia="zh-CN" w:bidi="ar-SA"/>
        </w:rPr>
      </w:pPr>
    </w:p>
    <w:p w14:paraId="2B10D552">
      <w:pPr>
        <w:pStyle w:val="20"/>
        <w:numPr>
          <w:ilvl w:val="0"/>
          <w:numId w:val="0"/>
        </w:numPr>
        <w:ind w:firstLine="420" w:firstLineChars="200"/>
        <w:rPr>
          <w:rFonts w:ascii="宋体" w:hAnsi="宋体" w:eastAsia="宋体" w:cs="Times New Roman"/>
          <w:kern w:val="2"/>
          <w:sz w:val="21"/>
          <w:szCs w:val="24"/>
          <w:highlight w:val="none"/>
          <w:lang w:val="en-US" w:eastAsia="zh-CN" w:bidi="ar-SA"/>
        </w:rPr>
      </w:pPr>
      <w:r>
        <w:rPr>
          <w:rFonts w:ascii="宋体" w:hAnsi="宋体" w:eastAsia="宋体" w:cs="Times New Roman"/>
          <w:kern w:val="2"/>
          <w:sz w:val="21"/>
          <w:szCs w:val="24"/>
          <w:highlight w:val="none"/>
          <w:lang w:val="en-US" w:eastAsia="zh-CN" w:bidi="ar-SA"/>
        </w:rPr>
        <w:t>注：1、每张表格只填写 1 个项目，并标明序号。</w:t>
      </w:r>
    </w:p>
    <w:p w14:paraId="3957922A">
      <w:pPr>
        <w:pStyle w:val="20"/>
        <w:numPr>
          <w:ilvl w:val="0"/>
          <w:numId w:val="5"/>
        </w:numPr>
        <w:ind w:firstLine="840" w:firstLineChars="400"/>
        <w:rPr>
          <w:rFonts w:ascii="宋体" w:hAnsi="宋体" w:eastAsia="宋体" w:cs="Times New Roman"/>
          <w:kern w:val="2"/>
          <w:sz w:val="21"/>
          <w:szCs w:val="24"/>
          <w:highlight w:val="none"/>
          <w:lang w:val="en-US" w:eastAsia="zh-CN" w:bidi="ar-SA"/>
        </w:rPr>
      </w:pPr>
      <w:r>
        <w:rPr>
          <w:rFonts w:ascii="宋体" w:hAnsi="宋体" w:eastAsia="宋体" w:cs="Times New Roman"/>
          <w:kern w:val="2"/>
          <w:sz w:val="21"/>
          <w:szCs w:val="24"/>
          <w:highlight w:val="none"/>
          <w:lang w:val="en-US" w:eastAsia="zh-CN" w:bidi="ar-SA"/>
        </w:rPr>
        <w:t>供应商应根据供应商须知第3.5.4项的要求在本表后附相关证明材料。</w:t>
      </w:r>
    </w:p>
    <w:p w14:paraId="682D0365">
      <w:pPr>
        <w:pStyle w:val="20"/>
        <w:numPr>
          <w:ilvl w:val="0"/>
          <w:numId w:val="5"/>
        </w:numPr>
        <w:ind w:firstLine="840" w:firstLineChars="400"/>
        <w:rPr>
          <w:rFonts w:hint="default" w:ascii="宋体" w:hAnsi="宋体" w:eastAsia="宋体" w:cs="Times New Roman"/>
          <w:kern w:val="2"/>
          <w:sz w:val="21"/>
          <w:szCs w:val="24"/>
          <w:highlight w:val="none"/>
          <w:lang w:val="en-US" w:eastAsia="zh-CN" w:bidi="ar-SA"/>
        </w:rPr>
        <w:sectPr>
          <w:footnotePr>
            <w:numFmt w:val="decimalEnclosedCircleChinese"/>
            <w:numRestart w:val="eachPage"/>
          </w:footnotePr>
          <w:pgSz w:w="11906" w:h="16838"/>
          <w:pgMar w:top="1440" w:right="1417" w:bottom="1440" w:left="1417" w:header="851" w:footer="992" w:gutter="0"/>
          <w:pgNumType w:fmt="decimal"/>
          <w:cols w:space="0" w:num="1"/>
          <w:titlePg/>
          <w:docGrid w:type="lines" w:linePitch="312" w:charSpace="0"/>
        </w:sectPr>
      </w:pPr>
      <w:r>
        <w:rPr>
          <w:rFonts w:hint="eastAsia" w:hAnsi="宋体" w:cs="Times New Roman"/>
          <w:kern w:val="2"/>
          <w:sz w:val="21"/>
          <w:szCs w:val="24"/>
          <w:highlight w:val="none"/>
          <w:lang w:val="en-US" w:eastAsia="zh-CN" w:bidi="ar-SA"/>
        </w:rPr>
        <w:t>如投标人为代理经销商，授权生产商业绩视同代理经销商的业绩。</w:t>
      </w:r>
    </w:p>
    <w:p w14:paraId="55C56B7B">
      <w:pPr>
        <w:widowControl/>
        <w:spacing w:before="100" w:beforeAutospacing="1" w:after="100" w:afterAutospacing="1" w:line="400" w:lineRule="exact"/>
        <w:ind w:firstLine="0" w:firstLineChars="0"/>
        <w:jc w:val="center"/>
        <w:outlineLvl w:val="2"/>
        <w:rPr>
          <w:rFonts w:hint="default" w:ascii="Times New Roman" w:hAnsi="Times New Roman" w:eastAsia="宋体" w:cs="Times New Roman"/>
          <w:b/>
          <w:bCs/>
          <w:kern w:val="0"/>
          <w:sz w:val="27"/>
          <w:szCs w:val="27"/>
        </w:rPr>
      </w:pPr>
      <w:r>
        <w:rPr>
          <w:rFonts w:hint="default" w:ascii="Times New Roman" w:hAnsi="Times New Roman" w:eastAsia="宋体" w:cs="Times New Roman"/>
          <w:b/>
          <w:bCs/>
          <w:kern w:val="0"/>
          <w:sz w:val="27"/>
          <w:szCs w:val="27"/>
        </w:rPr>
        <w:t>（</w:t>
      </w:r>
      <w:r>
        <w:rPr>
          <w:rFonts w:hint="eastAsia" w:eastAsia="宋体" w:cs="Times New Roman"/>
          <w:b/>
          <w:bCs/>
          <w:kern w:val="0"/>
          <w:sz w:val="27"/>
          <w:szCs w:val="27"/>
          <w:lang w:val="en-US" w:eastAsia="zh-CN"/>
        </w:rPr>
        <w:t>三</w:t>
      </w:r>
      <w:r>
        <w:rPr>
          <w:rFonts w:hint="default" w:ascii="Times New Roman" w:hAnsi="Times New Roman" w:eastAsia="宋体" w:cs="Times New Roman"/>
          <w:b/>
          <w:bCs/>
          <w:kern w:val="0"/>
          <w:sz w:val="27"/>
          <w:szCs w:val="27"/>
        </w:rPr>
        <w:t>）</w:t>
      </w:r>
      <w:bookmarkStart w:id="567" w:name="_Toc14973"/>
      <w:bookmarkStart w:id="568" w:name="_Toc118805193"/>
      <w:bookmarkStart w:id="569" w:name="_Toc118805947"/>
      <w:bookmarkStart w:id="570" w:name="_Toc118806318"/>
      <w:bookmarkStart w:id="571" w:name="_Toc25344_WPSOffice_Level2"/>
      <w:bookmarkStart w:id="572" w:name="_Toc24225"/>
      <w:bookmarkStart w:id="573" w:name="_Toc9435"/>
      <w:bookmarkStart w:id="574" w:name="_Toc149142490"/>
      <w:bookmarkStart w:id="575" w:name="_Toc11284"/>
      <w:bookmarkStart w:id="576" w:name="_Toc138604715"/>
      <w:bookmarkStart w:id="577" w:name="_Toc118805570"/>
      <w:bookmarkStart w:id="578" w:name="_Toc11238"/>
      <w:bookmarkStart w:id="579" w:name="_Toc15873"/>
      <w:r>
        <w:rPr>
          <w:rFonts w:hint="default" w:ascii="Times New Roman" w:hAnsi="Times New Roman" w:eastAsia="宋体" w:cs="Times New Roman"/>
          <w:b/>
          <w:bCs/>
          <w:kern w:val="0"/>
          <w:sz w:val="27"/>
          <w:szCs w:val="27"/>
        </w:rPr>
        <w:t>拟委任的主要人员汇总表</w:t>
      </w:r>
      <w:bookmarkEnd w:id="567"/>
      <w:bookmarkEnd w:id="568"/>
      <w:bookmarkEnd w:id="569"/>
      <w:bookmarkEnd w:id="570"/>
      <w:bookmarkEnd w:id="571"/>
      <w:bookmarkEnd w:id="572"/>
      <w:bookmarkEnd w:id="573"/>
      <w:bookmarkEnd w:id="574"/>
      <w:bookmarkEnd w:id="575"/>
      <w:bookmarkEnd w:id="576"/>
      <w:bookmarkEnd w:id="577"/>
      <w:bookmarkEnd w:id="578"/>
      <w:bookmarkEnd w:id="579"/>
    </w:p>
    <w:tbl>
      <w:tblPr>
        <w:tblStyle w:val="4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
        <w:gridCol w:w="1475"/>
        <w:gridCol w:w="1148"/>
        <w:gridCol w:w="697"/>
        <w:gridCol w:w="565"/>
        <w:gridCol w:w="1312"/>
        <w:gridCol w:w="819"/>
        <w:gridCol w:w="1013"/>
        <w:gridCol w:w="1312"/>
      </w:tblGrid>
      <w:tr w14:paraId="4C533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vMerge w:val="restart"/>
            <w:vAlign w:val="center"/>
          </w:tcPr>
          <w:p w14:paraId="12FBE431">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r>
              <w:rPr>
                <w:rFonts w:hint="default" w:ascii="Times New Roman" w:hAnsi="Times New Roman" w:eastAsia="宋体" w:cs="Times New Roman"/>
                <w:sz w:val="21"/>
                <w:szCs w:val="24"/>
              </w:rPr>
              <w:t>序号</w:t>
            </w:r>
          </w:p>
        </w:tc>
        <w:tc>
          <w:tcPr>
            <w:tcW w:w="794" w:type="pct"/>
            <w:vMerge w:val="restart"/>
            <w:vAlign w:val="center"/>
          </w:tcPr>
          <w:p w14:paraId="5BE5D3D4">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r>
              <w:rPr>
                <w:rFonts w:hint="default" w:ascii="Times New Roman" w:hAnsi="Times New Roman" w:eastAsia="宋体" w:cs="Times New Roman"/>
                <w:sz w:val="21"/>
                <w:szCs w:val="24"/>
              </w:rPr>
              <w:t>本项目任职</w:t>
            </w:r>
          </w:p>
        </w:tc>
        <w:tc>
          <w:tcPr>
            <w:tcW w:w="618" w:type="pct"/>
            <w:vMerge w:val="restart"/>
            <w:vAlign w:val="center"/>
          </w:tcPr>
          <w:p w14:paraId="1D2F3320">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r>
              <w:rPr>
                <w:rFonts w:hint="default" w:ascii="Times New Roman" w:hAnsi="Times New Roman" w:eastAsia="宋体" w:cs="Times New Roman"/>
                <w:sz w:val="21"/>
                <w:szCs w:val="24"/>
              </w:rPr>
              <w:t>姓名</w:t>
            </w:r>
          </w:p>
        </w:tc>
        <w:tc>
          <w:tcPr>
            <w:tcW w:w="375" w:type="pct"/>
            <w:vMerge w:val="restart"/>
            <w:vAlign w:val="center"/>
          </w:tcPr>
          <w:p w14:paraId="6F712F89">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r>
              <w:rPr>
                <w:rFonts w:hint="default" w:ascii="Times New Roman" w:hAnsi="Times New Roman" w:eastAsia="宋体" w:cs="Times New Roman"/>
                <w:sz w:val="21"/>
                <w:szCs w:val="24"/>
              </w:rPr>
              <w:t>职称</w:t>
            </w:r>
          </w:p>
        </w:tc>
        <w:tc>
          <w:tcPr>
            <w:tcW w:w="304" w:type="pct"/>
            <w:vMerge w:val="restart"/>
            <w:vAlign w:val="center"/>
          </w:tcPr>
          <w:p w14:paraId="17BB57BB">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r>
              <w:rPr>
                <w:rFonts w:hint="default" w:ascii="Times New Roman" w:hAnsi="Times New Roman" w:eastAsia="宋体" w:cs="Times New Roman"/>
                <w:sz w:val="21"/>
                <w:szCs w:val="24"/>
              </w:rPr>
              <w:t>专业</w:t>
            </w:r>
          </w:p>
        </w:tc>
        <w:tc>
          <w:tcPr>
            <w:tcW w:w="1692" w:type="pct"/>
            <w:gridSpan w:val="3"/>
            <w:vAlign w:val="center"/>
          </w:tcPr>
          <w:p w14:paraId="08DDD994">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r>
              <w:rPr>
                <w:rFonts w:hint="default" w:ascii="Times New Roman" w:hAnsi="Times New Roman" w:eastAsia="宋体" w:cs="Times New Roman"/>
                <w:sz w:val="21"/>
                <w:szCs w:val="24"/>
              </w:rPr>
              <w:t>执业或职业资格</w:t>
            </w:r>
          </w:p>
        </w:tc>
        <w:tc>
          <w:tcPr>
            <w:tcW w:w="706" w:type="pct"/>
            <w:vMerge w:val="restart"/>
            <w:vAlign w:val="center"/>
          </w:tcPr>
          <w:p w14:paraId="0DB4589C">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r>
              <w:rPr>
                <w:rFonts w:hint="default" w:ascii="Times New Roman" w:hAnsi="Times New Roman" w:eastAsia="宋体" w:cs="Times New Roman"/>
                <w:sz w:val="21"/>
                <w:szCs w:val="24"/>
              </w:rPr>
              <w:t>备注</w:t>
            </w:r>
          </w:p>
        </w:tc>
      </w:tr>
      <w:tr w14:paraId="17D8D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vMerge w:val="continue"/>
            <w:vAlign w:val="center"/>
          </w:tcPr>
          <w:p w14:paraId="36E9EEEA">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sz w:val="21"/>
                <w:szCs w:val="24"/>
              </w:rPr>
            </w:pPr>
          </w:p>
        </w:tc>
        <w:tc>
          <w:tcPr>
            <w:tcW w:w="794" w:type="pct"/>
            <w:vMerge w:val="continue"/>
          </w:tcPr>
          <w:p w14:paraId="1C6AB968">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sz w:val="21"/>
                <w:szCs w:val="24"/>
              </w:rPr>
            </w:pPr>
          </w:p>
        </w:tc>
        <w:tc>
          <w:tcPr>
            <w:tcW w:w="618" w:type="pct"/>
            <w:vMerge w:val="continue"/>
            <w:vAlign w:val="center"/>
          </w:tcPr>
          <w:p w14:paraId="519EE746">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sz w:val="21"/>
                <w:szCs w:val="24"/>
              </w:rPr>
            </w:pPr>
          </w:p>
        </w:tc>
        <w:tc>
          <w:tcPr>
            <w:tcW w:w="375" w:type="pct"/>
            <w:vMerge w:val="continue"/>
            <w:vAlign w:val="center"/>
          </w:tcPr>
          <w:p w14:paraId="7C5F0ABC">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sz w:val="21"/>
                <w:szCs w:val="24"/>
              </w:rPr>
            </w:pPr>
          </w:p>
        </w:tc>
        <w:tc>
          <w:tcPr>
            <w:tcW w:w="304" w:type="pct"/>
            <w:vMerge w:val="continue"/>
            <w:vAlign w:val="center"/>
          </w:tcPr>
          <w:p w14:paraId="021E37DD">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706" w:type="pct"/>
            <w:vAlign w:val="center"/>
          </w:tcPr>
          <w:p w14:paraId="4C54BF4D">
            <w:pPr>
              <w:keepNext w:val="0"/>
              <w:keepLines w:val="0"/>
              <w:suppressLineNumbers w:val="0"/>
              <w:spacing w:before="100" w:beforeAutospacing="1" w:after="100" w:afterAutospacing="1" w:line="440" w:lineRule="exact"/>
              <w:ind w:left="0" w:right="0" w:firstLine="0" w:firstLineChars="0"/>
              <w:jc w:val="center"/>
              <w:rPr>
                <w:rFonts w:hint="default" w:ascii="Times New Roman" w:hAnsi="Times New Roman" w:eastAsia="宋体" w:cs="Times New Roman"/>
                <w:sz w:val="21"/>
                <w:szCs w:val="24"/>
              </w:rPr>
            </w:pPr>
            <w:r>
              <w:rPr>
                <w:rFonts w:hint="default" w:ascii="Times New Roman" w:hAnsi="Times New Roman" w:eastAsia="宋体" w:cs="Times New Roman"/>
                <w:sz w:val="21"/>
                <w:szCs w:val="24"/>
              </w:rPr>
              <w:t>证书名称</w:t>
            </w:r>
          </w:p>
        </w:tc>
        <w:tc>
          <w:tcPr>
            <w:tcW w:w="441" w:type="pct"/>
            <w:vAlign w:val="center"/>
          </w:tcPr>
          <w:p w14:paraId="14875D04">
            <w:pPr>
              <w:keepNext w:val="0"/>
              <w:keepLines w:val="0"/>
              <w:suppressLineNumbers w:val="0"/>
              <w:spacing w:before="100" w:beforeAutospacing="1" w:after="100" w:afterAutospacing="1" w:line="440" w:lineRule="exact"/>
              <w:ind w:left="0" w:right="0" w:firstLine="0" w:firstLineChars="0"/>
              <w:jc w:val="center"/>
              <w:rPr>
                <w:rFonts w:hint="default" w:ascii="Times New Roman" w:hAnsi="Times New Roman" w:eastAsia="宋体" w:cs="Times New Roman"/>
                <w:sz w:val="21"/>
                <w:szCs w:val="24"/>
              </w:rPr>
            </w:pPr>
            <w:r>
              <w:rPr>
                <w:rFonts w:hint="default" w:ascii="Times New Roman" w:hAnsi="Times New Roman" w:eastAsia="宋体" w:cs="Times New Roman"/>
                <w:sz w:val="21"/>
                <w:szCs w:val="24"/>
              </w:rPr>
              <w:t>级别</w:t>
            </w:r>
          </w:p>
        </w:tc>
        <w:tc>
          <w:tcPr>
            <w:tcW w:w="543" w:type="pct"/>
            <w:vAlign w:val="center"/>
          </w:tcPr>
          <w:p w14:paraId="07BE3C25">
            <w:pPr>
              <w:keepNext w:val="0"/>
              <w:keepLines w:val="0"/>
              <w:suppressLineNumbers w:val="0"/>
              <w:spacing w:before="100" w:beforeAutospacing="1" w:after="100" w:afterAutospacing="1" w:line="440" w:lineRule="exact"/>
              <w:ind w:left="0" w:right="0" w:firstLine="0" w:firstLineChars="0"/>
              <w:jc w:val="center"/>
              <w:rPr>
                <w:rFonts w:hint="default" w:ascii="Times New Roman" w:hAnsi="Times New Roman" w:eastAsia="宋体" w:cs="Times New Roman"/>
                <w:sz w:val="21"/>
                <w:szCs w:val="24"/>
              </w:rPr>
            </w:pPr>
            <w:r>
              <w:rPr>
                <w:rFonts w:hint="default" w:ascii="Times New Roman" w:hAnsi="Times New Roman" w:eastAsia="宋体" w:cs="Times New Roman"/>
                <w:sz w:val="21"/>
                <w:szCs w:val="24"/>
              </w:rPr>
              <w:t>证号</w:t>
            </w:r>
          </w:p>
        </w:tc>
        <w:tc>
          <w:tcPr>
            <w:tcW w:w="706" w:type="pct"/>
            <w:vMerge w:val="continue"/>
            <w:vAlign w:val="center"/>
          </w:tcPr>
          <w:p w14:paraId="2FF22E07">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r>
      <w:tr w14:paraId="23FB6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vAlign w:val="center"/>
          </w:tcPr>
          <w:p w14:paraId="135F581C">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794" w:type="pct"/>
          </w:tcPr>
          <w:p w14:paraId="50D1BE0B">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618" w:type="pct"/>
            <w:vAlign w:val="center"/>
          </w:tcPr>
          <w:p w14:paraId="4E8BBBF9">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375" w:type="pct"/>
            <w:vAlign w:val="center"/>
          </w:tcPr>
          <w:p w14:paraId="389F9495">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304" w:type="pct"/>
            <w:vAlign w:val="center"/>
          </w:tcPr>
          <w:p w14:paraId="5ECD24C1">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706" w:type="pct"/>
            <w:vAlign w:val="center"/>
          </w:tcPr>
          <w:p w14:paraId="72F8C947">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441" w:type="pct"/>
            <w:vAlign w:val="center"/>
          </w:tcPr>
          <w:p w14:paraId="7D305A5D">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543" w:type="pct"/>
            <w:vAlign w:val="center"/>
          </w:tcPr>
          <w:p w14:paraId="317A8FE6">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706" w:type="pct"/>
            <w:vAlign w:val="center"/>
          </w:tcPr>
          <w:p w14:paraId="142308EF">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r>
      <w:tr w14:paraId="01763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tcPr>
          <w:p w14:paraId="0DE6A82E">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794" w:type="pct"/>
          </w:tcPr>
          <w:p w14:paraId="5E9762D0">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618" w:type="pct"/>
          </w:tcPr>
          <w:p w14:paraId="2A920DC9">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375" w:type="pct"/>
          </w:tcPr>
          <w:p w14:paraId="612EAB51">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304" w:type="pct"/>
          </w:tcPr>
          <w:p w14:paraId="7D5981E8">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706" w:type="pct"/>
          </w:tcPr>
          <w:p w14:paraId="375C9F4F">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441" w:type="pct"/>
          </w:tcPr>
          <w:p w14:paraId="48E200E4">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543" w:type="pct"/>
          </w:tcPr>
          <w:p w14:paraId="7D22FEAF">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706" w:type="pct"/>
          </w:tcPr>
          <w:p w14:paraId="1902D504">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r>
      <w:tr w14:paraId="3421F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tcPr>
          <w:p w14:paraId="4B87B442">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794" w:type="pct"/>
          </w:tcPr>
          <w:p w14:paraId="07D3AC09">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618" w:type="pct"/>
          </w:tcPr>
          <w:p w14:paraId="0308F9F4">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375" w:type="pct"/>
          </w:tcPr>
          <w:p w14:paraId="66BBD323">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304" w:type="pct"/>
          </w:tcPr>
          <w:p w14:paraId="03A8DBAA">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706" w:type="pct"/>
          </w:tcPr>
          <w:p w14:paraId="37605156">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441" w:type="pct"/>
          </w:tcPr>
          <w:p w14:paraId="79FFEE24">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543" w:type="pct"/>
          </w:tcPr>
          <w:p w14:paraId="354333F7">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706" w:type="pct"/>
          </w:tcPr>
          <w:p w14:paraId="4DF8C729">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r>
      <w:tr w14:paraId="5BA77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tcPr>
          <w:p w14:paraId="1FBAFBC2">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794" w:type="pct"/>
          </w:tcPr>
          <w:p w14:paraId="092EC350">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618" w:type="pct"/>
          </w:tcPr>
          <w:p w14:paraId="574A2D37">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375" w:type="pct"/>
          </w:tcPr>
          <w:p w14:paraId="5A96A4DE">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304" w:type="pct"/>
          </w:tcPr>
          <w:p w14:paraId="780E893A">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706" w:type="pct"/>
          </w:tcPr>
          <w:p w14:paraId="10E1E22B">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441" w:type="pct"/>
          </w:tcPr>
          <w:p w14:paraId="124DE6EB">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543" w:type="pct"/>
          </w:tcPr>
          <w:p w14:paraId="2BA7EEAD">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706" w:type="pct"/>
          </w:tcPr>
          <w:p w14:paraId="4529046E">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r>
      <w:tr w14:paraId="7B6FC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tcPr>
          <w:p w14:paraId="474A74BF">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794" w:type="pct"/>
          </w:tcPr>
          <w:p w14:paraId="6B03F544">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618" w:type="pct"/>
          </w:tcPr>
          <w:p w14:paraId="06C2E6EA">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375" w:type="pct"/>
          </w:tcPr>
          <w:p w14:paraId="710B8206">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304" w:type="pct"/>
          </w:tcPr>
          <w:p w14:paraId="32A26491">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706" w:type="pct"/>
          </w:tcPr>
          <w:p w14:paraId="3022C3E6">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441" w:type="pct"/>
          </w:tcPr>
          <w:p w14:paraId="7E6C4B54">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543" w:type="pct"/>
          </w:tcPr>
          <w:p w14:paraId="17ADDC27">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706" w:type="pct"/>
          </w:tcPr>
          <w:p w14:paraId="0A97F7D3">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r>
      <w:tr w14:paraId="6BE48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tcPr>
          <w:p w14:paraId="6352B179">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794" w:type="pct"/>
          </w:tcPr>
          <w:p w14:paraId="4F923866">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618" w:type="pct"/>
          </w:tcPr>
          <w:p w14:paraId="54C0C120">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375" w:type="pct"/>
          </w:tcPr>
          <w:p w14:paraId="639A0489">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304" w:type="pct"/>
          </w:tcPr>
          <w:p w14:paraId="5C39BDBB">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706" w:type="pct"/>
          </w:tcPr>
          <w:p w14:paraId="102691C3">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441" w:type="pct"/>
          </w:tcPr>
          <w:p w14:paraId="0114BDD2">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543" w:type="pct"/>
          </w:tcPr>
          <w:p w14:paraId="51CB776F">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706" w:type="pct"/>
          </w:tcPr>
          <w:p w14:paraId="17DCAA51">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r>
      <w:tr w14:paraId="1B5D8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tcPr>
          <w:p w14:paraId="767BA2E9">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794" w:type="pct"/>
          </w:tcPr>
          <w:p w14:paraId="089E2376">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618" w:type="pct"/>
          </w:tcPr>
          <w:p w14:paraId="273153A7">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375" w:type="pct"/>
          </w:tcPr>
          <w:p w14:paraId="345F8354">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304" w:type="pct"/>
          </w:tcPr>
          <w:p w14:paraId="7F243CD8">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706" w:type="pct"/>
          </w:tcPr>
          <w:p w14:paraId="61157050">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441" w:type="pct"/>
          </w:tcPr>
          <w:p w14:paraId="51018F47">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543" w:type="pct"/>
          </w:tcPr>
          <w:p w14:paraId="70A31D38">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706" w:type="pct"/>
          </w:tcPr>
          <w:p w14:paraId="663B5DF9">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r>
      <w:tr w14:paraId="6E71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tcPr>
          <w:p w14:paraId="5A2A23E2">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794" w:type="pct"/>
          </w:tcPr>
          <w:p w14:paraId="2F3D672E">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618" w:type="pct"/>
          </w:tcPr>
          <w:p w14:paraId="25C4E0F7">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375" w:type="pct"/>
          </w:tcPr>
          <w:p w14:paraId="33D0E05C">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304" w:type="pct"/>
          </w:tcPr>
          <w:p w14:paraId="72E0EC52">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706" w:type="pct"/>
          </w:tcPr>
          <w:p w14:paraId="730711EB">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441" w:type="pct"/>
          </w:tcPr>
          <w:p w14:paraId="43D9D07A">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543" w:type="pct"/>
          </w:tcPr>
          <w:p w14:paraId="44E34644">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706" w:type="pct"/>
          </w:tcPr>
          <w:p w14:paraId="74D9322F">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r>
      <w:tr w14:paraId="3F508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tcPr>
          <w:p w14:paraId="55049E3D">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794" w:type="pct"/>
          </w:tcPr>
          <w:p w14:paraId="728D42A0">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618" w:type="pct"/>
          </w:tcPr>
          <w:p w14:paraId="5DAF50BF">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375" w:type="pct"/>
          </w:tcPr>
          <w:p w14:paraId="33F62BB6">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304" w:type="pct"/>
          </w:tcPr>
          <w:p w14:paraId="51C45C74">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706" w:type="pct"/>
          </w:tcPr>
          <w:p w14:paraId="2258E5E4">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441" w:type="pct"/>
          </w:tcPr>
          <w:p w14:paraId="6C20152D">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543" w:type="pct"/>
          </w:tcPr>
          <w:p w14:paraId="7FEBD15D">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706" w:type="pct"/>
          </w:tcPr>
          <w:p w14:paraId="54D1FF1F">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r>
      <w:tr w14:paraId="22269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tcPr>
          <w:p w14:paraId="4C9E7C76">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794" w:type="pct"/>
          </w:tcPr>
          <w:p w14:paraId="63040253">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618" w:type="pct"/>
          </w:tcPr>
          <w:p w14:paraId="2AAE84B5">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375" w:type="pct"/>
          </w:tcPr>
          <w:p w14:paraId="1DEC7EB2">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304" w:type="pct"/>
          </w:tcPr>
          <w:p w14:paraId="7BE4A26C">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706" w:type="pct"/>
          </w:tcPr>
          <w:p w14:paraId="52E9CBCE">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441" w:type="pct"/>
          </w:tcPr>
          <w:p w14:paraId="0355DE0E">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543" w:type="pct"/>
          </w:tcPr>
          <w:p w14:paraId="67995156">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706" w:type="pct"/>
          </w:tcPr>
          <w:p w14:paraId="48635B6F">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r>
      <w:tr w14:paraId="418DF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tcPr>
          <w:p w14:paraId="53E28EAB">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794" w:type="pct"/>
          </w:tcPr>
          <w:p w14:paraId="0C68FF15">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618" w:type="pct"/>
          </w:tcPr>
          <w:p w14:paraId="76C0ABDE">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375" w:type="pct"/>
          </w:tcPr>
          <w:p w14:paraId="3B06957F">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304" w:type="pct"/>
          </w:tcPr>
          <w:p w14:paraId="4C373DC9">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706" w:type="pct"/>
          </w:tcPr>
          <w:p w14:paraId="50A99ACC">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441" w:type="pct"/>
          </w:tcPr>
          <w:p w14:paraId="11442727">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543" w:type="pct"/>
          </w:tcPr>
          <w:p w14:paraId="730A7E3F">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706" w:type="pct"/>
          </w:tcPr>
          <w:p w14:paraId="200AB1B9">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r>
      <w:tr w14:paraId="3FCD1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tcPr>
          <w:p w14:paraId="08F8900F">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794" w:type="pct"/>
          </w:tcPr>
          <w:p w14:paraId="023741FC">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618" w:type="pct"/>
          </w:tcPr>
          <w:p w14:paraId="768A6CE6">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375" w:type="pct"/>
          </w:tcPr>
          <w:p w14:paraId="16725DF3">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304" w:type="pct"/>
          </w:tcPr>
          <w:p w14:paraId="2DF54935">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706" w:type="pct"/>
          </w:tcPr>
          <w:p w14:paraId="78E98242">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441" w:type="pct"/>
          </w:tcPr>
          <w:p w14:paraId="1B2301FF">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543" w:type="pct"/>
          </w:tcPr>
          <w:p w14:paraId="65967232">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706" w:type="pct"/>
          </w:tcPr>
          <w:p w14:paraId="016418FD">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r>
      <w:tr w14:paraId="54CAB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tcPr>
          <w:p w14:paraId="4F60D266">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794" w:type="pct"/>
          </w:tcPr>
          <w:p w14:paraId="0610704E">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618" w:type="pct"/>
          </w:tcPr>
          <w:p w14:paraId="2FB2A3FD">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375" w:type="pct"/>
          </w:tcPr>
          <w:p w14:paraId="337BDFEC">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304" w:type="pct"/>
          </w:tcPr>
          <w:p w14:paraId="7D33E876">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706" w:type="pct"/>
          </w:tcPr>
          <w:p w14:paraId="65B2E15E">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441" w:type="pct"/>
          </w:tcPr>
          <w:p w14:paraId="14C2D8C2">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543" w:type="pct"/>
          </w:tcPr>
          <w:p w14:paraId="51288DE1">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706" w:type="pct"/>
          </w:tcPr>
          <w:p w14:paraId="45C18938">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r>
      <w:tr w14:paraId="2DD10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tcPr>
          <w:p w14:paraId="280F8E55">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794" w:type="pct"/>
          </w:tcPr>
          <w:p w14:paraId="2D9AEA62">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618" w:type="pct"/>
          </w:tcPr>
          <w:p w14:paraId="63454C8F">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375" w:type="pct"/>
          </w:tcPr>
          <w:p w14:paraId="697690C4">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304" w:type="pct"/>
          </w:tcPr>
          <w:p w14:paraId="32F4C3C8">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706" w:type="pct"/>
          </w:tcPr>
          <w:p w14:paraId="153301B6">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441" w:type="pct"/>
          </w:tcPr>
          <w:p w14:paraId="286C1E7D">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543" w:type="pct"/>
          </w:tcPr>
          <w:p w14:paraId="7E1A56C6">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706" w:type="pct"/>
          </w:tcPr>
          <w:p w14:paraId="7E6DD8F2">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r>
      <w:tr w14:paraId="7D83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tcPr>
          <w:p w14:paraId="79EF7065">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794" w:type="pct"/>
          </w:tcPr>
          <w:p w14:paraId="3DC0CC9F">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618" w:type="pct"/>
          </w:tcPr>
          <w:p w14:paraId="66CF6A92">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375" w:type="pct"/>
          </w:tcPr>
          <w:p w14:paraId="1AB97146">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304" w:type="pct"/>
          </w:tcPr>
          <w:p w14:paraId="1F86E054">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706" w:type="pct"/>
          </w:tcPr>
          <w:p w14:paraId="60723299">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441" w:type="pct"/>
          </w:tcPr>
          <w:p w14:paraId="3142BD18">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543" w:type="pct"/>
          </w:tcPr>
          <w:p w14:paraId="2A56CD2E">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706" w:type="pct"/>
          </w:tcPr>
          <w:p w14:paraId="3B0E33FD">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r>
      <w:tr w14:paraId="65006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tcPr>
          <w:p w14:paraId="68536495">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794" w:type="pct"/>
          </w:tcPr>
          <w:p w14:paraId="0D9B73D4">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618" w:type="pct"/>
          </w:tcPr>
          <w:p w14:paraId="53913C4F">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375" w:type="pct"/>
          </w:tcPr>
          <w:p w14:paraId="3230BF38">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304" w:type="pct"/>
          </w:tcPr>
          <w:p w14:paraId="0A4782AE">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706" w:type="pct"/>
          </w:tcPr>
          <w:p w14:paraId="2134D924">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441" w:type="pct"/>
          </w:tcPr>
          <w:p w14:paraId="49A4722E">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543" w:type="pct"/>
          </w:tcPr>
          <w:p w14:paraId="2FDEC653">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706" w:type="pct"/>
          </w:tcPr>
          <w:p w14:paraId="0CA7779C">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r>
      <w:tr w14:paraId="48A05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tcPr>
          <w:p w14:paraId="522463E6">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794" w:type="pct"/>
          </w:tcPr>
          <w:p w14:paraId="2BC1BD1E">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618" w:type="pct"/>
          </w:tcPr>
          <w:p w14:paraId="2DA94267">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375" w:type="pct"/>
          </w:tcPr>
          <w:p w14:paraId="4E4A21D2">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304" w:type="pct"/>
          </w:tcPr>
          <w:p w14:paraId="150BD1CE">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706" w:type="pct"/>
          </w:tcPr>
          <w:p w14:paraId="584AA13B">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441" w:type="pct"/>
          </w:tcPr>
          <w:p w14:paraId="2EF449B4">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543" w:type="pct"/>
          </w:tcPr>
          <w:p w14:paraId="038E4252">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706" w:type="pct"/>
          </w:tcPr>
          <w:p w14:paraId="6D10988D">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r>
      <w:tr w14:paraId="59A64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tcPr>
          <w:p w14:paraId="07C97629">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794" w:type="pct"/>
          </w:tcPr>
          <w:p w14:paraId="66A5146E">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618" w:type="pct"/>
          </w:tcPr>
          <w:p w14:paraId="3ECF56C0">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375" w:type="pct"/>
          </w:tcPr>
          <w:p w14:paraId="648F4F0C">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304" w:type="pct"/>
          </w:tcPr>
          <w:p w14:paraId="1D73381E">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706" w:type="pct"/>
          </w:tcPr>
          <w:p w14:paraId="40D1117F">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441" w:type="pct"/>
          </w:tcPr>
          <w:p w14:paraId="2BBB4B68">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543" w:type="pct"/>
          </w:tcPr>
          <w:p w14:paraId="54B6FFEF">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706" w:type="pct"/>
          </w:tcPr>
          <w:p w14:paraId="2DFB8B49">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r>
      <w:tr w14:paraId="584F9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tcPr>
          <w:p w14:paraId="6AB6E966">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794" w:type="pct"/>
          </w:tcPr>
          <w:p w14:paraId="7C1AD950">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618" w:type="pct"/>
          </w:tcPr>
          <w:p w14:paraId="3D5A4C48">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375" w:type="pct"/>
          </w:tcPr>
          <w:p w14:paraId="49177BB7">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304" w:type="pct"/>
          </w:tcPr>
          <w:p w14:paraId="329660C8">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706" w:type="pct"/>
          </w:tcPr>
          <w:p w14:paraId="5E7B911C">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441" w:type="pct"/>
          </w:tcPr>
          <w:p w14:paraId="7BD1E7D0">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543" w:type="pct"/>
          </w:tcPr>
          <w:p w14:paraId="47EBA767">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706" w:type="pct"/>
          </w:tcPr>
          <w:p w14:paraId="0DC1707C">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r>
      <w:tr w14:paraId="31DF2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tcPr>
          <w:p w14:paraId="3EAB033C">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794" w:type="pct"/>
          </w:tcPr>
          <w:p w14:paraId="5F75186E">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618" w:type="pct"/>
          </w:tcPr>
          <w:p w14:paraId="58A112BF">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375" w:type="pct"/>
          </w:tcPr>
          <w:p w14:paraId="40DAAA44">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304" w:type="pct"/>
          </w:tcPr>
          <w:p w14:paraId="2BE79E0E">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706" w:type="pct"/>
          </w:tcPr>
          <w:p w14:paraId="405A8925">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441" w:type="pct"/>
          </w:tcPr>
          <w:p w14:paraId="43A19D56">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543" w:type="pct"/>
          </w:tcPr>
          <w:p w14:paraId="4A40AF62">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706" w:type="pct"/>
          </w:tcPr>
          <w:p w14:paraId="4130BCA3">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r>
      <w:tr w14:paraId="64006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tcPr>
          <w:p w14:paraId="2D8EB0CE">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794" w:type="pct"/>
          </w:tcPr>
          <w:p w14:paraId="42B8805B">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618" w:type="pct"/>
          </w:tcPr>
          <w:p w14:paraId="7D955AA2">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375" w:type="pct"/>
          </w:tcPr>
          <w:p w14:paraId="4A735C8D">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304" w:type="pct"/>
          </w:tcPr>
          <w:p w14:paraId="2F9B6172">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706" w:type="pct"/>
          </w:tcPr>
          <w:p w14:paraId="07E6A9C2">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441" w:type="pct"/>
          </w:tcPr>
          <w:p w14:paraId="688A6415">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543" w:type="pct"/>
          </w:tcPr>
          <w:p w14:paraId="40436262">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c>
          <w:tcPr>
            <w:tcW w:w="706" w:type="pct"/>
          </w:tcPr>
          <w:p w14:paraId="37555C7C">
            <w:pPr>
              <w:keepNext w:val="0"/>
              <w:keepLines w:val="0"/>
              <w:suppressLineNumbers w:val="0"/>
              <w:spacing w:before="0" w:beforeAutospacing="0" w:after="0" w:afterAutospacing="0" w:line="440" w:lineRule="exact"/>
              <w:ind w:left="0" w:right="0" w:firstLine="0" w:firstLineChars="0"/>
              <w:jc w:val="center"/>
              <w:rPr>
                <w:rFonts w:hint="default" w:ascii="Times New Roman" w:hAnsi="Times New Roman" w:eastAsia="宋体" w:cs="Times New Roman"/>
                <w:sz w:val="21"/>
                <w:szCs w:val="24"/>
              </w:rPr>
            </w:pPr>
          </w:p>
        </w:tc>
      </w:tr>
    </w:tbl>
    <w:p w14:paraId="1E91713F">
      <w:pPr>
        <w:rPr>
          <w:rFonts w:hint="default"/>
          <w:lang w:val="en-US" w:eastAsia="zh-CN"/>
        </w:rPr>
        <w:sectPr>
          <w:footnotePr>
            <w:numFmt w:val="decimalEnclosedCircleChinese"/>
            <w:numRestart w:val="eachPage"/>
          </w:footnotePr>
          <w:pgSz w:w="11906" w:h="16838"/>
          <w:pgMar w:top="1440" w:right="1417" w:bottom="1440" w:left="1417" w:header="851" w:footer="992" w:gutter="0"/>
          <w:pgNumType w:fmt="decimal"/>
          <w:cols w:space="0" w:num="1"/>
          <w:titlePg/>
          <w:docGrid w:type="lines" w:linePitch="312" w:charSpace="0"/>
        </w:sectPr>
      </w:pPr>
    </w:p>
    <w:p w14:paraId="59B87386">
      <w:pPr>
        <w:keepNext w:val="0"/>
        <w:keepLines/>
        <w:pageBreakBefore w:val="0"/>
        <w:kinsoku/>
        <w:wordWrap/>
        <w:overflowPunct/>
        <w:topLinePunct w:val="0"/>
        <w:autoSpaceDE/>
        <w:autoSpaceDN/>
        <w:bidi w:val="0"/>
        <w:adjustRightInd/>
        <w:snapToGrid/>
        <w:spacing w:before="260" w:after="260" w:line="400" w:lineRule="exact"/>
        <w:jc w:val="center"/>
        <w:textAlignment w:val="auto"/>
        <w:outlineLvl w:val="1"/>
        <w:rPr>
          <w:rFonts w:hint="eastAsia" w:ascii="宋体" w:hAnsi="宋体"/>
          <w:b/>
          <w:sz w:val="32"/>
          <w:szCs w:val="20"/>
        </w:rPr>
      </w:pPr>
      <w:bookmarkStart w:id="580" w:name="_Toc149140296"/>
      <w:bookmarkStart w:id="581" w:name="_Toc7198_WPSOffice_Level1"/>
      <w:bookmarkStart w:id="582" w:name="_Toc118805950"/>
      <w:bookmarkStart w:id="583" w:name="_Toc15614"/>
      <w:bookmarkStart w:id="584" w:name="_Toc137648499"/>
      <w:bookmarkStart w:id="585" w:name="_Toc118806321"/>
      <w:bookmarkStart w:id="586" w:name="_Toc4755"/>
      <w:bookmarkStart w:id="587" w:name="_Toc118805573"/>
      <w:bookmarkStart w:id="588" w:name="_Toc5468"/>
      <w:bookmarkStart w:id="589" w:name="_Toc4743"/>
      <w:bookmarkStart w:id="590" w:name="_Toc4543"/>
      <w:bookmarkStart w:id="591" w:name="_Toc11388"/>
      <w:bookmarkStart w:id="592" w:name="_Toc118805196"/>
      <w:bookmarkStart w:id="593" w:name="_Hlk138879422"/>
    </w:p>
    <w:p w14:paraId="405CF061">
      <w:pPr>
        <w:keepNext w:val="0"/>
        <w:keepLines/>
        <w:pageBreakBefore w:val="0"/>
        <w:kinsoku/>
        <w:wordWrap/>
        <w:overflowPunct/>
        <w:topLinePunct w:val="0"/>
        <w:autoSpaceDE/>
        <w:autoSpaceDN/>
        <w:bidi w:val="0"/>
        <w:adjustRightInd/>
        <w:snapToGrid/>
        <w:spacing w:before="260" w:after="260" w:line="400" w:lineRule="exact"/>
        <w:jc w:val="center"/>
        <w:textAlignment w:val="auto"/>
        <w:outlineLvl w:val="1"/>
        <w:rPr>
          <w:rFonts w:ascii="宋体" w:hAnsi="宋体"/>
          <w:b/>
          <w:sz w:val="32"/>
          <w:szCs w:val="20"/>
        </w:rPr>
      </w:pPr>
      <w:r>
        <w:rPr>
          <w:rFonts w:hint="eastAsia" w:ascii="宋体" w:hAnsi="宋体"/>
          <w:b/>
          <w:sz w:val="32"/>
          <w:szCs w:val="20"/>
          <w:lang w:val="en-US" w:eastAsia="zh-CN"/>
        </w:rPr>
        <w:t>七</w:t>
      </w:r>
      <w:r>
        <w:rPr>
          <w:rFonts w:ascii="宋体" w:hAnsi="宋体"/>
          <w:b/>
          <w:sz w:val="32"/>
          <w:szCs w:val="20"/>
        </w:rPr>
        <w:t>、响应方案</w:t>
      </w:r>
      <w:bookmarkEnd w:id="580"/>
      <w:bookmarkEnd w:id="581"/>
      <w:bookmarkEnd w:id="582"/>
      <w:bookmarkEnd w:id="583"/>
      <w:bookmarkEnd w:id="584"/>
      <w:bookmarkEnd w:id="585"/>
      <w:bookmarkEnd w:id="586"/>
      <w:bookmarkEnd w:id="587"/>
      <w:bookmarkEnd w:id="588"/>
      <w:bookmarkEnd w:id="589"/>
      <w:bookmarkEnd w:id="590"/>
      <w:bookmarkEnd w:id="591"/>
      <w:bookmarkEnd w:id="592"/>
    </w:p>
    <w:bookmarkEnd w:id="593"/>
    <w:p w14:paraId="13412D6C">
      <w:pPr>
        <w:keepNext w:val="0"/>
        <w:pageBreakBefore w:val="0"/>
        <w:kinsoku/>
        <w:wordWrap/>
        <w:overflowPunct/>
        <w:topLinePunct w:val="0"/>
        <w:autoSpaceDE/>
        <w:autoSpaceDN/>
        <w:bidi w:val="0"/>
        <w:adjustRightInd/>
        <w:snapToGrid/>
        <w:spacing w:line="360" w:lineRule="auto"/>
        <w:ind w:firstLine="420"/>
        <w:jc w:val="left"/>
        <w:textAlignment w:val="auto"/>
        <w:rPr>
          <w:rFonts w:ascii="Calibri" w:hAnsi="Calibri"/>
          <w:szCs w:val="21"/>
        </w:rPr>
      </w:pPr>
      <w:r>
        <w:rPr>
          <w:rFonts w:ascii="Calibri" w:hAnsi="Calibri"/>
          <w:szCs w:val="21"/>
        </w:rPr>
        <w:t>响应方案需包括评审办法技术评分标准所列评审因素，一般包括（但不限于）下列内容：</w:t>
      </w:r>
    </w:p>
    <w:p w14:paraId="595A53A4">
      <w:pPr>
        <w:keepNext w:val="0"/>
        <w:pageBreakBefore w:val="0"/>
        <w:numPr>
          <w:ilvl w:val="0"/>
          <w:numId w:val="6"/>
        </w:numPr>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bCs/>
          <w:sz w:val="21"/>
          <w:szCs w:val="24"/>
          <w:lang w:eastAsia="zh-CN"/>
        </w:rPr>
      </w:pPr>
      <w:r>
        <w:rPr>
          <w:rFonts w:hint="eastAsia" w:ascii="宋体" w:hAnsi="宋体" w:eastAsia="宋体" w:cs="宋体"/>
          <w:bCs/>
          <w:sz w:val="21"/>
          <w:szCs w:val="24"/>
        </w:rPr>
        <w:t>服务方案及技术措施</w:t>
      </w:r>
      <w:r>
        <w:rPr>
          <w:rFonts w:hint="eastAsia" w:ascii="宋体" w:hAnsi="宋体" w:eastAsia="宋体" w:cs="宋体"/>
          <w:bCs/>
          <w:sz w:val="21"/>
          <w:szCs w:val="24"/>
          <w:lang w:eastAsia="zh-CN"/>
        </w:rPr>
        <w:t>；</w:t>
      </w:r>
    </w:p>
    <w:p w14:paraId="0B3C8AD3">
      <w:pPr>
        <w:keepNext w:val="0"/>
        <w:pageBreakBefore w:val="0"/>
        <w:numPr>
          <w:ilvl w:val="0"/>
          <w:numId w:val="6"/>
        </w:numPr>
        <w:kinsoku/>
        <w:wordWrap/>
        <w:overflowPunct/>
        <w:topLinePunct w:val="0"/>
        <w:autoSpaceDE/>
        <w:autoSpaceDN/>
        <w:bidi w:val="0"/>
        <w:adjustRightInd/>
        <w:snapToGrid/>
        <w:spacing w:line="360" w:lineRule="auto"/>
        <w:ind w:firstLine="420"/>
        <w:jc w:val="left"/>
        <w:textAlignment w:val="auto"/>
        <w:rPr>
          <w:rFonts w:hint="eastAsia" w:ascii="Calibri" w:hAnsi="Calibri" w:eastAsia="宋体"/>
          <w:szCs w:val="21"/>
          <w:lang w:val="en-US" w:eastAsia="zh-CN"/>
        </w:rPr>
      </w:pPr>
      <w:r>
        <w:rPr>
          <w:rFonts w:hint="eastAsia" w:ascii="宋体" w:hAnsi="宋体" w:eastAsia="宋体" w:cs="宋体"/>
          <w:sz w:val="21"/>
          <w:szCs w:val="24"/>
        </w:rPr>
        <w:t>劳动力投入计划</w:t>
      </w:r>
      <w:r>
        <w:rPr>
          <w:rFonts w:hint="eastAsia" w:ascii="宋体" w:hAnsi="宋体" w:eastAsia="宋体" w:cs="宋体"/>
          <w:sz w:val="21"/>
          <w:szCs w:val="24"/>
          <w:lang w:eastAsia="zh-CN"/>
        </w:rPr>
        <w:t>；</w:t>
      </w:r>
    </w:p>
    <w:p w14:paraId="154DF6AD">
      <w:pPr>
        <w:keepNext w:val="0"/>
        <w:pageBreakBefore w:val="0"/>
        <w:numPr>
          <w:ilvl w:val="0"/>
          <w:numId w:val="6"/>
        </w:numPr>
        <w:kinsoku/>
        <w:wordWrap/>
        <w:overflowPunct/>
        <w:topLinePunct w:val="0"/>
        <w:autoSpaceDE/>
        <w:autoSpaceDN/>
        <w:bidi w:val="0"/>
        <w:adjustRightInd/>
        <w:snapToGrid/>
        <w:spacing w:line="360" w:lineRule="auto"/>
        <w:ind w:firstLine="420"/>
        <w:jc w:val="left"/>
        <w:textAlignment w:val="auto"/>
        <w:rPr>
          <w:rFonts w:hint="eastAsia" w:ascii="Calibri" w:hAnsi="Calibri" w:eastAsia="宋体"/>
          <w:szCs w:val="21"/>
          <w:lang w:val="en-US" w:eastAsia="zh-CN"/>
        </w:rPr>
      </w:pPr>
      <w:r>
        <w:rPr>
          <w:rFonts w:hint="eastAsia" w:ascii="宋体" w:hAnsi="宋体" w:eastAsia="宋体" w:cs="宋体"/>
          <w:sz w:val="21"/>
          <w:szCs w:val="21"/>
        </w:rPr>
        <w:t>质量、安全承诺及保障措施</w:t>
      </w:r>
      <w:r>
        <w:rPr>
          <w:rFonts w:hint="eastAsia" w:ascii="宋体" w:hAnsi="宋体" w:eastAsia="宋体" w:cs="宋体"/>
          <w:sz w:val="21"/>
          <w:szCs w:val="21"/>
          <w:lang w:eastAsia="zh-CN"/>
        </w:rPr>
        <w:t>。</w:t>
      </w:r>
    </w:p>
    <w:p w14:paraId="35FB934A">
      <w:pPr>
        <w:keepNext w:val="0"/>
        <w:pageBreakBefore w:val="0"/>
        <w:widowControl/>
        <w:kinsoku/>
        <w:wordWrap/>
        <w:overflowPunct/>
        <w:topLinePunct w:val="0"/>
        <w:autoSpaceDE/>
        <w:autoSpaceDN/>
        <w:bidi w:val="0"/>
        <w:adjustRightInd/>
        <w:snapToGrid/>
        <w:jc w:val="left"/>
        <w:textAlignment w:val="auto"/>
        <w:rPr>
          <w:rFonts w:ascii="宋体" w:hAnsi="宋体"/>
          <w:b/>
          <w:szCs w:val="20"/>
        </w:rPr>
      </w:pPr>
      <w:bookmarkStart w:id="594" w:name="_Toc23765"/>
      <w:bookmarkStart w:id="595" w:name="_Toc23008"/>
      <w:bookmarkStart w:id="596" w:name="_Toc20421"/>
      <w:bookmarkStart w:id="597" w:name="_Toc10624"/>
      <w:bookmarkStart w:id="598" w:name="_Toc25068_WPSOffice_Level1"/>
      <w:r>
        <w:rPr>
          <w:rFonts w:ascii="宋体" w:hAnsi="宋体"/>
        </w:rPr>
        <w:br w:type="page"/>
      </w:r>
    </w:p>
    <w:bookmarkEnd w:id="594"/>
    <w:bookmarkEnd w:id="595"/>
    <w:bookmarkEnd w:id="596"/>
    <w:bookmarkEnd w:id="597"/>
    <w:bookmarkEnd w:id="598"/>
    <w:p w14:paraId="0BF81547">
      <w:pPr>
        <w:keepNext/>
        <w:keepLines/>
        <w:spacing w:before="260" w:after="260" w:line="400" w:lineRule="exact"/>
        <w:jc w:val="center"/>
        <w:outlineLvl w:val="1"/>
        <w:rPr>
          <w:rFonts w:ascii="宋体" w:hAnsi="宋体"/>
          <w:b/>
          <w:sz w:val="32"/>
          <w:szCs w:val="20"/>
        </w:rPr>
      </w:pPr>
      <w:bookmarkStart w:id="599" w:name="_Toc149140301"/>
      <w:bookmarkStart w:id="600" w:name="_Toc138604723"/>
      <w:r>
        <w:rPr>
          <w:rFonts w:hint="eastAsia" w:ascii="宋体" w:hAnsi="宋体"/>
          <w:b/>
          <w:sz w:val="32"/>
          <w:szCs w:val="20"/>
          <w:lang w:val="en-US" w:eastAsia="zh-CN"/>
        </w:rPr>
        <w:t>八</w:t>
      </w:r>
      <w:r>
        <w:rPr>
          <w:rFonts w:ascii="宋体" w:hAnsi="宋体"/>
          <w:b/>
          <w:sz w:val="32"/>
          <w:szCs w:val="20"/>
        </w:rPr>
        <w:t>、承诺函</w:t>
      </w:r>
      <w:bookmarkEnd w:id="599"/>
      <w:bookmarkEnd w:id="600"/>
    </w:p>
    <w:p w14:paraId="52A75851">
      <w:pPr>
        <w:spacing w:line="400" w:lineRule="exact"/>
        <w:rPr>
          <w:rFonts w:ascii="宋体" w:hAnsi="宋体"/>
          <w:szCs w:val="21"/>
        </w:rPr>
      </w:pPr>
      <w:bookmarkStart w:id="601" w:name="_Toc118805171"/>
      <w:bookmarkStart w:id="602" w:name="_Toc22218"/>
      <w:bookmarkStart w:id="603" w:name="_Toc118805548"/>
      <w:bookmarkStart w:id="604" w:name="_Toc4203"/>
      <w:bookmarkStart w:id="605" w:name="_Toc21812"/>
      <w:bookmarkStart w:id="606" w:name="_Toc118805925"/>
      <w:bookmarkStart w:id="607" w:name="_Toc3029_WPSOffice_Level1"/>
      <w:bookmarkStart w:id="608" w:name="_Toc26620"/>
      <w:bookmarkStart w:id="609" w:name="_Toc118806296"/>
      <w:bookmarkStart w:id="610" w:name="_Toc11483"/>
      <w:bookmarkStart w:id="611" w:name="_Toc4960"/>
      <w:r>
        <w:rPr>
          <w:rFonts w:ascii="宋体" w:hAnsi="宋体"/>
          <w:szCs w:val="21"/>
        </w:rPr>
        <w:t>单位名称：</w:t>
      </w:r>
      <w:r>
        <w:rPr>
          <w:rFonts w:ascii="宋体" w:hAnsi="宋体"/>
          <w:szCs w:val="21"/>
          <w:u w:val="single"/>
        </w:rPr>
        <w:t xml:space="preserve">               </w:t>
      </w:r>
      <w:r>
        <w:rPr>
          <w:rFonts w:hint="eastAsia" w:ascii="宋体" w:hAnsi="宋体"/>
          <w:szCs w:val="21"/>
          <w:u w:val="single"/>
        </w:rPr>
        <w:t>（采购人名称）</w:t>
      </w:r>
    </w:p>
    <w:p w14:paraId="0FD8413E">
      <w:pPr>
        <w:spacing w:line="400" w:lineRule="exact"/>
        <w:ind w:firstLine="420"/>
        <w:rPr>
          <w:rFonts w:ascii="宋体" w:hAnsi="宋体"/>
          <w:szCs w:val="21"/>
        </w:rPr>
      </w:pPr>
      <w:r>
        <w:rPr>
          <w:szCs w:val="21"/>
        </w:rPr>
        <w:t>1</w:t>
      </w:r>
      <w:r>
        <w:rPr>
          <w:rFonts w:ascii="宋体" w:hAnsi="宋体"/>
          <w:szCs w:val="21"/>
        </w:rPr>
        <w:t>.根据你方</w:t>
      </w:r>
      <w:r>
        <w:rPr>
          <w:rFonts w:ascii="宋体" w:hAnsi="宋体"/>
          <w:szCs w:val="21"/>
          <w:u w:val="single"/>
        </w:rPr>
        <w:t xml:space="preserve">            </w:t>
      </w:r>
      <w:r>
        <w:rPr>
          <w:rFonts w:ascii="宋体" w:hAnsi="宋体"/>
          <w:szCs w:val="21"/>
        </w:rPr>
        <w:t>（项目名称）采购文件的全部内容，经研究上述采购文件的供应商须知、合同主要条款及其他有关内容后，郑重承诺：我方能够响应采购人的要求，我们将按照采购文件中的采购人要求及合同约定，提供本次采购的全部工作。</w:t>
      </w:r>
    </w:p>
    <w:p w14:paraId="63AFC8D3">
      <w:pPr>
        <w:spacing w:line="400" w:lineRule="exact"/>
        <w:ind w:firstLine="420"/>
        <w:rPr>
          <w:rFonts w:ascii="宋体" w:hAnsi="宋体"/>
          <w:szCs w:val="21"/>
        </w:rPr>
      </w:pPr>
      <w:r>
        <w:rPr>
          <w:szCs w:val="21"/>
        </w:rPr>
        <w:t>2</w:t>
      </w:r>
      <w:r>
        <w:rPr>
          <w:rFonts w:ascii="宋体" w:hAnsi="宋体"/>
          <w:szCs w:val="21"/>
        </w:rPr>
        <w:t>.我方的响应文件包括下列内容：</w:t>
      </w:r>
    </w:p>
    <w:p w14:paraId="0B527F83">
      <w:pPr>
        <w:spacing w:line="400" w:lineRule="exact"/>
        <w:ind w:firstLine="420"/>
        <w:rPr>
          <w:rFonts w:ascii="宋体" w:hAnsi="宋体"/>
          <w:szCs w:val="21"/>
        </w:rPr>
      </w:pPr>
      <w:r>
        <w:rPr>
          <w:rFonts w:ascii="宋体" w:hAnsi="宋体"/>
        </w:rPr>
        <w:t>（</w:t>
      </w:r>
      <w:r>
        <w:t>1</w:t>
      </w:r>
      <w:r>
        <w:rPr>
          <w:rFonts w:ascii="宋体" w:hAnsi="宋体"/>
        </w:rPr>
        <w:t>）</w:t>
      </w:r>
      <w:r>
        <w:rPr>
          <w:rFonts w:ascii="宋体" w:hAnsi="宋体"/>
          <w:szCs w:val="21"/>
        </w:rPr>
        <w:t>响应函；</w:t>
      </w:r>
    </w:p>
    <w:p w14:paraId="48FEF5F0">
      <w:pPr>
        <w:spacing w:line="400" w:lineRule="exact"/>
        <w:ind w:firstLine="420"/>
        <w:rPr>
          <w:rFonts w:ascii="宋体" w:hAnsi="宋体"/>
          <w:szCs w:val="21"/>
        </w:rPr>
      </w:pPr>
      <w:r>
        <w:rPr>
          <w:rFonts w:ascii="宋体" w:hAnsi="宋体"/>
        </w:rPr>
        <w:t>（</w:t>
      </w:r>
      <w:r>
        <w:t>2</w:t>
      </w:r>
      <w:r>
        <w:rPr>
          <w:rFonts w:ascii="宋体" w:hAnsi="宋体"/>
        </w:rPr>
        <w:t>）</w:t>
      </w:r>
      <w:bookmarkStart w:id="612" w:name="_Hlk138879484"/>
      <w:r>
        <w:rPr>
          <w:rFonts w:ascii="宋体" w:hAnsi="宋体"/>
          <w:szCs w:val="21"/>
        </w:rPr>
        <w:t>授权委托书；</w:t>
      </w:r>
      <w:bookmarkEnd w:id="612"/>
    </w:p>
    <w:p w14:paraId="17736EB4">
      <w:pPr>
        <w:spacing w:line="400" w:lineRule="exact"/>
        <w:ind w:firstLine="405"/>
        <w:rPr>
          <w:rFonts w:ascii="宋体" w:hAnsi="宋体"/>
        </w:rPr>
      </w:pPr>
      <w:r>
        <w:rPr>
          <w:rFonts w:ascii="宋体" w:hAnsi="宋体"/>
        </w:rPr>
        <w:t>（</w:t>
      </w:r>
      <w:r>
        <w:t>3</w:t>
      </w:r>
      <w:r>
        <w:rPr>
          <w:rFonts w:ascii="宋体" w:hAnsi="宋体"/>
        </w:rPr>
        <w:t>）联合体协议书（如有）；</w:t>
      </w:r>
    </w:p>
    <w:p w14:paraId="40A0A5F5">
      <w:pPr>
        <w:spacing w:line="400" w:lineRule="exact"/>
        <w:ind w:firstLine="405"/>
        <w:rPr>
          <w:rFonts w:ascii="宋体" w:hAnsi="宋体"/>
        </w:rPr>
      </w:pPr>
      <w:r>
        <w:rPr>
          <w:rFonts w:ascii="宋体" w:hAnsi="宋体"/>
        </w:rPr>
        <w:t>（</w:t>
      </w:r>
      <w:r>
        <w:t>4</w:t>
      </w:r>
      <w:r>
        <w:rPr>
          <w:rFonts w:ascii="宋体" w:hAnsi="宋体"/>
        </w:rPr>
        <w:t>）响应保证金（如有）；</w:t>
      </w:r>
    </w:p>
    <w:p w14:paraId="7AFC92CE">
      <w:pPr>
        <w:spacing w:line="400" w:lineRule="exact"/>
        <w:ind w:firstLine="405"/>
        <w:rPr>
          <w:rFonts w:ascii="宋体" w:hAnsi="宋体"/>
        </w:rPr>
      </w:pPr>
      <w:r>
        <w:rPr>
          <w:rFonts w:ascii="宋体" w:hAnsi="宋体"/>
        </w:rPr>
        <w:t>（</w:t>
      </w:r>
      <w:r>
        <w:t>5</w:t>
      </w:r>
      <w:r>
        <w:rPr>
          <w:rFonts w:ascii="宋体" w:hAnsi="宋体"/>
        </w:rPr>
        <w:t>）商务和技术偏差表；</w:t>
      </w:r>
    </w:p>
    <w:p w14:paraId="0755D302">
      <w:pPr>
        <w:spacing w:line="400" w:lineRule="exact"/>
        <w:ind w:firstLine="405"/>
        <w:rPr>
          <w:rFonts w:ascii="宋体" w:hAnsi="宋体"/>
        </w:rPr>
      </w:pPr>
      <w:r>
        <w:rPr>
          <w:rFonts w:ascii="宋体" w:hAnsi="宋体"/>
        </w:rPr>
        <w:t>（</w:t>
      </w:r>
      <w:r>
        <w:t>6</w:t>
      </w:r>
      <w:r>
        <w:rPr>
          <w:rFonts w:ascii="宋体" w:hAnsi="宋体"/>
        </w:rPr>
        <w:t>）报价表；</w:t>
      </w:r>
    </w:p>
    <w:p w14:paraId="4775F409">
      <w:pPr>
        <w:spacing w:line="400" w:lineRule="exact"/>
        <w:ind w:firstLine="405"/>
        <w:rPr>
          <w:rFonts w:ascii="宋体" w:hAnsi="宋体"/>
        </w:rPr>
      </w:pPr>
      <w:r>
        <w:rPr>
          <w:rFonts w:ascii="宋体" w:hAnsi="宋体"/>
        </w:rPr>
        <w:t>（</w:t>
      </w:r>
      <w:r>
        <w:t>7</w:t>
      </w:r>
      <w:r>
        <w:rPr>
          <w:rFonts w:ascii="宋体" w:hAnsi="宋体"/>
        </w:rPr>
        <w:t>）资格审查资料；</w:t>
      </w:r>
    </w:p>
    <w:p w14:paraId="457372EB">
      <w:pPr>
        <w:spacing w:line="400" w:lineRule="exact"/>
        <w:ind w:firstLine="405"/>
        <w:rPr>
          <w:rFonts w:ascii="宋体" w:hAnsi="宋体"/>
        </w:rPr>
      </w:pPr>
      <w:r>
        <w:rPr>
          <w:rFonts w:ascii="宋体" w:hAnsi="宋体"/>
        </w:rPr>
        <w:t>（</w:t>
      </w:r>
      <w:r>
        <w:t>8</w:t>
      </w:r>
      <w:r>
        <w:rPr>
          <w:rFonts w:ascii="宋体" w:hAnsi="宋体"/>
        </w:rPr>
        <w:t>）响应方案；</w:t>
      </w:r>
    </w:p>
    <w:p w14:paraId="338092CE">
      <w:pPr>
        <w:spacing w:line="400" w:lineRule="exact"/>
        <w:ind w:firstLine="405"/>
        <w:rPr>
          <w:rFonts w:ascii="宋体" w:hAnsi="宋体"/>
        </w:rPr>
      </w:pPr>
      <w:r>
        <w:rPr>
          <w:rFonts w:ascii="宋体" w:hAnsi="宋体"/>
        </w:rPr>
        <w:t>（</w:t>
      </w:r>
      <w:r>
        <w:t>9</w:t>
      </w:r>
      <w:r>
        <w:rPr>
          <w:rFonts w:ascii="宋体" w:hAnsi="宋体"/>
        </w:rPr>
        <w:t>）承诺函</w:t>
      </w:r>
    </w:p>
    <w:p w14:paraId="4861D932">
      <w:pPr>
        <w:spacing w:line="400" w:lineRule="exact"/>
        <w:ind w:firstLine="630" w:firstLineChars="300"/>
        <w:rPr>
          <w:rFonts w:ascii="宋体" w:hAnsi="宋体"/>
        </w:rPr>
      </w:pPr>
      <w:bookmarkStart w:id="613" w:name="_Hlk138879476"/>
      <w:r>
        <w:rPr>
          <w:rFonts w:ascii="宋体" w:hAnsi="宋体"/>
        </w:rPr>
        <w:t>………..</w:t>
      </w:r>
    </w:p>
    <w:bookmarkEnd w:id="613"/>
    <w:p w14:paraId="7ADE61E0">
      <w:pPr>
        <w:spacing w:line="400" w:lineRule="exact"/>
        <w:ind w:firstLine="420"/>
        <w:rPr>
          <w:rFonts w:ascii="宋体" w:hAnsi="宋体"/>
          <w:szCs w:val="21"/>
        </w:rPr>
      </w:pPr>
      <w:r>
        <w:rPr>
          <w:rFonts w:ascii="宋体" w:hAnsi="宋体"/>
          <w:szCs w:val="21"/>
        </w:rPr>
        <w:t>响应文件的上述组成部分如存在内容不一致的，以响应函为准。</w:t>
      </w:r>
    </w:p>
    <w:p w14:paraId="053E5275">
      <w:pPr>
        <w:spacing w:line="400" w:lineRule="exact"/>
        <w:ind w:firstLine="420"/>
        <w:rPr>
          <w:rFonts w:ascii="宋体" w:hAnsi="宋体"/>
          <w:szCs w:val="21"/>
        </w:rPr>
      </w:pPr>
      <w:r>
        <w:rPr>
          <w:szCs w:val="21"/>
        </w:rPr>
        <w:t>3</w:t>
      </w:r>
      <w:r>
        <w:rPr>
          <w:rFonts w:ascii="宋体" w:hAnsi="宋体"/>
          <w:szCs w:val="21"/>
        </w:rPr>
        <w:t>.我方承诺除商务和技术偏差表列出的偏差外，我方响应采购文件的全部要求。</w:t>
      </w:r>
    </w:p>
    <w:p w14:paraId="0941ABB9">
      <w:pPr>
        <w:spacing w:line="400" w:lineRule="exact"/>
        <w:ind w:firstLine="420"/>
        <w:rPr>
          <w:rFonts w:ascii="宋体" w:hAnsi="宋体"/>
          <w:szCs w:val="21"/>
        </w:rPr>
      </w:pPr>
      <w:r>
        <w:rPr>
          <w:szCs w:val="21"/>
        </w:rPr>
        <w:t>4</w:t>
      </w:r>
      <w:r>
        <w:rPr>
          <w:rFonts w:ascii="宋体" w:hAnsi="宋体"/>
          <w:szCs w:val="21"/>
        </w:rPr>
        <w:t>.我方承诺在采购文件规定的响应文件有效期内不撤销响应文件。</w:t>
      </w:r>
    </w:p>
    <w:p w14:paraId="5FBB522C">
      <w:pPr>
        <w:spacing w:line="400" w:lineRule="exact"/>
        <w:ind w:firstLine="420"/>
        <w:rPr>
          <w:rFonts w:ascii="宋体" w:hAnsi="宋体"/>
          <w:szCs w:val="21"/>
        </w:rPr>
      </w:pPr>
      <w:r>
        <w:rPr>
          <w:szCs w:val="21"/>
        </w:rPr>
        <w:t>5</w:t>
      </w:r>
      <w:r>
        <w:rPr>
          <w:rFonts w:ascii="宋体" w:hAnsi="宋体"/>
          <w:szCs w:val="21"/>
        </w:rPr>
        <w:t>如我方成交，我方承诺：</w:t>
      </w:r>
    </w:p>
    <w:p w14:paraId="27C45BA6">
      <w:pPr>
        <w:spacing w:line="400" w:lineRule="exact"/>
        <w:ind w:firstLine="420"/>
        <w:rPr>
          <w:rFonts w:ascii="宋体" w:hAnsi="宋体"/>
          <w:szCs w:val="21"/>
        </w:rPr>
      </w:pPr>
      <w:bookmarkStart w:id="614" w:name="_Hlk138879512"/>
      <w:r>
        <w:rPr>
          <w:rFonts w:ascii="宋体" w:hAnsi="宋体"/>
        </w:rPr>
        <w:t>（</w:t>
      </w:r>
      <w:r>
        <w:t>1</w:t>
      </w:r>
      <w:r>
        <w:rPr>
          <w:rFonts w:ascii="宋体" w:hAnsi="宋体"/>
        </w:rPr>
        <w:t>）</w:t>
      </w:r>
      <w:bookmarkEnd w:id="614"/>
      <w:r>
        <w:rPr>
          <w:rFonts w:ascii="宋体" w:hAnsi="宋体"/>
          <w:szCs w:val="21"/>
        </w:rPr>
        <w:t>在收</w:t>
      </w:r>
      <w:r>
        <w:rPr>
          <w:rFonts w:hint="eastAsia" w:ascii="宋体" w:hAnsi="宋体"/>
          <w:szCs w:val="21"/>
        </w:rPr>
        <w:t>到</w:t>
      </w:r>
      <w:r>
        <w:rPr>
          <w:rFonts w:ascii="宋体" w:hAnsi="宋体"/>
          <w:szCs w:val="21"/>
        </w:rPr>
        <w:t>成交（入围）通知书后，在规定的期限内与你方签订框架协议；</w:t>
      </w:r>
    </w:p>
    <w:p w14:paraId="27B4DBE2">
      <w:pPr>
        <w:spacing w:line="400" w:lineRule="exact"/>
        <w:ind w:firstLine="420"/>
        <w:rPr>
          <w:rFonts w:ascii="宋体" w:hAnsi="宋体"/>
          <w:szCs w:val="21"/>
        </w:rPr>
      </w:pPr>
      <w:bookmarkStart w:id="615" w:name="_Hlk138879517"/>
      <w:r>
        <w:rPr>
          <w:rFonts w:ascii="宋体" w:hAnsi="宋体"/>
        </w:rPr>
        <w:t>（</w:t>
      </w:r>
      <w:r>
        <w:t>2</w:t>
      </w:r>
      <w:r>
        <w:rPr>
          <w:rFonts w:ascii="宋体" w:hAnsi="宋体"/>
        </w:rPr>
        <w:t>）</w:t>
      </w:r>
      <w:bookmarkEnd w:id="615"/>
      <w:r>
        <w:rPr>
          <w:rFonts w:ascii="宋体" w:hAnsi="宋体"/>
          <w:szCs w:val="21"/>
        </w:rPr>
        <w:t>在签订框架协议时不向你方提出附加条件；</w:t>
      </w:r>
    </w:p>
    <w:p w14:paraId="062AE678">
      <w:pPr>
        <w:spacing w:line="400" w:lineRule="exact"/>
        <w:ind w:firstLine="405"/>
        <w:rPr>
          <w:rFonts w:ascii="宋体" w:hAnsi="宋体"/>
        </w:rPr>
      </w:pPr>
      <w:bookmarkStart w:id="616" w:name="_Hlk138879522"/>
      <w:r>
        <w:rPr>
          <w:rFonts w:ascii="宋体" w:hAnsi="宋体"/>
        </w:rPr>
        <w:t>（</w:t>
      </w:r>
      <w:r>
        <w:t>3</w:t>
      </w:r>
      <w:r>
        <w:rPr>
          <w:rFonts w:ascii="宋体" w:hAnsi="宋体"/>
        </w:rPr>
        <w:t>）</w:t>
      </w:r>
      <w:bookmarkEnd w:id="616"/>
      <w:r>
        <w:rPr>
          <w:rFonts w:ascii="宋体" w:hAnsi="宋体"/>
        </w:rPr>
        <w:t>按照采购文件要求递交履约保证金；</w:t>
      </w:r>
    </w:p>
    <w:p w14:paraId="137519C1">
      <w:pPr>
        <w:spacing w:line="400" w:lineRule="exact"/>
        <w:ind w:firstLine="420"/>
        <w:rPr>
          <w:rFonts w:ascii="宋体" w:hAnsi="宋体"/>
          <w:szCs w:val="21"/>
        </w:rPr>
      </w:pPr>
      <w:r>
        <w:rPr>
          <w:rFonts w:ascii="宋体" w:hAnsi="宋体"/>
        </w:rPr>
        <w:t>（</w:t>
      </w:r>
      <w:r>
        <w:t>4</w:t>
      </w:r>
      <w:r>
        <w:rPr>
          <w:rFonts w:ascii="宋体" w:hAnsi="宋体"/>
        </w:rPr>
        <w:t>）在合同约定的期限内完成合同规定的全部义务。</w:t>
      </w:r>
    </w:p>
    <w:p w14:paraId="595D2264">
      <w:pPr>
        <w:spacing w:line="400" w:lineRule="exact"/>
        <w:ind w:firstLine="420"/>
        <w:rPr>
          <w:rFonts w:ascii="宋体" w:hAnsi="宋体"/>
          <w:szCs w:val="21"/>
        </w:rPr>
      </w:pPr>
      <w:r>
        <w:rPr>
          <w:szCs w:val="21"/>
        </w:rPr>
        <w:t>6</w:t>
      </w:r>
      <w:r>
        <w:rPr>
          <w:rFonts w:ascii="宋体" w:hAnsi="宋体"/>
          <w:szCs w:val="21"/>
        </w:rPr>
        <w:t>.我方在此声明，所递交的响应文件及有关资料内容完整、真实和准确，</w:t>
      </w:r>
      <w:bookmarkStart w:id="617" w:name="_Hlk138879733"/>
      <w:r>
        <w:rPr>
          <w:rFonts w:ascii="宋体" w:hAnsi="宋体"/>
          <w:szCs w:val="21"/>
        </w:rPr>
        <w:t>满足第一章</w:t>
      </w:r>
      <w:bookmarkStart w:id="618" w:name="_Hlk138879617"/>
      <w:r>
        <w:rPr>
          <w:rFonts w:ascii="宋体" w:hAnsi="宋体"/>
          <w:szCs w:val="21"/>
        </w:rPr>
        <w:t>“</w:t>
      </w:r>
      <w:bookmarkEnd w:id="618"/>
      <w:r>
        <w:rPr>
          <w:rFonts w:ascii="宋体" w:hAnsi="宋体"/>
          <w:szCs w:val="21"/>
        </w:rPr>
        <w:t>框架协议采购公告”第</w:t>
      </w:r>
      <w:r>
        <w:rPr>
          <w:szCs w:val="21"/>
        </w:rPr>
        <w:t>3</w:t>
      </w:r>
      <w:r>
        <w:rPr>
          <w:rFonts w:ascii="宋体" w:hAnsi="宋体"/>
          <w:szCs w:val="21"/>
        </w:rPr>
        <w:t>.</w:t>
      </w:r>
      <w:r>
        <w:rPr>
          <w:szCs w:val="21"/>
        </w:rPr>
        <w:t>1</w:t>
      </w:r>
      <w:r>
        <w:rPr>
          <w:rFonts w:ascii="宋体" w:hAnsi="宋体"/>
          <w:szCs w:val="21"/>
        </w:rPr>
        <w:t>款规定的信誉要求且不存在该章第</w:t>
      </w:r>
      <w:r>
        <w:rPr>
          <w:szCs w:val="21"/>
        </w:rPr>
        <w:t>3</w:t>
      </w:r>
      <w:r>
        <w:rPr>
          <w:rFonts w:ascii="宋体" w:hAnsi="宋体"/>
          <w:szCs w:val="21"/>
        </w:rPr>
        <w:t>.</w:t>
      </w:r>
      <w:r>
        <w:rPr>
          <w:szCs w:val="21"/>
        </w:rPr>
        <w:t>2</w:t>
      </w:r>
      <w:r>
        <w:rPr>
          <w:rFonts w:ascii="宋体" w:hAnsi="宋体"/>
          <w:szCs w:val="21"/>
        </w:rPr>
        <w:t>款中规定的供应商不得存在的情形。</w:t>
      </w:r>
    </w:p>
    <w:bookmarkEnd w:id="617"/>
    <w:p w14:paraId="11EC5849">
      <w:pPr>
        <w:spacing w:line="400" w:lineRule="exact"/>
        <w:ind w:firstLine="420"/>
        <w:rPr>
          <w:rFonts w:ascii="宋体" w:hAnsi="宋体"/>
          <w:szCs w:val="21"/>
        </w:rPr>
      </w:pPr>
      <w:r>
        <w:rPr>
          <w:szCs w:val="21"/>
        </w:rPr>
        <w:t>7</w:t>
      </w:r>
      <w:r>
        <w:rPr>
          <w:rFonts w:ascii="宋体" w:hAnsi="宋体"/>
          <w:szCs w:val="21"/>
        </w:rPr>
        <w:t>.在合同正式签署生效之前，本承诺函连同你方的成交（入围）通知书将构成我们双方之间共同遵守的文件，对双方具有约束力。</w:t>
      </w:r>
    </w:p>
    <w:p w14:paraId="28E1DC16">
      <w:pPr>
        <w:spacing w:line="400" w:lineRule="exact"/>
        <w:ind w:firstLine="420"/>
        <w:rPr>
          <w:rFonts w:ascii="宋体" w:hAnsi="宋体"/>
          <w:szCs w:val="21"/>
        </w:rPr>
      </w:pPr>
      <w:r>
        <w:rPr>
          <w:rFonts w:hint="eastAsia"/>
          <w:szCs w:val="21"/>
        </w:rPr>
        <w:t>8</w:t>
      </w:r>
      <w:r>
        <w:rPr>
          <w:rFonts w:ascii="宋体" w:hAnsi="宋体"/>
          <w:szCs w:val="21"/>
        </w:rPr>
        <w:t>.</w:t>
      </w:r>
      <w:r>
        <w:rPr>
          <w:rFonts w:ascii="宋体" w:hAnsi="宋体"/>
          <w:szCs w:val="21"/>
          <w:u w:val="single"/>
        </w:rPr>
        <w:t xml:space="preserve">                </w:t>
      </w:r>
      <w:r>
        <w:rPr>
          <w:rFonts w:ascii="宋体" w:hAnsi="宋体"/>
          <w:szCs w:val="21"/>
        </w:rPr>
        <w:t>（其他补充说明）</w:t>
      </w:r>
    </w:p>
    <w:bookmarkEnd w:id="601"/>
    <w:bookmarkEnd w:id="602"/>
    <w:bookmarkEnd w:id="603"/>
    <w:bookmarkEnd w:id="604"/>
    <w:bookmarkEnd w:id="605"/>
    <w:bookmarkEnd w:id="606"/>
    <w:bookmarkEnd w:id="607"/>
    <w:bookmarkEnd w:id="608"/>
    <w:bookmarkEnd w:id="609"/>
    <w:bookmarkEnd w:id="610"/>
    <w:bookmarkEnd w:id="611"/>
    <w:p w14:paraId="41D5A3A4">
      <w:pPr>
        <w:jc w:val="left"/>
        <w:rPr>
          <w:rFonts w:ascii="宋体" w:hAnsi="宋体"/>
        </w:rPr>
      </w:pPr>
    </w:p>
    <w:p w14:paraId="29139309">
      <w:pPr>
        <w:rPr>
          <w:rFonts w:ascii="宋体" w:hAnsi="宋体"/>
          <w:b/>
          <w:szCs w:val="20"/>
        </w:rPr>
      </w:pPr>
      <w:bookmarkStart w:id="619" w:name="_Toc118806326"/>
      <w:bookmarkStart w:id="620" w:name="_Toc118805201"/>
      <w:bookmarkStart w:id="621" w:name="_Toc118805955"/>
      <w:bookmarkStart w:id="622" w:name="_Toc138604724"/>
      <w:bookmarkStart w:id="623" w:name="_Toc118805578"/>
      <w:bookmarkStart w:id="624" w:name="_Toc29227"/>
      <w:bookmarkStart w:id="625" w:name="_Toc18544"/>
      <w:r>
        <w:rPr>
          <w:rFonts w:ascii="宋体" w:hAnsi="宋体"/>
          <w:b/>
          <w:szCs w:val="20"/>
        </w:rPr>
        <w:br w:type="page"/>
      </w:r>
    </w:p>
    <w:p w14:paraId="7A7C99C5">
      <w:pPr>
        <w:keepNext/>
        <w:keepLines/>
        <w:spacing w:before="260" w:after="260" w:line="400" w:lineRule="exact"/>
        <w:jc w:val="center"/>
        <w:outlineLvl w:val="1"/>
        <w:rPr>
          <w:rFonts w:hint="default" w:ascii="宋体" w:hAnsi="宋体" w:eastAsia="宋体"/>
          <w:b/>
          <w:sz w:val="32"/>
          <w:szCs w:val="20"/>
          <w:highlight w:val="none"/>
          <w:lang w:val="en-US" w:eastAsia="zh-CN"/>
        </w:rPr>
      </w:pPr>
      <w:bookmarkStart w:id="626" w:name="_Toc149140302"/>
      <w:r>
        <w:rPr>
          <w:rFonts w:hint="eastAsia" w:ascii="宋体" w:hAnsi="宋体"/>
          <w:b/>
          <w:sz w:val="32"/>
          <w:szCs w:val="20"/>
          <w:highlight w:val="none"/>
          <w:lang w:val="en-US" w:eastAsia="zh-CN"/>
        </w:rPr>
        <w:t>九</w:t>
      </w:r>
      <w:r>
        <w:rPr>
          <w:rFonts w:ascii="宋体" w:hAnsi="宋体"/>
          <w:b/>
          <w:sz w:val="32"/>
          <w:szCs w:val="20"/>
          <w:highlight w:val="none"/>
        </w:rPr>
        <w:t>、</w:t>
      </w:r>
      <w:bookmarkEnd w:id="619"/>
      <w:bookmarkEnd w:id="620"/>
      <w:bookmarkEnd w:id="621"/>
      <w:bookmarkEnd w:id="622"/>
      <w:bookmarkEnd w:id="623"/>
      <w:bookmarkEnd w:id="624"/>
      <w:bookmarkEnd w:id="625"/>
      <w:bookmarkEnd w:id="626"/>
      <w:r>
        <w:rPr>
          <w:rFonts w:hint="eastAsia" w:ascii="宋体" w:hAnsi="宋体"/>
          <w:b/>
          <w:sz w:val="32"/>
          <w:szCs w:val="20"/>
          <w:highlight w:val="none"/>
          <w:lang w:val="en-US" w:eastAsia="zh-CN"/>
        </w:rPr>
        <w:t>资金授信承诺书</w:t>
      </w:r>
    </w:p>
    <w:p w14:paraId="4E54B6B8">
      <w:pPr>
        <w:pStyle w:val="15"/>
        <w:spacing w:before="80" w:line="360" w:lineRule="auto"/>
        <w:rPr>
          <w:rFonts w:ascii="宋体" w:hAnsi="宋体" w:cs="宋体"/>
          <w:sz w:val="21"/>
          <w:szCs w:val="21"/>
          <w:highlight w:val="none"/>
        </w:rPr>
      </w:pPr>
      <w:r>
        <w:rPr>
          <w:rFonts w:hint="eastAsia" w:ascii="宋体" w:hAnsi="宋体" w:cs="宋体"/>
          <w:sz w:val="21"/>
          <w:szCs w:val="21"/>
          <w:highlight w:val="none"/>
        </w:rPr>
        <w:t>致：</w:t>
      </w:r>
      <w:r>
        <w:rPr>
          <w:rFonts w:hint="eastAsia" w:ascii="宋体" w:hAnsi="宋体" w:cs="宋体"/>
          <w:sz w:val="21"/>
          <w:szCs w:val="21"/>
          <w:highlight w:val="none"/>
          <w:u w:val="single"/>
        </w:rPr>
        <w:t>河北交投绿色建材有限公司</w:t>
      </w:r>
    </w:p>
    <w:p w14:paraId="5736126B">
      <w:pPr>
        <w:spacing w:before="71" w:line="360" w:lineRule="auto"/>
        <w:ind w:left="0" w:leftChars="0" w:firstLine="420" w:firstLineChars="200"/>
        <w:rPr>
          <w:rFonts w:ascii="宋体" w:hAnsi="宋体" w:cs="宋体"/>
          <w:sz w:val="21"/>
          <w:szCs w:val="21"/>
          <w:highlight w:val="none"/>
        </w:rPr>
      </w:pPr>
      <w:r>
        <w:rPr>
          <w:rFonts w:hint="eastAsia" w:ascii="宋体" w:hAnsi="宋体" w:cs="宋体"/>
          <w:sz w:val="21"/>
          <w:szCs w:val="21"/>
          <w:highlight w:val="none"/>
        </w:rPr>
        <w:t>我方参与了</w:t>
      </w:r>
      <w:r>
        <w:rPr>
          <w:rFonts w:hint="eastAsia" w:ascii="宋体" w:hAnsi="宋体" w:cs="宋体"/>
          <w:sz w:val="21"/>
          <w:szCs w:val="21"/>
          <w:highlight w:val="none"/>
          <w:u w:val="single"/>
          <w:lang w:eastAsia="zh-CN"/>
        </w:rPr>
        <w:t>河北交投绿色建材有限公司2026-2027年度预制构件运输服务商入库</w:t>
      </w:r>
      <w:r>
        <w:rPr>
          <w:rFonts w:hint="eastAsia" w:ascii="宋体" w:hAnsi="宋体" w:cs="宋体"/>
          <w:sz w:val="21"/>
          <w:szCs w:val="21"/>
          <w:highlight w:val="none"/>
        </w:rPr>
        <w:t>的</w:t>
      </w:r>
      <w:r>
        <w:rPr>
          <w:rFonts w:hint="eastAsia" w:ascii="宋体" w:hAnsi="宋体" w:cs="宋体"/>
          <w:sz w:val="21"/>
          <w:szCs w:val="21"/>
          <w:highlight w:val="none"/>
          <w:lang w:val="en-US" w:eastAsia="zh-CN"/>
        </w:rPr>
        <w:t>采购</w:t>
      </w:r>
      <w:r>
        <w:rPr>
          <w:rFonts w:hint="eastAsia" w:ascii="宋体" w:hAnsi="宋体" w:cs="宋体"/>
          <w:sz w:val="21"/>
          <w:szCs w:val="21"/>
          <w:highlight w:val="none"/>
        </w:rPr>
        <w:t>，并按照</w:t>
      </w:r>
      <w:r>
        <w:rPr>
          <w:rFonts w:hint="eastAsia" w:ascii="宋体" w:hAnsi="宋体" w:cs="宋体"/>
          <w:sz w:val="21"/>
          <w:szCs w:val="21"/>
          <w:highlight w:val="none"/>
          <w:lang w:eastAsia="zh-CN"/>
        </w:rPr>
        <w:t>采购</w:t>
      </w:r>
      <w:r>
        <w:rPr>
          <w:rFonts w:hint="eastAsia" w:ascii="宋体" w:hAnsi="宋体" w:cs="宋体"/>
          <w:sz w:val="21"/>
          <w:szCs w:val="21"/>
          <w:highlight w:val="none"/>
        </w:rPr>
        <w:t>文件的要求提交了</w:t>
      </w:r>
      <w:r>
        <w:rPr>
          <w:rFonts w:hint="eastAsia" w:ascii="宋体" w:hAnsi="宋体" w:cs="宋体"/>
          <w:sz w:val="21"/>
          <w:szCs w:val="21"/>
          <w:highlight w:val="none"/>
          <w:lang w:val="en-US" w:eastAsia="zh-CN"/>
        </w:rPr>
        <w:t>响应</w:t>
      </w:r>
      <w:r>
        <w:rPr>
          <w:rFonts w:hint="eastAsia" w:ascii="宋体" w:hAnsi="宋体" w:cs="宋体"/>
          <w:sz w:val="21"/>
          <w:szCs w:val="21"/>
          <w:highlight w:val="none"/>
        </w:rPr>
        <w:t>文件，我方在此郑重承诺如下：</w:t>
      </w:r>
    </w:p>
    <w:p w14:paraId="001394F6">
      <w:pPr>
        <w:pStyle w:val="15"/>
        <w:tabs>
          <w:tab w:val="left" w:pos="5457"/>
        </w:tabs>
        <w:spacing w:line="360" w:lineRule="auto"/>
        <w:ind w:left="0" w:leftChars="0" w:right="314" w:firstLine="420" w:firstLineChars="0"/>
        <w:rPr>
          <w:rFonts w:ascii="宋体" w:hAnsi="宋体" w:cs="宋体"/>
          <w:sz w:val="21"/>
          <w:szCs w:val="21"/>
          <w:highlight w:val="none"/>
        </w:rPr>
      </w:pPr>
      <w:r>
        <w:rPr>
          <w:rFonts w:hint="eastAsia" w:ascii="宋体" w:hAnsi="宋体" w:cs="宋体"/>
          <w:sz w:val="21"/>
          <w:szCs w:val="21"/>
          <w:highlight w:val="none"/>
        </w:rPr>
        <w:t>一、我司承诺为</w:t>
      </w:r>
      <w:r>
        <w:rPr>
          <w:rFonts w:hint="eastAsia" w:cs="宋体"/>
          <w:sz w:val="21"/>
          <w:szCs w:val="21"/>
          <w:highlight w:val="none"/>
          <w:lang w:eastAsia="zh-CN"/>
        </w:rPr>
        <w:t>采购</w:t>
      </w:r>
      <w:r>
        <w:rPr>
          <w:rFonts w:hint="eastAsia" w:ascii="宋体" w:hAnsi="宋体" w:cs="宋体"/>
          <w:sz w:val="21"/>
          <w:szCs w:val="21"/>
          <w:highlight w:val="none"/>
        </w:rPr>
        <w:t>人提供一流的服务、产品质量、供货保障及付款、结算方式等优惠条款，在合同期限内无息给予</w:t>
      </w:r>
      <w:r>
        <w:rPr>
          <w:rFonts w:hint="eastAsia" w:cs="宋体"/>
          <w:sz w:val="21"/>
          <w:szCs w:val="21"/>
          <w:highlight w:val="none"/>
          <w:lang w:eastAsia="zh-CN"/>
        </w:rPr>
        <w:t>采购</w:t>
      </w:r>
      <w:r>
        <w:rPr>
          <w:rFonts w:hint="eastAsia" w:ascii="宋体" w:hAnsi="宋体" w:cs="宋体"/>
          <w:sz w:val="21"/>
          <w:szCs w:val="21"/>
          <w:highlight w:val="none"/>
        </w:rPr>
        <w:t>人资金授信金额人民</w:t>
      </w:r>
      <w:r>
        <w:rPr>
          <w:rFonts w:hint="eastAsia" w:ascii="宋体" w:hAnsi="宋体" w:cs="宋体"/>
          <w:spacing w:val="-15"/>
          <w:sz w:val="21"/>
          <w:szCs w:val="21"/>
          <w:highlight w:val="none"/>
        </w:rPr>
        <w:t>币</w:t>
      </w:r>
      <w:r>
        <w:rPr>
          <w:rFonts w:hint="eastAsia" w:ascii="宋体" w:hAnsi="宋体" w:cs="宋体"/>
          <w:sz w:val="21"/>
          <w:szCs w:val="21"/>
          <w:highlight w:val="none"/>
          <w:u w:val="single"/>
        </w:rPr>
        <w:t>【</w:t>
      </w:r>
      <w:r>
        <w:rPr>
          <w:rFonts w:hint="eastAsia" w:ascii="宋体" w:hAnsi="宋体" w:cs="宋体"/>
          <w:sz w:val="21"/>
          <w:szCs w:val="21"/>
          <w:highlight w:val="none"/>
          <w:u w:val="single"/>
        </w:rPr>
        <w:tab/>
      </w:r>
      <w:r>
        <w:rPr>
          <w:rFonts w:hint="eastAsia" w:ascii="宋体" w:hAnsi="宋体" w:cs="宋体"/>
          <w:spacing w:val="-15"/>
          <w:sz w:val="21"/>
          <w:szCs w:val="21"/>
          <w:highlight w:val="none"/>
          <w:u w:val="single"/>
        </w:rPr>
        <w:t>】</w:t>
      </w:r>
      <w:r>
        <w:rPr>
          <w:rFonts w:hint="eastAsia" w:ascii="宋体" w:hAnsi="宋体" w:cs="宋体"/>
          <w:sz w:val="21"/>
          <w:szCs w:val="21"/>
          <w:highlight w:val="none"/>
        </w:rPr>
        <w:t>万元</w:t>
      </w:r>
      <w:r>
        <w:rPr>
          <w:rFonts w:hint="eastAsia" w:ascii="宋体" w:hAnsi="宋体" w:cs="宋体"/>
          <w:spacing w:val="-15"/>
          <w:sz w:val="21"/>
          <w:szCs w:val="21"/>
          <w:highlight w:val="none"/>
        </w:rPr>
        <w:t>，</w:t>
      </w:r>
      <w:r>
        <w:rPr>
          <w:rFonts w:hint="eastAsia" w:ascii="宋体" w:hAnsi="宋体" w:cs="宋体"/>
          <w:sz w:val="21"/>
          <w:szCs w:val="21"/>
          <w:highlight w:val="none"/>
        </w:rPr>
        <w:t>在此资金授信金额内</w:t>
      </w:r>
      <w:r>
        <w:rPr>
          <w:rFonts w:hint="eastAsia" w:ascii="宋体" w:hAnsi="宋体" w:cs="宋体"/>
          <w:spacing w:val="-15"/>
          <w:sz w:val="21"/>
          <w:szCs w:val="21"/>
          <w:highlight w:val="none"/>
        </w:rPr>
        <w:t>，</w:t>
      </w:r>
      <w:r>
        <w:rPr>
          <w:rFonts w:hint="eastAsia" w:cs="宋体"/>
          <w:sz w:val="21"/>
          <w:szCs w:val="21"/>
          <w:highlight w:val="none"/>
          <w:lang w:eastAsia="zh-CN"/>
        </w:rPr>
        <w:t>采购</w:t>
      </w:r>
      <w:r>
        <w:rPr>
          <w:rFonts w:hint="eastAsia" w:ascii="宋体" w:hAnsi="宋体" w:cs="宋体"/>
          <w:sz w:val="21"/>
          <w:szCs w:val="21"/>
          <w:highlight w:val="none"/>
        </w:rPr>
        <w:t>人</w:t>
      </w:r>
      <w:r>
        <w:rPr>
          <w:rFonts w:hint="eastAsia" w:ascii="宋体" w:hAnsi="宋体" w:cs="宋体"/>
          <w:spacing w:val="-15"/>
          <w:sz w:val="21"/>
          <w:szCs w:val="21"/>
          <w:highlight w:val="none"/>
        </w:rPr>
        <w:t>可</w:t>
      </w:r>
      <w:r>
        <w:rPr>
          <w:rFonts w:hint="eastAsia" w:ascii="宋体" w:hAnsi="宋体" w:cs="宋体"/>
          <w:sz w:val="21"/>
          <w:szCs w:val="21"/>
          <w:highlight w:val="none"/>
        </w:rPr>
        <w:t>根据自身资金情况，酌情支付货款。</w:t>
      </w:r>
    </w:p>
    <w:p w14:paraId="61E11C88">
      <w:pPr>
        <w:pStyle w:val="15"/>
        <w:spacing w:line="360" w:lineRule="auto"/>
        <w:ind w:left="0" w:leftChars="0" w:right="105" w:firstLine="420" w:firstLineChars="0"/>
        <w:rPr>
          <w:rFonts w:ascii="宋体" w:hAnsi="宋体" w:cs="宋体"/>
          <w:sz w:val="21"/>
          <w:szCs w:val="21"/>
          <w:highlight w:val="none"/>
        </w:rPr>
      </w:pPr>
      <w:r>
        <w:rPr>
          <w:rFonts w:hint="eastAsia" w:ascii="宋体" w:hAnsi="宋体" w:cs="宋体"/>
          <w:sz w:val="21"/>
          <w:szCs w:val="21"/>
          <w:highlight w:val="none"/>
        </w:rPr>
        <w:t>二、</w:t>
      </w:r>
      <w:r>
        <w:rPr>
          <w:rFonts w:hint="eastAsia" w:cs="宋体"/>
          <w:sz w:val="21"/>
          <w:szCs w:val="21"/>
          <w:highlight w:val="none"/>
          <w:lang w:eastAsia="zh-CN"/>
        </w:rPr>
        <w:t>采购</w:t>
      </w:r>
      <w:r>
        <w:rPr>
          <w:rFonts w:hint="eastAsia" w:ascii="宋体" w:hAnsi="宋体" w:cs="宋体"/>
          <w:sz w:val="21"/>
          <w:szCs w:val="21"/>
          <w:highlight w:val="none"/>
        </w:rPr>
        <w:t>人有权根据自身生产经营情况，随时无条件调整本</w:t>
      </w:r>
      <w:r>
        <w:rPr>
          <w:rFonts w:hint="eastAsia" w:cs="宋体"/>
          <w:sz w:val="21"/>
          <w:szCs w:val="21"/>
          <w:highlight w:val="none"/>
          <w:lang w:eastAsia="zh-CN"/>
        </w:rPr>
        <w:t>采购</w:t>
      </w:r>
      <w:r>
        <w:rPr>
          <w:rFonts w:hint="eastAsia" w:ascii="宋体" w:hAnsi="宋体" w:cs="宋体"/>
          <w:sz w:val="21"/>
          <w:szCs w:val="21"/>
          <w:highlight w:val="none"/>
        </w:rPr>
        <w:t>文件中的</w:t>
      </w:r>
      <w:r>
        <w:rPr>
          <w:rFonts w:hint="eastAsia" w:ascii="宋体" w:hAnsi="宋体" w:cs="宋体"/>
          <w:sz w:val="21"/>
          <w:szCs w:val="21"/>
          <w:highlight w:val="none"/>
          <w:lang w:val="en-US" w:eastAsia="zh-CN"/>
        </w:rPr>
        <w:t>产品</w:t>
      </w:r>
      <w:r>
        <w:rPr>
          <w:rFonts w:hint="eastAsia" w:ascii="宋体" w:hAnsi="宋体" w:cs="宋体"/>
          <w:sz w:val="21"/>
          <w:szCs w:val="21"/>
          <w:highlight w:val="none"/>
        </w:rPr>
        <w:t>暂估采购量，</w:t>
      </w:r>
      <w:r>
        <w:rPr>
          <w:rFonts w:hint="eastAsia" w:ascii="宋体" w:hAnsi="宋体" w:cs="宋体"/>
          <w:spacing w:val="-1"/>
          <w:sz w:val="21"/>
          <w:szCs w:val="21"/>
          <w:highlight w:val="none"/>
        </w:rPr>
        <w:t>以满足</w:t>
      </w:r>
      <w:r>
        <w:rPr>
          <w:rFonts w:hint="eastAsia" w:cs="宋体"/>
          <w:spacing w:val="-1"/>
          <w:sz w:val="21"/>
          <w:szCs w:val="21"/>
          <w:highlight w:val="none"/>
          <w:lang w:eastAsia="zh-CN"/>
        </w:rPr>
        <w:t>采购</w:t>
      </w:r>
      <w:r>
        <w:rPr>
          <w:rFonts w:hint="eastAsia" w:ascii="宋体" w:hAnsi="宋体" w:cs="宋体"/>
          <w:spacing w:val="-1"/>
          <w:sz w:val="21"/>
          <w:szCs w:val="21"/>
          <w:highlight w:val="none"/>
        </w:rPr>
        <w:t>人实际使用情况，我公司予以理解，不会以此作为向</w:t>
      </w:r>
      <w:r>
        <w:rPr>
          <w:rFonts w:hint="eastAsia" w:cs="宋体"/>
          <w:spacing w:val="-1"/>
          <w:sz w:val="21"/>
          <w:szCs w:val="21"/>
          <w:highlight w:val="none"/>
          <w:lang w:eastAsia="zh-CN"/>
        </w:rPr>
        <w:t>采购</w:t>
      </w:r>
      <w:r>
        <w:rPr>
          <w:rFonts w:hint="eastAsia" w:ascii="宋体" w:hAnsi="宋体" w:cs="宋体"/>
          <w:spacing w:val="-1"/>
          <w:sz w:val="21"/>
          <w:szCs w:val="21"/>
          <w:highlight w:val="none"/>
        </w:rPr>
        <w:t>人进行索赔或要求补偿的理由，</w:t>
      </w:r>
      <w:r>
        <w:rPr>
          <w:rFonts w:hint="eastAsia" w:ascii="宋体" w:hAnsi="宋体" w:cs="宋体"/>
          <w:sz w:val="21"/>
          <w:szCs w:val="21"/>
          <w:highlight w:val="none"/>
        </w:rPr>
        <w:t>我公司承诺按照</w:t>
      </w:r>
      <w:r>
        <w:rPr>
          <w:rFonts w:hint="eastAsia" w:cs="宋体"/>
          <w:sz w:val="21"/>
          <w:szCs w:val="21"/>
          <w:highlight w:val="none"/>
          <w:lang w:eastAsia="zh-CN"/>
        </w:rPr>
        <w:t>采购</w:t>
      </w:r>
      <w:r>
        <w:rPr>
          <w:rFonts w:hint="eastAsia" w:ascii="宋体" w:hAnsi="宋体" w:cs="宋体"/>
          <w:sz w:val="21"/>
          <w:szCs w:val="21"/>
          <w:highlight w:val="none"/>
        </w:rPr>
        <w:t>人实际采购需求，满足</w:t>
      </w:r>
      <w:r>
        <w:rPr>
          <w:rFonts w:hint="eastAsia" w:ascii="宋体" w:hAnsi="宋体" w:cs="宋体"/>
          <w:sz w:val="21"/>
          <w:szCs w:val="21"/>
          <w:highlight w:val="none"/>
          <w:lang w:val="en-US" w:eastAsia="zh-CN"/>
        </w:rPr>
        <w:t>产品</w:t>
      </w:r>
      <w:r>
        <w:rPr>
          <w:rFonts w:hint="eastAsia" w:ascii="宋体" w:hAnsi="宋体" w:cs="宋体"/>
          <w:sz w:val="21"/>
          <w:szCs w:val="21"/>
          <w:highlight w:val="none"/>
        </w:rPr>
        <w:t>交货期和质量要求。</w:t>
      </w:r>
    </w:p>
    <w:p w14:paraId="486EA1EE">
      <w:pPr>
        <w:pStyle w:val="15"/>
        <w:spacing w:line="360" w:lineRule="auto"/>
        <w:ind w:left="0" w:leftChars="0" w:right="315" w:firstLine="420" w:firstLineChars="0"/>
        <w:rPr>
          <w:rFonts w:ascii="宋体" w:hAnsi="宋体" w:cs="宋体"/>
          <w:sz w:val="21"/>
          <w:szCs w:val="21"/>
          <w:highlight w:val="none"/>
        </w:rPr>
      </w:pPr>
      <w:r>
        <w:rPr>
          <w:rFonts w:hint="eastAsia" w:ascii="宋体" w:hAnsi="宋体" w:cs="宋体"/>
          <w:sz w:val="21"/>
          <w:szCs w:val="21"/>
          <w:highlight w:val="none"/>
        </w:rPr>
        <w:t>三、我司在</w:t>
      </w:r>
      <w:r>
        <w:rPr>
          <w:rFonts w:hint="eastAsia" w:ascii="宋体" w:hAnsi="宋体" w:cs="宋体"/>
          <w:sz w:val="21"/>
          <w:szCs w:val="21"/>
          <w:highlight w:val="none"/>
          <w:lang w:val="en-US" w:eastAsia="zh-CN"/>
        </w:rPr>
        <w:t>响应</w:t>
      </w:r>
      <w:r>
        <w:rPr>
          <w:rFonts w:hint="eastAsia" w:ascii="宋体" w:hAnsi="宋体" w:cs="宋体"/>
          <w:sz w:val="21"/>
          <w:szCs w:val="21"/>
          <w:highlight w:val="none"/>
        </w:rPr>
        <w:t>之前，对本</w:t>
      </w:r>
      <w:r>
        <w:rPr>
          <w:rFonts w:hint="eastAsia" w:cs="宋体"/>
          <w:sz w:val="21"/>
          <w:szCs w:val="21"/>
          <w:highlight w:val="none"/>
          <w:lang w:eastAsia="zh-CN"/>
        </w:rPr>
        <w:t>采购</w:t>
      </w:r>
      <w:r>
        <w:rPr>
          <w:rFonts w:hint="eastAsia" w:ascii="宋体" w:hAnsi="宋体" w:cs="宋体"/>
          <w:sz w:val="21"/>
          <w:szCs w:val="21"/>
          <w:highlight w:val="none"/>
        </w:rPr>
        <w:t>项目的一切情况如</w:t>
      </w:r>
      <w:r>
        <w:rPr>
          <w:rFonts w:hint="eastAsia" w:cs="宋体"/>
          <w:sz w:val="21"/>
          <w:szCs w:val="21"/>
          <w:highlight w:val="none"/>
          <w:lang w:eastAsia="zh-CN"/>
        </w:rPr>
        <w:t>采购</w:t>
      </w:r>
      <w:r>
        <w:rPr>
          <w:rFonts w:hint="eastAsia" w:ascii="宋体" w:hAnsi="宋体" w:cs="宋体"/>
          <w:sz w:val="21"/>
          <w:szCs w:val="21"/>
          <w:highlight w:val="none"/>
        </w:rPr>
        <w:t>内容、</w:t>
      </w:r>
      <w:r>
        <w:rPr>
          <w:rFonts w:hint="eastAsia" w:ascii="宋体" w:hAnsi="宋体" w:cs="宋体"/>
          <w:sz w:val="21"/>
          <w:szCs w:val="21"/>
          <w:highlight w:val="none"/>
          <w:lang w:val="en-US" w:eastAsia="zh-CN"/>
        </w:rPr>
        <w:t>产品</w:t>
      </w:r>
      <w:r>
        <w:rPr>
          <w:rFonts w:hint="eastAsia" w:ascii="宋体" w:hAnsi="宋体" w:cs="宋体"/>
          <w:sz w:val="21"/>
          <w:szCs w:val="21"/>
          <w:highlight w:val="none"/>
        </w:rPr>
        <w:t>的质量标准、付款条件及资金授信要求等，均已详细研究、全面了解；保证</w:t>
      </w:r>
      <w:r>
        <w:rPr>
          <w:rFonts w:hint="eastAsia" w:ascii="宋体" w:hAnsi="宋体" w:cs="宋体"/>
          <w:sz w:val="21"/>
          <w:szCs w:val="21"/>
          <w:highlight w:val="none"/>
          <w:lang w:val="en-US" w:eastAsia="zh-CN"/>
        </w:rPr>
        <w:t>响应</w:t>
      </w:r>
      <w:r>
        <w:rPr>
          <w:rFonts w:hint="eastAsia" w:ascii="宋体" w:hAnsi="宋体" w:cs="宋体"/>
          <w:sz w:val="21"/>
          <w:szCs w:val="21"/>
          <w:highlight w:val="none"/>
        </w:rPr>
        <w:t>文件正确无误，如有错误由我司自身负责。</w:t>
      </w:r>
    </w:p>
    <w:p w14:paraId="0659FBE4">
      <w:pPr>
        <w:pStyle w:val="15"/>
        <w:spacing w:line="360" w:lineRule="auto"/>
        <w:ind w:left="0" w:leftChars="0" w:right="315" w:firstLine="420" w:firstLineChars="0"/>
        <w:rPr>
          <w:rFonts w:ascii="宋体" w:hAnsi="宋体" w:cs="宋体"/>
          <w:sz w:val="21"/>
          <w:szCs w:val="21"/>
          <w:highlight w:val="none"/>
        </w:rPr>
      </w:pPr>
      <w:r>
        <w:rPr>
          <w:rFonts w:hint="eastAsia" w:ascii="宋体" w:hAnsi="宋体" w:cs="宋体"/>
          <w:sz w:val="21"/>
          <w:szCs w:val="21"/>
          <w:highlight w:val="none"/>
        </w:rPr>
        <w:t>四、一旦</w:t>
      </w:r>
      <w:r>
        <w:rPr>
          <w:rFonts w:hint="eastAsia" w:ascii="宋体" w:hAnsi="宋体" w:cs="宋体"/>
          <w:sz w:val="21"/>
          <w:szCs w:val="21"/>
          <w:highlight w:val="none"/>
          <w:lang w:val="en-US" w:eastAsia="zh-CN"/>
        </w:rPr>
        <w:t>入围</w:t>
      </w:r>
      <w:r>
        <w:rPr>
          <w:rFonts w:hint="eastAsia" w:ascii="宋体" w:hAnsi="宋体" w:cs="宋体"/>
          <w:sz w:val="21"/>
          <w:szCs w:val="21"/>
          <w:highlight w:val="none"/>
        </w:rPr>
        <w:t>我公司会按承诺及</w:t>
      </w:r>
      <w:r>
        <w:rPr>
          <w:rFonts w:hint="eastAsia" w:cs="宋体"/>
          <w:sz w:val="21"/>
          <w:szCs w:val="21"/>
          <w:highlight w:val="none"/>
          <w:lang w:eastAsia="zh-CN"/>
        </w:rPr>
        <w:t>采购</w:t>
      </w:r>
      <w:r>
        <w:rPr>
          <w:rFonts w:hint="eastAsia" w:ascii="宋体" w:hAnsi="宋体" w:cs="宋体"/>
          <w:sz w:val="21"/>
          <w:szCs w:val="21"/>
          <w:highlight w:val="none"/>
        </w:rPr>
        <w:t>人及</w:t>
      </w:r>
      <w:r>
        <w:rPr>
          <w:rFonts w:hint="eastAsia" w:cs="宋体"/>
          <w:sz w:val="21"/>
          <w:szCs w:val="21"/>
          <w:highlight w:val="none"/>
          <w:lang w:eastAsia="zh-CN"/>
        </w:rPr>
        <w:t>采购</w:t>
      </w:r>
      <w:r>
        <w:rPr>
          <w:rFonts w:hint="eastAsia" w:ascii="宋体" w:hAnsi="宋体" w:cs="宋体"/>
          <w:sz w:val="21"/>
          <w:szCs w:val="21"/>
          <w:highlight w:val="none"/>
        </w:rPr>
        <w:t>人的要求和合同范本的主要原则签署合同，并按合同的规定履行各项职责，承担各种违约责任。</w:t>
      </w:r>
    </w:p>
    <w:p w14:paraId="0FEEEA17">
      <w:pPr>
        <w:pStyle w:val="15"/>
        <w:spacing w:before="1" w:line="360" w:lineRule="auto"/>
        <w:ind w:left="0" w:leftChars="0" w:right="315" w:firstLine="404" w:firstLineChars="0"/>
        <w:rPr>
          <w:rFonts w:ascii="宋体" w:hAnsi="宋体" w:cs="宋体"/>
          <w:sz w:val="21"/>
          <w:szCs w:val="21"/>
          <w:highlight w:val="none"/>
        </w:rPr>
      </w:pPr>
      <w:r>
        <w:rPr>
          <w:rFonts w:hint="eastAsia" w:ascii="宋体" w:hAnsi="宋体" w:cs="宋体"/>
          <w:sz w:val="21"/>
          <w:szCs w:val="21"/>
          <w:highlight w:val="none"/>
        </w:rPr>
        <w:t>五、若我司未能兑现相关承诺，我司自愿承担因此产生的一切后果，</w:t>
      </w:r>
      <w:r>
        <w:rPr>
          <w:rFonts w:hint="eastAsia" w:cs="宋体"/>
          <w:sz w:val="21"/>
          <w:szCs w:val="21"/>
          <w:highlight w:val="none"/>
          <w:lang w:eastAsia="zh-CN"/>
        </w:rPr>
        <w:t>采购</w:t>
      </w:r>
      <w:r>
        <w:rPr>
          <w:rFonts w:hint="eastAsia" w:ascii="宋体" w:hAnsi="宋体" w:cs="宋体"/>
          <w:sz w:val="21"/>
          <w:szCs w:val="21"/>
          <w:highlight w:val="none"/>
        </w:rPr>
        <w:t>人有权直接取消我司作为合格供方的资格，并将我司列入</w:t>
      </w:r>
      <w:r>
        <w:rPr>
          <w:rFonts w:hint="eastAsia" w:ascii="宋体" w:hAnsi="宋体" w:cs="宋体"/>
          <w:sz w:val="21"/>
          <w:szCs w:val="21"/>
          <w:highlight w:val="none"/>
          <w:lang w:val="en-US" w:eastAsia="zh-CN"/>
        </w:rPr>
        <w:t>供应商</w:t>
      </w:r>
      <w:r>
        <w:rPr>
          <w:rFonts w:hint="eastAsia" w:ascii="宋体" w:hAnsi="宋体" w:cs="宋体"/>
          <w:sz w:val="21"/>
          <w:szCs w:val="21"/>
          <w:highlight w:val="none"/>
        </w:rPr>
        <w:t>失信黑名单，</w:t>
      </w:r>
      <w:r>
        <w:rPr>
          <w:rFonts w:hint="eastAsia" w:ascii="宋体" w:hAnsi="宋体" w:cs="宋体"/>
          <w:b w:val="0"/>
          <w:bCs/>
          <w:sz w:val="21"/>
          <w:szCs w:val="21"/>
          <w:highlight w:val="none"/>
        </w:rPr>
        <w:t>3</w:t>
      </w:r>
      <w:r>
        <w:rPr>
          <w:rFonts w:hint="eastAsia" w:ascii="宋体" w:hAnsi="宋体" w:cs="宋体"/>
          <w:sz w:val="21"/>
          <w:szCs w:val="21"/>
          <w:highlight w:val="none"/>
        </w:rPr>
        <w:t>年内不得参与</w:t>
      </w:r>
      <w:r>
        <w:rPr>
          <w:rFonts w:hint="eastAsia" w:cs="宋体"/>
          <w:sz w:val="21"/>
          <w:szCs w:val="21"/>
          <w:highlight w:val="none"/>
          <w:lang w:eastAsia="zh-CN"/>
        </w:rPr>
        <w:t>采购</w:t>
      </w:r>
      <w:r>
        <w:rPr>
          <w:rFonts w:hint="eastAsia" w:ascii="宋体" w:hAnsi="宋体" w:cs="宋体"/>
          <w:sz w:val="21"/>
          <w:szCs w:val="21"/>
          <w:highlight w:val="none"/>
        </w:rPr>
        <w:t>人举行的任何</w:t>
      </w:r>
      <w:r>
        <w:rPr>
          <w:rFonts w:hint="eastAsia" w:ascii="宋体" w:hAnsi="宋体" w:cs="宋体"/>
          <w:sz w:val="21"/>
          <w:szCs w:val="21"/>
          <w:highlight w:val="none"/>
          <w:lang w:val="en-US" w:eastAsia="zh-CN"/>
        </w:rPr>
        <w:t>招标</w:t>
      </w:r>
      <w:r>
        <w:rPr>
          <w:rFonts w:hint="eastAsia" w:ascii="宋体" w:hAnsi="宋体" w:cs="宋体"/>
          <w:b/>
          <w:sz w:val="21"/>
          <w:szCs w:val="21"/>
          <w:highlight w:val="none"/>
        </w:rPr>
        <w:t>/</w:t>
      </w:r>
      <w:r>
        <w:rPr>
          <w:rFonts w:hint="eastAsia" w:cs="宋体"/>
          <w:sz w:val="21"/>
          <w:szCs w:val="21"/>
          <w:highlight w:val="none"/>
          <w:lang w:eastAsia="zh-CN"/>
        </w:rPr>
        <w:t>采购</w:t>
      </w:r>
      <w:r>
        <w:rPr>
          <w:rFonts w:hint="eastAsia" w:ascii="宋体" w:hAnsi="宋体" w:cs="宋体"/>
          <w:sz w:val="21"/>
          <w:szCs w:val="21"/>
          <w:highlight w:val="none"/>
        </w:rPr>
        <w:t>活动。同时，</w:t>
      </w:r>
      <w:r>
        <w:rPr>
          <w:rFonts w:hint="eastAsia" w:cs="宋体"/>
          <w:sz w:val="21"/>
          <w:szCs w:val="21"/>
          <w:highlight w:val="none"/>
          <w:lang w:eastAsia="zh-CN"/>
        </w:rPr>
        <w:t>采购</w:t>
      </w:r>
      <w:r>
        <w:rPr>
          <w:rFonts w:hint="eastAsia" w:ascii="宋体" w:hAnsi="宋体" w:cs="宋体"/>
          <w:sz w:val="21"/>
          <w:szCs w:val="21"/>
          <w:highlight w:val="none"/>
        </w:rPr>
        <w:t>人保留追究法律责任的权利。</w:t>
      </w:r>
    </w:p>
    <w:p w14:paraId="41C219DF">
      <w:pPr>
        <w:ind w:left="0" w:leftChars="0" w:firstLine="420" w:firstLineChars="0"/>
        <w:jc w:val="left"/>
        <w:rPr>
          <w:rFonts w:ascii="宋体" w:hAnsi="宋体" w:cs="宋体"/>
          <w:b/>
          <w:sz w:val="21"/>
          <w:szCs w:val="21"/>
          <w:highlight w:val="none"/>
        </w:rPr>
      </w:pPr>
      <w:r>
        <w:rPr>
          <w:rFonts w:hint="eastAsia" w:ascii="宋体" w:hAnsi="宋体" w:cs="宋体"/>
          <w:b/>
          <w:sz w:val="21"/>
          <w:szCs w:val="21"/>
          <w:highlight w:val="none"/>
        </w:rPr>
        <w:t>备注：</w:t>
      </w:r>
    </w:p>
    <w:p w14:paraId="6143EAB6">
      <w:pPr>
        <w:ind w:left="0" w:leftChars="0" w:firstLine="420" w:firstLineChars="0"/>
        <w:jc w:val="left"/>
        <w:rPr>
          <w:rFonts w:hint="eastAsia" w:ascii="宋体" w:hAnsi="宋体" w:eastAsia="宋体" w:cs="宋体"/>
          <w:b/>
          <w:bCs/>
          <w:kern w:val="0"/>
          <w:sz w:val="21"/>
          <w:szCs w:val="21"/>
          <w:highlight w:val="none"/>
          <w:lang w:val="en-US" w:eastAsia="en-US" w:bidi="ar-SA"/>
        </w:rPr>
      </w:pPr>
      <w:r>
        <w:rPr>
          <w:rFonts w:hint="eastAsia" w:ascii="宋体" w:hAnsi="宋体" w:eastAsia="宋体" w:cs="宋体"/>
          <w:b/>
          <w:bCs/>
          <w:kern w:val="0"/>
          <w:sz w:val="21"/>
          <w:szCs w:val="21"/>
          <w:highlight w:val="none"/>
          <w:lang w:val="en-US" w:eastAsia="en-US" w:bidi="ar-SA"/>
        </w:rPr>
        <w:t>（1）本承诺书自行承诺部分作为评标的重要必要依据，承诺一经做出不得改变，如果改变则视为</w:t>
      </w:r>
      <w:r>
        <w:rPr>
          <w:rFonts w:hint="eastAsia" w:ascii="宋体" w:hAnsi="宋体" w:eastAsia="宋体" w:cs="宋体"/>
          <w:b/>
          <w:bCs/>
          <w:kern w:val="0"/>
          <w:sz w:val="21"/>
          <w:szCs w:val="21"/>
          <w:highlight w:val="none"/>
          <w:lang w:val="en-US" w:eastAsia="zh-CN" w:bidi="ar-SA"/>
        </w:rPr>
        <w:t>响应</w:t>
      </w:r>
      <w:r>
        <w:rPr>
          <w:rFonts w:hint="eastAsia" w:ascii="宋体" w:hAnsi="宋体" w:eastAsia="宋体" w:cs="宋体"/>
          <w:b/>
          <w:bCs/>
          <w:kern w:val="0"/>
          <w:sz w:val="21"/>
          <w:szCs w:val="21"/>
          <w:highlight w:val="none"/>
          <w:lang w:val="en-US" w:eastAsia="en-US" w:bidi="ar-SA"/>
        </w:rPr>
        <w:t>无效。</w:t>
      </w:r>
      <w:r>
        <w:rPr>
          <w:rFonts w:hint="eastAsia" w:ascii="宋体" w:hAnsi="宋体" w:eastAsia="宋体" w:cs="宋体"/>
          <w:b/>
          <w:bCs/>
          <w:kern w:val="0"/>
          <w:sz w:val="21"/>
          <w:szCs w:val="21"/>
          <w:highlight w:val="none"/>
          <w:lang w:val="en-US" w:eastAsia="zh-CN" w:bidi="ar-SA"/>
        </w:rPr>
        <w:t>采购</w:t>
      </w:r>
      <w:r>
        <w:rPr>
          <w:rFonts w:hint="eastAsia" w:ascii="宋体" w:hAnsi="宋体" w:eastAsia="宋体" w:cs="宋体"/>
          <w:b/>
          <w:bCs/>
          <w:kern w:val="0"/>
          <w:sz w:val="21"/>
          <w:szCs w:val="21"/>
          <w:highlight w:val="none"/>
          <w:lang w:val="en-US" w:eastAsia="en-US" w:bidi="ar-SA"/>
        </w:rPr>
        <w:t>人要求承诺部分作为</w:t>
      </w:r>
      <w:r>
        <w:rPr>
          <w:rFonts w:hint="eastAsia" w:ascii="宋体" w:hAnsi="宋体" w:eastAsia="宋体" w:cs="宋体"/>
          <w:b/>
          <w:bCs/>
          <w:kern w:val="0"/>
          <w:sz w:val="21"/>
          <w:szCs w:val="21"/>
          <w:highlight w:val="none"/>
          <w:lang w:val="en-US" w:eastAsia="zh-CN" w:bidi="ar-SA"/>
        </w:rPr>
        <w:t>响应</w:t>
      </w:r>
      <w:r>
        <w:rPr>
          <w:rFonts w:hint="eastAsia" w:ascii="宋体" w:hAnsi="宋体" w:eastAsia="宋体" w:cs="宋体"/>
          <w:b/>
          <w:bCs/>
          <w:kern w:val="0"/>
          <w:sz w:val="21"/>
          <w:szCs w:val="21"/>
          <w:highlight w:val="none"/>
          <w:lang w:val="en-US" w:eastAsia="en-US" w:bidi="ar-SA"/>
        </w:rPr>
        <w:t>和</w:t>
      </w:r>
      <w:r>
        <w:rPr>
          <w:rFonts w:hint="eastAsia" w:ascii="宋体" w:hAnsi="宋体" w:eastAsia="宋体" w:cs="宋体"/>
          <w:b/>
          <w:bCs/>
          <w:kern w:val="0"/>
          <w:sz w:val="21"/>
          <w:szCs w:val="21"/>
          <w:highlight w:val="none"/>
          <w:lang w:val="en-US" w:eastAsia="zh-CN" w:bidi="ar-SA"/>
        </w:rPr>
        <w:t>入围</w:t>
      </w:r>
      <w:r>
        <w:rPr>
          <w:rFonts w:hint="eastAsia" w:ascii="宋体" w:hAnsi="宋体" w:eastAsia="宋体" w:cs="宋体"/>
          <w:b/>
          <w:bCs/>
          <w:kern w:val="0"/>
          <w:sz w:val="21"/>
          <w:szCs w:val="21"/>
          <w:highlight w:val="none"/>
          <w:lang w:val="en-US" w:eastAsia="en-US" w:bidi="ar-SA"/>
        </w:rPr>
        <w:t>的先决条件。</w:t>
      </w:r>
    </w:p>
    <w:p w14:paraId="7B4542A9">
      <w:pPr>
        <w:spacing w:before="72"/>
        <w:ind w:left="0" w:leftChars="0" w:firstLine="420" w:firstLineChars="0"/>
        <w:jc w:val="left"/>
        <w:rPr>
          <w:rFonts w:hint="eastAsia" w:ascii="宋体" w:hAnsi="宋体" w:eastAsia="宋体" w:cs="宋体"/>
          <w:b/>
          <w:bCs/>
          <w:kern w:val="0"/>
          <w:sz w:val="21"/>
          <w:szCs w:val="21"/>
          <w:highlight w:val="none"/>
          <w:lang w:val="en-US" w:eastAsia="en-US" w:bidi="ar-SA"/>
        </w:rPr>
      </w:pPr>
      <w:r>
        <w:rPr>
          <w:rFonts w:hint="eastAsia" w:ascii="宋体" w:hAnsi="宋体" w:eastAsia="宋体" w:cs="宋体"/>
          <w:b/>
          <w:bCs/>
          <w:kern w:val="0"/>
          <w:sz w:val="21"/>
          <w:szCs w:val="21"/>
          <w:highlight w:val="none"/>
          <w:lang w:val="en-US" w:eastAsia="en-US" w:bidi="ar-SA"/>
        </w:rPr>
        <w:t>（2）我公司在本承诺书后附资金授信能力证明等支撑材料，并对材料的真实性负责。</w:t>
      </w:r>
    </w:p>
    <w:p w14:paraId="4958BE38">
      <w:pPr>
        <w:pStyle w:val="15"/>
        <w:ind w:firstLine="2940" w:firstLineChars="1400"/>
        <w:rPr>
          <w:rFonts w:hint="eastAsia" w:ascii="宋体" w:hAnsi="宋体" w:cs="宋体"/>
          <w:sz w:val="21"/>
          <w:szCs w:val="21"/>
          <w:highlight w:val="none"/>
        </w:rPr>
      </w:pPr>
    </w:p>
    <w:p w14:paraId="199DAF02">
      <w:pPr>
        <w:pStyle w:val="15"/>
        <w:ind w:firstLine="2940" w:firstLineChars="1400"/>
        <w:rPr>
          <w:rFonts w:hint="eastAsia" w:ascii="宋体" w:hAnsi="宋体" w:cs="宋体"/>
          <w:sz w:val="21"/>
          <w:szCs w:val="21"/>
          <w:highlight w:val="none"/>
        </w:rPr>
      </w:pPr>
    </w:p>
    <w:p w14:paraId="07A19B12">
      <w:pPr>
        <w:pStyle w:val="15"/>
        <w:ind w:firstLine="2940" w:firstLineChars="1400"/>
        <w:rPr>
          <w:rFonts w:hint="eastAsia" w:ascii="宋体" w:hAnsi="宋体" w:cs="宋体"/>
          <w:sz w:val="21"/>
          <w:szCs w:val="21"/>
          <w:highlight w:val="none"/>
        </w:rPr>
      </w:pPr>
    </w:p>
    <w:p w14:paraId="44A82363">
      <w:pPr>
        <w:pStyle w:val="15"/>
        <w:ind w:firstLine="2940" w:firstLineChars="1400"/>
        <w:jc w:val="center"/>
        <w:rPr>
          <w:rFonts w:hint="eastAsia" w:ascii="宋体" w:hAnsi="宋体" w:cs="宋体"/>
          <w:sz w:val="21"/>
          <w:szCs w:val="21"/>
          <w:highlight w:val="none"/>
        </w:rPr>
      </w:pPr>
      <w:r>
        <w:rPr>
          <w:rFonts w:hint="eastAsia" w:cs="宋体"/>
          <w:sz w:val="21"/>
          <w:szCs w:val="21"/>
          <w:highlight w:val="none"/>
          <w:lang w:val="en-US" w:eastAsia="zh-CN"/>
        </w:rPr>
        <w:t xml:space="preserve">         供应商</w:t>
      </w:r>
      <w:r>
        <w:rPr>
          <w:rFonts w:hint="eastAsia" w:ascii="宋体" w:hAnsi="宋体" w:cs="宋体"/>
          <w:sz w:val="21"/>
          <w:szCs w:val="21"/>
          <w:highlight w:val="none"/>
        </w:rPr>
        <w:t>：</w:t>
      </w:r>
      <w:r>
        <w:rPr>
          <w:rFonts w:hint="eastAsia" w:ascii="宋体" w:hAnsi="宋体" w:cs="宋体"/>
          <w:sz w:val="21"/>
          <w:szCs w:val="21"/>
          <w:highlight w:val="none"/>
          <w:u w:val="single"/>
          <w:lang w:val="en-US" w:eastAsia="zh-CN"/>
        </w:rPr>
        <w:t xml:space="preserve">               </w:t>
      </w:r>
      <w:r>
        <w:rPr>
          <w:rFonts w:hint="eastAsia" w:ascii="宋体" w:hAnsi="宋体" w:cs="宋体"/>
          <w:sz w:val="21"/>
          <w:szCs w:val="21"/>
          <w:highlight w:val="none"/>
        </w:rPr>
        <w:t>（盖单位章）</w:t>
      </w:r>
    </w:p>
    <w:p w14:paraId="2290180F">
      <w:pPr>
        <w:pStyle w:val="49"/>
        <w:jc w:val="right"/>
        <w:rPr>
          <w:sz w:val="21"/>
          <w:szCs w:val="21"/>
          <w:highlight w:val="none"/>
        </w:rPr>
      </w:pPr>
    </w:p>
    <w:p w14:paraId="3DAA5661">
      <w:pPr>
        <w:pStyle w:val="15"/>
        <w:tabs>
          <w:tab w:val="left" w:pos="4946"/>
          <w:tab w:val="left" w:pos="5471"/>
          <w:tab w:val="left" w:pos="6101"/>
        </w:tabs>
        <w:ind w:right="60" w:rightChars="0" w:firstLine="4620" w:firstLineChars="2200"/>
        <w:jc w:val="both"/>
        <w:rPr>
          <w:spacing w:val="-18"/>
          <w:sz w:val="21"/>
          <w:szCs w:val="21"/>
          <w:highlight w:val="none"/>
        </w:rPr>
      </w:pPr>
      <w:r>
        <w:rPr>
          <w:rFonts w:hint="eastAsia" w:ascii="宋体" w:hAnsi="宋体" w:cs="宋体"/>
          <w:sz w:val="21"/>
          <w:szCs w:val="21"/>
          <w:highlight w:val="none"/>
        </w:rPr>
        <w:t>法定代表人或其授权人：</w:t>
      </w:r>
      <w:r>
        <w:rPr>
          <w:rFonts w:hint="eastAsia" w:ascii="宋体" w:hAnsi="宋体" w:cs="宋体"/>
          <w:sz w:val="21"/>
          <w:szCs w:val="21"/>
          <w:highlight w:val="none"/>
          <w:u w:val="single"/>
          <w:lang w:val="en-US" w:eastAsia="zh-CN"/>
        </w:rPr>
        <w:t xml:space="preserve">     </w:t>
      </w:r>
      <w:r>
        <w:rPr>
          <w:sz w:val="21"/>
          <w:szCs w:val="21"/>
          <w:highlight w:val="none"/>
        </w:rPr>
        <w:t>（签字</w:t>
      </w:r>
      <w:r>
        <w:rPr>
          <w:spacing w:val="-18"/>
          <w:sz w:val="21"/>
          <w:szCs w:val="21"/>
          <w:highlight w:val="none"/>
        </w:rPr>
        <w:t>）</w:t>
      </w:r>
    </w:p>
    <w:p w14:paraId="3928A965">
      <w:pPr>
        <w:pStyle w:val="49"/>
        <w:jc w:val="right"/>
        <w:rPr>
          <w:sz w:val="21"/>
          <w:szCs w:val="21"/>
          <w:highlight w:val="none"/>
        </w:rPr>
      </w:pPr>
    </w:p>
    <w:p w14:paraId="46D80FEF">
      <w:pPr>
        <w:pStyle w:val="15"/>
        <w:tabs>
          <w:tab w:val="left" w:pos="4946"/>
          <w:tab w:val="left" w:pos="5471"/>
          <w:tab w:val="left" w:pos="6101"/>
        </w:tabs>
        <w:ind w:right="60" w:rightChars="0" w:firstLine="4620" w:firstLineChars="2200"/>
        <w:jc w:val="both"/>
        <w:rPr>
          <w:sz w:val="21"/>
          <w:szCs w:val="21"/>
          <w:highlight w:val="none"/>
        </w:rPr>
      </w:pPr>
      <w:r>
        <w:rPr>
          <w:sz w:val="21"/>
          <w:szCs w:val="21"/>
          <w:highlight w:val="none"/>
        </w:rPr>
        <w:t>日期：</w:t>
      </w:r>
      <w:r>
        <w:rPr>
          <w:rFonts w:hint="eastAsia"/>
          <w:sz w:val="21"/>
          <w:szCs w:val="21"/>
          <w:highlight w:val="none"/>
          <w:lang w:val="en-US" w:eastAsia="zh-CN"/>
        </w:rPr>
        <w:t xml:space="preserve">   </w:t>
      </w:r>
      <w:r>
        <w:rPr>
          <w:sz w:val="21"/>
          <w:szCs w:val="21"/>
          <w:highlight w:val="none"/>
        </w:rPr>
        <w:t>年</w:t>
      </w:r>
      <w:r>
        <w:rPr>
          <w:rFonts w:hint="eastAsia"/>
          <w:sz w:val="21"/>
          <w:szCs w:val="21"/>
          <w:highlight w:val="none"/>
          <w:lang w:val="en-US" w:eastAsia="zh-CN"/>
        </w:rPr>
        <w:t xml:space="preserve">   </w:t>
      </w:r>
      <w:r>
        <w:rPr>
          <w:sz w:val="21"/>
          <w:szCs w:val="21"/>
          <w:highlight w:val="none"/>
        </w:rPr>
        <w:t>月</w:t>
      </w:r>
      <w:r>
        <w:rPr>
          <w:rFonts w:hint="eastAsia"/>
          <w:sz w:val="21"/>
          <w:szCs w:val="21"/>
          <w:highlight w:val="none"/>
          <w:lang w:val="en-US" w:eastAsia="zh-CN"/>
        </w:rPr>
        <w:t xml:space="preserve">    </w:t>
      </w:r>
      <w:r>
        <w:rPr>
          <w:sz w:val="21"/>
          <w:szCs w:val="21"/>
          <w:highlight w:val="none"/>
        </w:rPr>
        <w:t>日</w:t>
      </w:r>
    </w:p>
    <w:p w14:paraId="27023B59">
      <w:pPr>
        <w:pStyle w:val="49"/>
        <w:rPr>
          <w:sz w:val="21"/>
          <w:szCs w:val="21"/>
          <w:highlight w:val="none"/>
        </w:rPr>
      </w:pPr>
    </w:p>
    <w:p w14:paraId="0376C3E8">
      <w:pPr>
        <w:pStyle w:val="49"/>
        <w:rPr>
          <w:sz w:val="21"/>
          <w:szCs w:val="21"/>
          <w:highlight w:val="none"/>
        </w:rPr>
      </w:pPr>
    </w:p>
    <w:p w14:paraId="58EEE68F">
      <w:pPr>
        <w:pStyle w:val="49"/>
        <w:rPr>
          <w:sz w:val="21"/>
          <w:szCs w:val="21"/>
          <w:highlight w:val="none"/>
        </w:rPr>
      </w:pPr>
    </w:p>
    <w:p w14:paraId="65BA1184">
      <w:pPr>
        <w:pStyle w:val="49"/>
        <w:rPr>
          <w:sz w:val="21"/>
          <w:szCs w:val="21"/>
          <w:highlight w:val="none"/>
        </w:rPr>
      </w:pPr>
    </w:p>
    <w:p w14:paraId="62C83AEB">
      <w:pPr>
        <w:keepNext/>
        <w:keepLines/>
        <w:spacing w:before="260" w:after="260" w:line="400" w:lineRule="exact"/>
        <w:jc w:val="center"/>
        <w:outlineLvl w:val="1"/>
        <w:rPr>
          <w:rFonts w:hint="eastAsia" w:ascii="宋体" w:hAnsi="宋体" w:eastAsia="宋体"/>
          <w:b/>
          <w:sz w:val="32"/>
          <w:szCs w:val="20"/>
          <w:lang w:eastAsia="zh-CN"/>
        </w:rPr>
      </w:pPr>
      <w:r>
        <w:rPr>
          <w:rFonts w:hint="eastAsia" w:ascii="宋体" w:hAnsi="宋体"/>
          <w:b/>
          <w:sz w:val="32"/>
          <w:szCs w:val="20"/>
          <w:lang w:val="en-US" w:eastAsia="zh-CN"/>
        </w:rPr>
        <w:t>十</w:t>
      </w:r>
      <w:r>
        <w:rPr>
          <w:rFonts w:ascii="宋体" w:hAnsi="宋体"/>
          <w:b/>
          <w:sz w:val="32"/>
          <w:szCs w:val="20"/>
        </w:rPr>
        <w:t>、其</w:t>
      </w:r>
      <w:r>
        <w:rPr>
          <w:rFonts w:hint="eastAsia" w:ascii="宋体" w:hAnsi="宋体"/>
          <w:b/>
          <w:sz w:val="32"/>
          <w:szCs w:val="20"/>
          <w:lang w:val="en-US" w:eastAsia="zh-CN"/>
        </w:rPr>
        <w:t>他</w:t>
      </w:r>
      <w:r>
        <w:rPr>
          <w:rFonts w:ascii="宋体" w:hAnsi="宋体"/>
          <w:b/>
          <w:sz w:val="32"/>
          <w:szCs w:val="20"/>
        </w:rPr>
        <w:t>资料</w:t>
      </w:r>
    </w:p>
    <w:p w14:paraId="46F9D0AC">
      <w:pPr>
        <w:spacing w:line="360" w:lineRule="auto"/>
        <w:jc w:val="center"/>
        <w:rPr>
          <w:rFonts w:hint="default" w:ascii="宋体" w:hAnsi="宋体" w:eastAsia="宋体"/>
          <w:sz w:val="21"/>
          <w:szCs w:val="21"/>
          <w:highlight w:val="none"/>
          <w:lang w:val="en-US" w:eastAsia="zh-CN"/>
        </w:rPr>
      </w:pPr>
    </w:p>
    <w:p w14:paraId="6D2D90C4">
      <w:pPr>
        <w:keepNext/>
        <w:keepLines/>
        <w:spacing w:before="260" w:after="260" w:line="400" w:lineRule="exact"/>
        <w:jc w:val="center"/>
        <w:outlineLvl w:val="1"/>
        <w:rPr>
          <w:rFonts w:hint="eastAsia" w:ascii="宋体" w:hAnsi="宋体"/>
          <w:b/>
          <w:sz w:val="32"/>
          <w:szCs w:val="20"/>
        </w:rPr>
      </w:pPr>
    </w:p>
    <w:p w14:paraId="474C2412">
      <w:pPr>
        <w:keepNext/>
        <w:keepLines/>
        <w:spacing w:before="260" w:after="260" w:line="400" w:lineRule="exact"/>
        <w:jc w:val="center"/>
        <w:outlineLvl w:val="1"/>
        <w:rPr>
          <w:rFonts w:hint="eastAsia" w:ascii="宋体" w:hAnsi="宋体"/>
          <w:b/>
          <w:sz w:val="32"/>
          <w:szCs w:val="20"/>
        </w:rPr>
      </w:pPr>
    </w:p>
    <w:p w14:paraId="25A00644">
      <w:pPr>
        <w:pStyle w:val="2"/>
        <w:rPr>
          <w:rFonts w:hint="default"/>
          <w:lang w:val="en-US" w:eastAsia="zh-CN"/>
        </w:rPr>
      </w:pPr>
    </w:p>
    <w:p w14:paraId="0E0388E6">
      <w:pPr>
        <w:pStyle w:val="2"/>
        <w:rPr>
          <w:rFonts w:hint="default"/>
          <w:lang w:val="en-US" w:eastAsia="zh-CN"/>
        </w:rPr>
      </w:pPr>
    </w:p>
    <w:p w14:paraId="2DEDFDCB">
      <w:pPr>
        <w:pStyle w:val="20"/>
        <w:rPr>
          <w:rFonts w:hint="eastAsia"/>
        </w:rPr>
      </w:pPr>
    </w:p>
    <w:p w14:paraId="67E31CA8">
      <w:pPr>
        <w:rPr>
          <w:rFonts w:ascii="宋体" w:hAnsi="宋体"/>
        </w:rPr>
      </w:pPr>
    </w:p>
    <w:sectPr>
      <w:footerReference r:id="rId11" w:type="first"/>
      <w:footerReference r:id="rId10" w:type="default"/>
      <w:footnotePr>
        <w:numFmt w:val="decimalEnclosedCircleChinese"/>
        <w:numRestart w:val="eachPage"/>
      </w:footnotePr>
      <w:pgSz w:w="11906" w:h="16838"/>
      <w:pgMar w:top="1440" w:right="1417" w:bottom="1440" w:left="1417" w:header="851" w:footer="992" w:gutter="0"/>
      <w:pgBorders>
        <w:top w:val="none" w:sz="0" w:space="0"/>
        <w:left w:val="none" w:sz="0" w:space="0"/>
        <w:bottom w:val="none" w:sz="0" w:space="0"/>
        <w:right w:val="none" w:sz="0" w:space="0"/>
      </w:pgBorders>
      <w:pgNumType w:fmt="decimal"/>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Sylfaen">
    <w:panose1 w:val="010A0502050306030303"/>
    <w:charset w:val="00"/>
    <w:family w:val="roman"/>
    <w:pitch w:val="default"/>
    <w:sig w:usb0="04000687" w:usb1="00000000" w:usb2="00000000" w:usb3="00000000" w:csb0="2000009F" w:csb1="00000000"/>
  </w:font>
  <w:font w:name="微软雅黑 Light">
    <w:panose1 w:val="020B0502040204020203"/>
    <w:charset w:val="86"/>
    <w:family w:val="swiss"/>
    <w:pitch w:val="default"/>
    <w:sig w:usb0="80000287" w:usb1="2ACF001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Kingsoft UE">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2CA4E">
    <w:pPr>
      <w:pStyle w:val="2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39749C">
                          <w:pPr>
                            <w:pStyle w:val="2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139749C">
                    <w:pPr>
                      <w:pStyle w:val="24"/>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CACBE">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92799">
    <w:pPr>
      <w:spacing w:line="196" w:lineRule="auto"/>
      <w:ind w:left="4797" w:firstLine="340"/>
      <w:rPr>
        <w:rFonts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08897B">
                          <w:pPr>
                            <w:pStyle w:val="2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F08897B">
                    <w:pPr>
                      <w:pStyle w:val="2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5EC84">
    <w:pPr>
      <w:pStyle w:val="2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156231">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9156231">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CEC8C">
    <w:pPr>
      <w:tabs>
        <w:tab w:val="center" w:pos="4153"/>
        <w:tab w:val="right" w:pos="8306"/>
      </w:tabs>
      <w:adjustRightInd w:val="0"/>
      <w:snapToGrid w:val="0"/>
      <w:spacing w:before="120" w:line="440" w:lineRule="exact"/>
      <w:ind w:firstLine="360"/>
      <w:rPr>
        <w:rFonts w:ascii="宋体" w:hAnsi="宋体" w:cs="宋体"/>
        <w:sz w:val="18"/>
        <w:szCs w:val="18"/>
        <w:lang w:eastAsia="en-US"/>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7C240">
                          <w:pPr>
                            <w:pStyle w:val="2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F27C240">
                    <w:pPr>
                      <w:pStyle w:val="2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F85CD">
    <w:pPr>
      <w:pStyle w:val="24"/>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8ABA3D">
                          <w:pPr>
                            <w:pStyle w:val="24"/>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18ABA3D">
                    <w:pPr>
                      <w:pStyle w:val="24"/>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0F03C">
    <w:pPr>
      <w:pStyle w:val="24"/>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2704E0">
                          <w:pPr>
                            <w:pStyle w:val="24"/>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42704E0">
                    <w:pPr>
                      <w:pStyle w:val="24"/>
                    </w:pPr>
                    <w:r>
                      <w:fldChar w:fldCharType="begin"/>
                    </w:r>
                    <w:r>
                      <w:instrText xml:space="preserve"> PAGE  \* MERGEFORMAT </w:instrText>
                    </w:r>
                    <w:r>
                      <w:fldChar w:fldCharType="separate"/>
                    </w:r>
                    <w:r>
                      <w:t>58</w:t>
                    </w:r>
                    <w:r>
                      <w:fldChar w:fldCharType="end"/>
                    </w:r>
                  </w:p>
                </w:txbxContent>
              </v:textbox>
            </v:shape>
          </w:pict>
        </mc:Fallback>
      </mc:AlternateContent>
    </w:r>
  </w:p>
  <w:p w14:paraId="15AD94CD">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69A7B">
    <w:pPr>
      <w:pBdr>
        <w:bottom w:val="none" w:color="auto" w:sz="0" w:space="1"/>
      </w:pBdr>
      <w:tabs>
        <w:tab w:val="center" w:pos="4153"/>
        <w:tab w:val="right" w:pos="8306"/>
      </w:tabs>
      <w:snapToGrid w:val="0"/>
      <w:ind w:firstLine="360"/>
      <w:jc w:val="center"/>
      <w:rPr>
        <w:sz w:val="18"/>
        <w:szCs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10F22">
    <w:pPr>
      <w:spacing w:line="226" w:lineRule="auto"/>
      <w:ind w:left="17" w:firstLine="400"/>
      <w:rPr>
        <w:rFonts w:ascii="宋体" w:hAnsi="宋体" w:cs="宋体"/>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201DC"/>
    <w:multiLevelType w:val="singleLevel"/>
    <w:tmpl w:val="80D201DC"/>
    <w:lvl w:ilvl="0" w:tentative="0">
      <w:start w:val="1"/>
      <w:numFmt w:val="chineseCounting"/>
      <w:suff w:val="space"/>
      <w:lvlText w:val="第%1章"/>
      <w:lvlJc w:val="left"/>
      <w:rPr>
        <w:rFonts w:hint="eastAsia"/>
      </w:rPr>
    </w:lvl>
  </w:abstractNum>
  <w:abstractNum w:abstractNumId="1">
    <w:nsid w:val="967412E0"/>
    <w:multiLevelType w:val="singleLevel"/>
    <w:tmpl w:val="967412E0"/>
    <w:lvl w:ilvl="0" w:tentative="0">
      <w:start w:val="2"/>
      <w:numFmt w:val="decimal"/>
      <w:suff w:val="nothing"/>
      <w:lvlText w:val="%1、"/>
      <w:lvlJc w:val="left"/>
    </w:lvl>
  </w:abstractNum>
  <w:abstractNum w:abstractNumId="2">
    <w:nsid w:val="F091776F"/>
    <w:multiLevelType w:val="singleLevel"/>
    <w:tmpl w:val="F091776F"/>
    <w:lvl w:ilvl="0" w:tentative="0">
      <w:start w:val="2"/>
      <w:numFmt w:val="chineseCounting"/>
      <w:suff w:val="nothing"/>
      <w:lvlText w:val="（%1）"/>
      <w:lvlJc w:val="left"/>
      <w:rPr>
        <w:rFonts w:hint="eastAsia"/>
      </w:rPr>
    </w:lvl>
  </w:abstractNum>
  <w:abstractNum w:abstractNumId="3">
    <w:nsid w:val="0360F100"/>
    <w:multiLevelType w:val="singleLevel"/>
    <w:tmpl w:val="0360F100"/>
    <w:lvl w:ilvl="0" w:tentative="0">
      <w:start w:val="1"/>
      <w:numFmt w:val="decimal"/>
      <w:suff w:val="nothing"/>
      <w:lvlText w:val="（%1）"/>
      <w:lvlJc w:val="left"/>
    </w:lvl>
  </w:abstractNum>
  <w:abstractNum w:abstractNumId="4">
    <w:nsid w:val="0EF1106D"/>
    <w:multiLevelType w:val="singleLevel"/>
    <w:tmpl w:val="0EF1106D"/>
    <w:lvl w:ilvl="0" w:tentative="0">
      <w:start w:val="1"/>
      <w:numFmt w:val="decimal"/>
      <w:suff w:val="nothing"/>
      <w:lvlText w:val="（%1）"/>
      <w:lvlJc w:val="left"/>
    </w:lvl>
  </w:abstractNum>
  <w:abstractNum w:abstractNumId="5">
    <w:nsid w:val="47C9D34E"/>
    <w:multiLevelType w:val="singleLevel"/>
    <w:tmpl w:val="47C9D34E"/>
    <w:lvl w:ilvl="0" w:tentative="0">
      <w:start w:val="1"/>
      <w:numFmt w:val="decimal"/>
      <w:suff w:val="nothing"/>
      <w:lvlText w:val="%1、"/>
      <w:lvlJc w:val="left"/>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hODg5ZDEzMTE4NThkZjlhZjExNzQwYmQwMzAyYjIifQ=="/>
  </w:docVars>
  <w:rsids>
    <w:rsidRoot w:val="008710C9"/>
    <w:rsid w:val="00000E2E"/>
    <w:rsid w:val="0000228E"/>
    <w:rsid w:val="00003305"/>
    <w:rsid w:val="000040E4"/>
    <w:rsid w:val="000047D8"/>
    <w:rsid w:val="000067B9"/>
    <w:rsid w:val="00006FE7"/>
    <w:rsid w:val="00011198"/>
    <w:rsid w:val="0001340C"/>
    <w:rsid w:val="000137C1"/>
    <w:rsid w:val="00013BD3"/>
    <w:rsid w:val="00014366"/>
    <w:rsid w:val="000151F4"/>
    <w:rsid w:val="000203DC"/>
    <w:rsid w:val="00020417"/>
    <w:rsid w:val="0002086F"/>
    <w:rsid w:val="00021517"/>
    <w:rsid w:val="0002199B"/>
    <w:rsid w:val="0002380C"/>
    <w:rsid w:val="000247C2"/>
    <w:rsid w:val="0002519F"/>
    <w:rsid w:val="00026125"/>
    <w:rsid w:val="000265E8"/>
    <w:rsid w:val="00026B3F"/>
    <w:rsid w:val="00026E7D"/>
    <w:rsid w:val="0002792E"/>
    <w:rsid w:val="00027CF4"/>
    <w:rsid w:val="000306E8"/>
    <w:rsid w:val="00031808"/>
    <w:rsid w:val="00032E81"/>
    <w:rsid w:val="0003388F"/>
    <w:rsid w:val="000338EE"/>
    <w:rsid w:val="00033E63"/>
    <w:rsid w:val="0003557A"/>
    <w:rsid w:val="00035E90"/>
    <w:rsid w:val="000361CE"/>
    <w:rsid w:val="0003621E"/>
    <w:rsid w:val="00036E3B"/>
    <w:rsid w:val="000375F4"/>
    <w:rsid w:val="00040C34"/>
    <w:rsid w:val="00045205"/>
    <w:rsid w:val="000454A6"/>
    <w:rsid w:val="00045BFB"/>
    <w:rsid w:val="0004677C"/>
    <w:rsid w:val="000474A5"/>
    <w:rsid w:val="000477BF"/>
    <w:rsid w:val="000478C9"/>
    <w:rsid w:val="0005078B"/>
    <w:rsid w:val="00050804"/>
    <w:rsid w:val="000509FF"/>
    <w:rsid w:val="00052855"/>
    <w:rsid w:val="000532AE"/>
    <w:rsid w:val="000537BB"/>
    <w:rsid w:val="00053F5F"/>
    <w:rsid w:val="00054298"/>
    <w:rsid w:val="00055015"/>
    <w:rsid w:val="00055669"/>
    <w:rsid w:val="00057B7D"/>
    <w:rsid w:val="0006039E"/>
    <w:rsid w:val="00060526"/>
    <w:rsid w:val="000609F5"/>
    <w:rsid w:val="00061427"/>
    <w:rsid w:val="000622F7"/>
    <w:rsid w:val="000627CE"/>
    <w:rsid w:val="00062944"/>
    <w:rsid w:val="00062BF6"/>
    <w:rsid w:val="000644D2"/>
    <w:rsid w:val="00064806"/>
    <w:rsid w:val="00066AD1"/>
    <w:rsid w:val="00067694"/>
    <w:rsid w:val="00067871"/>
    <w:rsid w:val="00067C0E"/>
    <w:rsid w:val="00067E66"/>
    <w:rsid w:val="00067EFF"/>
    <w:rsid w:val="0007002B"/>
    <w:rsid w:val="00070292"/>
    <w:rsid w:val="00072C5C"/>
    <w:rsid w:val="000732F4"/>
    <w:rsid w:val="00075CBB"/>
    <w:rsid w:val="0007616B"/>
    <w:rsid w:val="000763D3"/>
    <w:rsid w:val="000768F3"/>
    <w:rsid w:val="00076C8E"/>
    <w:rsid w:val="0007709F"/>
    <w:rsid w:val="00077BF9"/>
    <w:rsid w:val="00077F79"/>
    <w:rsid w:val="00080B7E"/>
    <w:rsid w:val="00081DCA"/>
    <w:rsid w:val="00082E2C"/>
    <w:rsid w:val="000832C1"/>
    <w:rsid w:val="00083B17"/>
    <w:rsid w:val="00083B5F"/>
    <w:rsid w:val="00084B0E"/>
    <w:rsid w:val="000857B9"/>
    <w:rsid w:val="00085E0F"/>
    <w:rsid w:val="00086462"/>
    <w:rsid w:val="00086B63"/>
    <w:rsid w:val="000901A3"/>
    <w:rsid w:val="00090950"/>
    <w:rsid w:val="00090A9C"/>
    <w:rsid w:val="00090B43"/>
    <w:rsid w:val="00093456"/>
    <w:rsid w:val="000934E3"/>
    <w:rsid w:val="00093AF5"/>
    <w:rsid w:val="00093EAD"/>
    <w:rsid w:val="00093F6F"/>
    <w:rsid w:val="00094408"/>
    <w:rsid w:val="00096572"/>
    <w:rsid w:val="00097642"/>
    <w:rsid w:val="00097770"/>
    <w:rsid w:val="00097B8F"/>
    <w:rsid w:val="000A0278"/>
    <w:rsid w:val="000A0701"/>
    <w:rsid w:val="000A0B64"/>
    <w:rsid w:val="000A15C5"/>
    <w:rsid w:val="000A1DB2"/>
    <w:rsid w:val="000A2B04"/>
    <w:rsid w:val="000A33D8"/>
    <w:rsid w:val="000A39AA"/>
    <w:rsid w:val="000A4422"/>
    <w:rsid w:val="000A4948"/>
    <w:rsid w:val="000A4949"/>
    <w:rsid w:val="000A4DB9"/>
    <w:rsid w:val="000A4F35"/>
    <w:rsid w:val="000A53B2"/>
    <w:rsid w:val="000A6421"/>
    <w:rsid w:val="000A670B"/>
    <w:rsid w:val="000A6775"/>
    <w:rsid w:val="000A6807"/>
    <w:rsid w:val="000A74C1"/>
    <w:rsid w:val="000B0839"/>
    <w:rsid w:val="000B1A3E"/>
    <w:rsid w:val="000B23DA"/>
    <w:rsid w:val="000B2765"/>
    <w:rsid w:val="000B31B2"/>
    <w:rsid w:val="000B5512"/>
    <w:rsid w:val="000C1CAF"/>
    <w:rsid w:val="000C5C6A"/>
    <w:rsid w:val="000C6335"/>
    <w:rsid w:val="000C644F"/>
    <w:rsid w:val="000C7806"/>
    <w:rsid w:val="000D02B8"/>
    <w:rsid w:val="000D05F2"/>
    <w:rsid w:val="000D1324"/>
    <w:rsid w:val="000D19A6"/>
    <w:rsid w:val="000D2828"/>
    <w:rsid w:val="000D3DB6"/>
    <w:rsid w:val="000D428A"/>
    <w:rsid w:val="000D4412"/>
    <w:rsid w:val="000D4D0C"/>
    <w:rsid w:val="000D5024"/>
    <w:rsid w:val="000D5984"/>
    <w:rsid w:val="000D7A0A"/>
    <w:rsid w:val="000E013C"/>
    <w:rsid w:val="000E043B"/>
    <w:rsid w:val="000E0A52"/>
    <w:rsid w:val="000E40D5"/>
    <w:rsid w:val="000E4F46"/>
    <w:rsid w:val="000E5CBB"/>
    <w:rsid w:val="000E6330"/>
    <w:rsid w:val="000E639A"/>
    <w:rsid w:val="000E6479"/>
    <w:rsid w:val="000E6AD3"/>
    <w:rsid w:val="000E7317"/>
    <w:rsid w:val="000E7760"/>
    <w:rsid w:val="000E7762"/>
    <w:rsid w:val="000E7C7B"/>
    <w:rsid w:val="000F1CEC"/>
    <w:rsid w:val="000F203F"/>
    <w:rsid w:val="000F21E8"/>
    <w:rsid w:val="000F2964"/>
    <w:rsid w:val="000F2FDB"/>
    <w:rsid w:val="000F3420"/>
    <w:rsid w:val="000F3BA5"/>
    <w:rsid w:val="000F6FB8"/>
    <w:rsid w:val="000F7705"/>
    <w:rsid w:val="000F7CC5"/>
    <w:rsid w:val="000F7D27"/>
    <w:rsid w:val="000F7F9E"/>
    <w:rsid w:val="00100056"/>
    <w:rsid w:val="00100891"/>
    <w:rsid w:val="00100B68"/>
    <w:rsid w:val="00100D70"/>
    <w:rsid w:val="00101FFC"/>
    <w:rsid w:val="00105370"/>
    <w:rsid w:val="00105559"/>
    <w:rsid w:val="00106646"/>
    <w:rsid w:val="00107261"/>
    <w:rsid w:val="001072F7"/>
    <w:rsid w:val="001079E2"/>
    <w:rsid w:val="00107C98"/>
    <w:rsid w:val="00110ED6"/>
    <w:rsid w:val="00111CA2"/>
    <w:rsid w:val="001122F0"/>
    <w:rsid w:val="00113716"/>
    <w:rsid w:val="00114829"/>
    <w:rsid w:val="00114B34"/>
    <w:rsid w:val="0012088A"/>
    <w:rsid w:val="00120DBF"/>
    <w:rsid w:val="00121560"/>
    <w:rsid w:val="001219DC"/>
    <w:rsid w:val="00121BC2"/>
    <w:rsid w:val="00121FD5"/>
    <w:rsid w:val="0012246C"/>
    <w:rsid w:val="00122A41"/>
    <w:rsid w:val="0012374B"/>
    <w:rsid w:val="00124FFF"/>
    <w:rsid w:val="00125660"/>
    <w:rsid w:val="0012673F"/>
    <w:rsid w:val="00127F84"/>
    <w:rsid w:val="001316BC"/>
    <w:rsid w:val="001318D6"/>
    <w:rsid w:val="00133240"/>
    <w:rsid w:val="0013424B"/>
    <w:rsid w:val="00134F0F"/>
    <w:rsid w:val="001352F7"/>
    <w:rsid w:val="001368F5"/>
    <w:rsid w:val="00137F4A"/>
    <w:rsid w:val="001407C1"/>
    <w:rsid w:val="001411D4"/>
    <w:rsid w:val="00141247"/>
    <w:rsid w:val="00143BAD"/>
    <w:rsid w:val="00144DF9"/>
    <w:rsid w:val="0014773F"/>
    <w:rsid w:val="001478A1"/>
    <w:rsid w:val="00150B78"/>
    <w:rsid w:val="00150BDC"/>
    <w:rsid w:val="00151212"/>
    <w:rsid w:val="00151682"/>
    <w:rsid w:val="00151B2D"/>
    <w:rsid w:val="00153D9B"/>
    <w:rsid w:val="00157B8B"/>
    <w:rsid w:val="00160C8E"/>
    <w:rsid w:val="001610B9"/>
    <w:rsid w:val="00162412"/>
    <w:rsid w:val="00163430"/>
    <w:rsid w:val="0016437B"/>
    <w:rsid w:val="00164A2B"/>
    <w:rsid w:val="00165F30"/>
    <w:rsid w:val="0016609D"/>
    <w:rsid w:val="00166C61"/>
    <w:rsid w:val="00166F2C"/>
    <w:rsid w:val="001706C1"/>
    <w:rsid w:val="0017358B"/>
    <w:rsid w:val="001745E7"/>
    <w:rsid w:val="001755F2"/>
    <w:rsid w:val="00177306"/>
    <w:rsid w:val="001810C5"/>
    <w:rsid w:val="001814F6"/>
    <w:rsid w:val="00182937"/>
    <w:rsid w:val="001835BD"/>
    <w:rsid w:val="001836CF"/>
    <w:rsid w:val="0018390C"/>
    <w:rsid w:val="0018517B"/>
    <w:rsid w:val="0019019E"/>
    <w:rsid w:val="00190C23"/>
    <w:rsid w:val="00191FF1"/>
    <w:rsid w:val="00192613"/>
    <w:rsid w:val="00192666"/>
    <w:rsid w:val="0019291E"/>
    <w:rsid w:val="001938CB"/>
    <w:rsid w:val="00193BC2"/>
    <w:rsid w:val="00193ED3"/>
    <w:rsid w:val="00197B77"/>
    <w:rsid w:val="001A16C8"/>
    <w:rsid w:val="001A29F3"/>
    <w:rsid w:val="001A4A8C"/>
    <w:rsid w:val="001A62A7"/>
    <w:rsid w:val="001A6A57"/>
    <w:rsid w:val="001A7633"/>
    <w:rsid w:val="001B114E"/>
    <w:rsid w:val="001B18BB"/>
    <w:rsid w:val="001B1C94"/>
    <w:rsid w:val="001B1DFF"/>
    <w:rsid w:val="001B2D5E"/>
    <w:rsid w:val="001B391E"/>
    <w:rsid w:val="001B418C"/>
    <w:rsid w:val="001B63B7"/>
    <w:rsid w:val="001B79AB"/>
    <w:rsid w:val="001C0828"/>
    <w:rsid w:val="001C1888"/>
    <w:rsid w:val="001C30B4"/>
    <w:rsid w:val="001C359F"/>
    <w:rsid w:val="001C39EC"/>
    <w:rsid w:val="001C4335"/>
    <w:rsid w:val="001C5415"/>
    <w:rsid w:val="001C7C1D"/>
    <w:rsid w:val="001C7D0A"/>
    <w:rsid w:val="001D0CAA"/>
    <w:rsid w:val="001D1547"/>
    <w:rsid w:val="001D3087"/>
    <w:rsid w:val="001D3CD0"/>
    <w:rsid w:val="001D4AC9"/>
    <w:rsid w:val="001D53D5"/>
    <w:rsid w:val="001D56E3"/>
    <w:rsid w:val="001D6938"/>
    <w:rsid w:val="001E0F40"/>
    <w:rsid w:val="001E5681"/>
    <w:rsid w:val="001E5D91"/>
    <w:rsid w:val="001E5E24"/>
    <w:rsid w:val="001E5F15"/>
    <w:rsid w:val="001F14D4"/>
    <w:rsid w:val="001F158A"/>
    <w:rsid w:val="001F317A"/>
    <w:rsid w:val="001F385B"/>
    <w:rsid w:val="001F40E6"/>
    <w:rsid w:val="001F4DDA"/>
    <w:rsid w:val="001F539E"/>
    <w:rsid w:val="001F5524"/>
    <w:rsid w:val="001F5B9D"/>
    <w:rsid w:val="001F686F"/>
    <w:rsid w:val="001F7CA4"/>
    <w:rsid w:val="002003DE"/>
    <w:rsid w:val="00201E85"/>
    <w:rsid w:val="00202FA2"/>
    <w:rsid w:val="0020329F"/>
    <w:rsid w:val="002048F6"/>
    <w:rsid w:val="00204F26"/>
    <w:rsid w:val="00205234"/>
    <w:rsid w:val="00205F50"/>
    <w:rsid w:val="00212033"/>
    <w:rsid w:val="00212932"/>
    <w:rsid w:val="00214447"/>
    <w:rsid w:val="0021605D"/>
    <w:rsid w:val="00217AE1"/>
    <w:rsid w:val="00220CD4"/>
    <w:rsid w:val="002212BC"/>
    <w:rsid w:val="0022192F"/>
    <w:rsid w:val="00222401"/>
    <w:rsid w:val="00223D4C"/>
    <w:rsid w:val="0022529B"/>
    <w:rsid w:val="00225614"/>
    <w:rsid w:val="00226E03"/>
    <w:rsid w:val="002274C8"/>
    <w:rsid w:val="00227EF4"/>
    <w:rsid w:val="0023105E"/>
    <w:rsid w:val="0023221C"/>
    <w:rsid w:val="002343DC"/>
    <w:rsid w:val="00235704"/>
    <w:rsid w:val="002368ED"/>
    <w:rsid w:val="0023717E"/>
    <w:rsid w:val="0023774C"/>
    <w:rsid w:val="00240D28"/>
    <w:rsid w:val="00243AE3"/>
    <w:rsid w:val="00243B1A"/>
    <w:rsid w:val="00245290"/>
    <w:rsid w:val="0024576D"/>
    <w:rsid w:val="00245879"/>
    <w:rsid w:val="00245C65"/>
    <w:rsid w:val="00246EB2"/>
    <w:rsid w:val="00251780"/>
    <w:rsid w:val="00251953"/>
    <w:rsid w:val="00252C3C"/>
    <w:rsid w:val="00253BFC"/>
    <w:rsid w:val="00255E23"/>
    <w:rsid w:val="00256278"/>
    <w:rsid w:val="00257198"/>
    <w:rsid w:val="00257870"/>
    <w:rsid w:val="0025799C"/>
    <w:rsid w:val="00260D18"/>
    <w:rsid w:val="002610AB"/>
    <w:rsid w:val="00264C71"/>
    <w:rsid w:val="002650F4"/>
    <w:rsid w:val="0026592E"/>
    <w:rsid w:val="00270E0A"/>
    <w:rsid w:val="00270E73"/>
    <w:rsid w:val="00270EFC"/>
    <w:rsid w:val="002718CB"/>
    <w:rsid w:val="00271B1F"/>
    <w:rsid w:val="00271C36"/>
    <w:rsid w:val="00274D1F"/>
    <w:rsid w:val="002752A7"/>
    <w:rsid w:val="002753E6"/>
    <w:rsid w:val="00277CDA"/>
    <w:rsid w:val="00277EB5"/>
    <w:rsid w:val="00280465"/>
    <w:rsid w:val="002808F5"/>
    <w:rsid w:val="00280C5F"/>
    <w:rsid w:val="00281043"/>
    <w:rsid w:val="00281C07"/>
    <w:rsid w:val="00281D4D"/>
    <w:rsid w:val="002820FD"/>
    <w:rsid w:val="0028233B"/>
    <w:rsid w:val="00282B0F"/>
    <w:rsid w:val="002830AD"/>
    <w:rsid w:val="00283DB8"/>
    <w:rsid w:val="00285163"/>
    <w:rsid w:val="0028653D"/>
    <w:rsid w:val="00286E7B"/>
    <w:rsid w:val="0028700B"/>
    <w:rsid w:val="00287268"/>
    <w:rsid w:val="0028747F"/>
    <w:rsid w:val="002916E7"/>
    <w:rsid w:val="0029242B"/>
    <w:rsid w:val="00293E1A"/>
    <w:rsid w:val="0029562C"/>
    <w:rsid w:val="00295641"/>
    <w:rsid w:val="00295AEF"/>
    <w:rsid w:val="00296133"/>
    <w:rsid w:val="002A040C"/>
    <w:rsid w:val="002A049C"/>
    <w:rsid w:val="002A0B18"/>
    <w:rsid w:val="002A1E5D"/>
    <w:rsid w:val="002A230D"/>
    <w:rsid w:val="002A26CC"/>
    <w:rsid w:val="002A2709"/>
    <w:rsid w:val="002A3643"/>
    <w:rsid w:val="002A579A"/>
    <w:rsid w:val="002A5A88"/>
    <w:rsid w:val="002A62F6"/>
    <w:rsid w:val="002A6D73"/>
    <w:rsid w:val="002B0000"/>
    <w:rsid w:val="002B0E3C"/>
    <w:rsid w:val="002B27A0"/>
    <w:rsid w:val="002B2E2D"/>
    <w:rsid w:val="002B3749"/>
    <w:rsid w:val="002B4283"/>
    <w:rsid w:val="002B437D"/>
    <w:rsid w:val="002B60F2"/>
    <w:rsid w:val="002C068C"/>
    <w:rsid w:val="002C1C97"/>
    <w:rsid w:val="002C1FEC"/>
    <w:rsid w:val="002C29EF"/>
    <w:rsid w:val="002C2F30"/>
    <w:rsid w:val="002C46AB"/>
    <w:rsid w:val="002C4819"/>
    <w:rsid w:val="002C4D53"/>
    <w:rsid w:val="002C4E1C"/>
    <w:rsid w:val="002C5611"/>
    <w:rsid w:val="002C5653"/>
    <w:rsid w:val="002C5CC4"/>
    <w:rsid w:val="002C5D72"/>
    <w:rsid w:val="002C67A7"/>
    <w:rsid w:val="002C6E95"/>
    <w:rsid w:val="002D20BD"/>
    <w:rsid w:val="002D28C6"/>
    <w:rsid w:val="002D3D49"/>
    <w:rsid w:val="002E00DB"/>
    <w:rsid w:val="002E014D"/>
    <w:rsid w:val="002E1D40"/>
    <w:rsid w:val="002E30A8"/>
    <w:rsid w:val="002E3120"/>
    <w:rsid w:val="002E457D"/>
    <w:rsid w:val="002E538D"/>
    <w:rsid w:val="002E54B3"/>
    <w:rsid w:val="002E566D"/>
    <w:rsid w:val="002E647A"/>
    <w:rsid w:val="002E6A34"/>
    <w:rsid w:val="002E6F16"/>
    <w:rsid w:val="002F1088"/>
    <w:rsid w:val="002F2BB7"/>
    <w:rsid w:val="002F677B"/>
    <w:rsid w:val="002F67DE"/>
    <w:rsid w:val="00301C74"/>
    <w:rsid w:val="00302DD9"/>
    <w:rsid w:val="003034BC"/>
    <w:rsid w:val="00303528"/>
    <w:rsid w:val="003037F7"/>
    <w:rsid w:val="0030498A"/>
    <w:rsid w:val="00304E4F"/>
    <w:rsid w:val="00305A6E"/>
    <w:rsid w:val="00305EB2"/>
    <w:rsid w:val="00305F6A"/>
    <w:rsid w:val="0030609B"/>
    <w:rsid w:val="003079C0"/>
    <w:rsid w:val="0031001E"/>
    <w:rsid w:val="00310EBE"/>
    <w:rsid w:val="00313328"/>
    <w:rsid w:val="00314203"/>
    <w:rsid w:val="00314BD3"/>
    <w:rsid w:val="003152C3"/>
    <w:rsid w:val="00315A14"/>
    <w:rsid w:val="003165FC"/>
    <w:rsid w:val="00316B53"/>
    <w:rsid w:val="00316CD9"/>
    <w:rsid w:val="00316DCF"/>
    <w:rsid w:val="0032048D"/>
    <w:rsid w:val="003225AD"/>
    <w:rsid w:val="00322EFD"/>
    <w:rsid w:val="0032340A"/>
    <w:rsid w:val="00323F21"/>
    <w:rsid w:val="0032474C"/>
    <w:rsid w:val="003249C4"/>
    <w:rsid w:val="00326BFD"/>
    <w:rsid w:val="00330CB5"/>
    <w:rsid w:val="0033140F"/>
    <w:rsid w:val="003314A8"/>
    <w:rsid w:val="00331D8F"/>
    <w:rsid w:val="00331FE3"/>
    <w:rsid w:val="00332618"/>
    <w:rsid w:val="00332879"/>
    <w:rsid w:val="0033291A"/>
    <w:rsid w:val="0033323C"/>
    <w:rsid w:val="003332D9"/>
    <w:rsid w:val="003333B9"/>
    <w:rsid w:val="00334470"/>
    <w:rsid w:val="00335466"/>
    <w:rsid w:val="003370CE"/>
    <w:rsid w:val="00340286"/>
    <w:rsid w:val="00341C91"/>
    <w:rsid w:val="00342A11"/>
    <w:rsid w:val="0034303E"/>
    <w:rsid w:val="003433A5"/>
    <w:rsid w:val="00343B6E"/>
    <w:rsid w:val="003447E2"/>
    <w:rsid w:val="0034486F"/>
    <w:rsid w:val="00346128"/>
    <w:rsid w:val="00347105"/>
    <w:rsid w:val="0034752E"/>
    <w:rsid w:val="003479F9"/>
    <w:rsid w:val="00347FB1"/>
    <w:rsid w:val="00350BAE"/>
    <w:rsid w:val="003510D3"/>
    <w:rsid w:val="003516AA"/>
    <w:rsid w:val="00351D37"/>
    <w:rsid w:val="003539D1"/>
    <w:rsid w:val="00353DD1"/>
    <w:rsid w:val="003561D1"/>
    <w:rsid w:val="003561ED"/>
    <w:rsid w:val="00360A93"/>
    <w:rsid w:val="00360CC2"/>
    <w:rsid w:val="00362E06"/>
    <w:rsid w:val="00364CB6"/>
    <w:rsid w:val="00365BE0"/>
    <w:rsid w:val="00365C39"/>
    <w:rsid w:val="0036633A"/>
    <w:rsid w:val="00366B7A"/>
    <w:rsid w:val="00367343"/>
    <w:rsid w:val="00367D06"/>
    <w:rsid w:val="0037073A"/>
    <w:rsid w:val="00371DE2"/>
    <w:rsid w:val="00372031"/>
    <w:rsid w:val="003722E5"/>
    <w:rsid w:val="00372F57"/>
    <w:rsid w:val="00373405"/>
    <w:rsid w:val="0037364F"/>
    <w:rsid w:val="00374177"/>
    <w:rsid w:val="003741DC"/>
    <w:rsid w:val="00375747"/>
    <w:rsid w:val="003764A4"/>
    <w:rsid w:val="00376CF2"/>
    <w:rsid w:val="00376EE1"/>
    <w:rsid w:val="00377C7D"/>
    <w:rsid w:val="003801C3"/>
    <w:rsid w:val="0038041B"/>
    <w:rsid w:val="003812FA"/>
    <w:rsid w:val="003817F6"/>
    <w:rsid w:val="003819AE"/>
    <w:rsid w:val="0038293C"/>
    <w:rsid w:val="00383244"/>
    <w:rsid w:val="00383ABF"/>
    <w:rsid w:val="00384110"/>
    <w:rsid w:val="00384AA0"/>
    <w:rsid w:val="00385DEA"/>
    <w:rsid w:val="00386FD0"/>
    <w:rsid w:val="00387A5A"/>
    <w:rsid w:val="00392354"/>
    <w:rsid w:val="00393A5E"/>
    <w:rsid w:val="00394569"/>
    <w:rsid w:val="00394F1B"/>
    <w:rsid w:val="0039535B"/>
    <w:rsid w:val="00396D37"/>
    <w:rsid w:val="0039759C"/>
    <w:rsid w:val="00397D3A"/>
    <w:rsid w:val="003A0A53"/>
    <w:rsid w:val="003A0FB9"/>
    <w:rsid w:val="003A15A1"/>
    <w:rsid w:val="003A15DE"/>
    <w:rsid w:val="003A1E99"/>
    <w:rsid w:val="003A2B86"/>
    <w:rsid w:val="003A33DC"/>
    <w:rsid w:val="003A3AEC"/>
    <w:rsid w:val="003A43D5"/>
    <w:rsid w:val="003A552C"/>
    <w:rsid w:val="003B069E"/>
    <w:rsid w:val="003B46A0"/>
    <w:rsid w:val="003B4F7E"/>
    <w:rsid w:val="003B69B9"/>
    <w:rsid w:val="003C0807"/>
    <w:rsid w:val="003C2500"/>
    <w:rsid w:val="003C25BF"/>
    <w:rsid w:val="003C2AA1"/>
    <w:rsid w:val="003C2CB1"/>
    <w:rsid w:val="003C3561"/>
    <w:rsid w:val="003C41A4"/>
    <w:rsid w:val="003C424C"/>
    <w:rsid w:val="003C4A05"/>
    <w:rsid w:val="003C5B22"/>
    <w:rsid w:val="003C661E"/>
    <w:rsid w:val="003C6B25"/>
    <w:rsid w:val="003C6B87"/>
    <w:rsid w:val="003C716F"/>
    <w:rsid w:val="003C767E"/>
    <w:rsid w:val="003C79ED"/>
    <w:rsid w:val="003D20FA"/>
    <w:rsid w:val="003D466D"/>
    <w:rsid w:val="003D48B3"/>
    <w:rsid w:val="003D4E0C"/>
    <w:rsid w:val="003D678E"/>
    <w:rsid w:val="003D6E9E"/>
    <w:rsid w:val="003D704B"/>
    <w:rsid w:val="003D7516"/>
    <w:rsid w:val="003D773B"/>
    <w:rsid w:val="003D7DA4"/>
    <w:rsid w:val="003E042F"/>
    <w:rsid w:val="003E154C"/>
    <w:rsid w:val="003E1823"/>
    <w:rsid w:val="003E1AA6"/>
    <w:rsid w:val="003E2B9F"/>
    <w:rsid w:val="003E67B4"/>
    <w:rsid w:val="003F0556"/>
    <w:rsid w:val="003F0629"/>
    <w:rsid w:val="003F2067"/>
    <w:rsid w:val="003F26AD"/>
    <w:rsid w:val="003F31A4"/>
    <w:rsid w:val="003F3B22"/>
    <w:rsid w:val="003F4C30"/>
    <w:rsid w:val="003F4EC8"/>
    <w:rsid w:val="003F7C1F"/>
    <w:rsid w:val="00400ADF"/>
    <w:rsid w:val="00400E20"/>
    <w:rsid w:val="00400FC3"/>
    <w:rsid w:val="0040232E"/>
    <w:rsid w:val="00402415"/>
    <w:rsid w:val="0040269E"/>
    <w:rsid w:val="00402947"/>
    <w:rsid w:val="00403294"/>
    <w:rsid w:val="0040464D"/>
    <w:rsid w:val="00404A5A"/>
    <w:rsid w:val="004062ED"/>
    <w:rsid w:val="004062F4"/>
    <w:rsid w:val="00410BDD"/>
    <w:rsid w:val="004124A6"/>
    <w:rsid w:val="00412B25"/>
    <w:rsid w:val="00414AE9"/>
    <w:rsid w:val="00415107"/>
    <w:rsid w:val="0041538F"/>
    <w:rsid w:val="004164FF"/>
    <w:rsid w:val="0042070D"/>
    <w:rsid w:val="00420DDE"/>
    <w:rsid w:val="0042145B"/>
    <w:rsid w:val="004214F9"/>
    <w:rsid w:val="0042197C"/>
    <w:rsid w:val="004220A4"/>
    <w:rsid w:val="0042249F"/>
    <w:rsid w:val="00422571"/>
    <w:rsid w:val="00423F27"/>
    <w:rsid w:val="00425100"/>
    <w:rsid w:val="004254D0"/>
    <w:rsid w:val="0042736A"/>
    <w:rsid w:val="00427A22"/>
    <w:rsid w:val="0043055B"/>
    <w:rsid w:val="0043229F"/>
    <w:rsid w:val="00432AC8"/>
    <w:rsid w:val="00432CD2"/>
    <w:rsid w:val="00432DFA"/>
    <w:rsid w:val="00433DD1"/>
    <w:rsid w:val="00435849"/>
    <w:rsid w:val="00436A07"/>
    <w:rsid w:val="00440742"/>
    <w:rsid w:val="00440F99"/>
    <w:rsid w:val="004412B8"/>
    <w:rsid w:val="00441B99"/>
    <w:rsid w:val="0044277B"/>
    <w:rsid w:val="00444D42"/>
    <w:rsid w:val="0044638F"/>
    <w:rsid w:val="00446D1D"/>
    <w:rsid w:val="004477F3"/>
    <w:rsid w:val="004517D4"/>
    <w:rsid w:val="004524EA"/>
    <w:rsid w:val="00454FAB"/>
    <w:rsid w:val="00455254"/>
    <w:rsid w:val="004553C1"/>
    <w:rsid w:val="00455668"/>
    <w:rsid w:val="00455950"/>
    <w:rsid w:val="00455BD3"/>
    <w:rsid w:val="00456B86"/>
    <w:rsid w:val="00456F27"/>
    <w:rsid w:val="00460AD6"/>
    <w:rsid w:val="00460CE3"/>
    <w:rsid w:val="00460D3B"/>
    <w:rsid w:val="004616B9"/>
    <w:rsid w:val="00461796"/>
    <w:rsid w:val="00461C49"/>
    <w:rsid w:val="004622C9"/>
    <w:rsid w:val="0046231B"/>
    <w:rsid w:val="00463B19"/>
    <w:rsid w:val="00466107"/>
    <w:rsid w:val="00466AEA"/>
    <w:rsid w:val="0047007B"/>
    <w:rsid w:val="00471698"/>
    <w:rsid w:val="00472832"/>
    <w:rsid w:val="004734FC"/>
    <w:rsid w:val="00473F76"/>
    <w:rsid w:val="00475718"/>
    <w:rsid w:val="0047654D"/>
    <w:rsid w:val="004777A1"/>
    <w:rsid w:val="00477FDD"/>
    <w:rsid w:val="00480A45"/>
    <w:rsid w:val="004821CD"/>
    <w:rsid w:val="00482296"/>
    <w:rsid w:val="004839B1"/>
    <w:rsid w:val="004866F3"/>
    <w:rsid w:val="00486A48"/>
    <w:rsid w:val="00486D75"/>
    <w:rsid w:val="0048768E"/>
    <w:rsid w:val="0048790D"/>
    <w:rsid w:val="00487BD1"/>
    <w:rsid w:val="00490ED4"/>
    <w:rsid w:val="0049101B"/>
    <w:rsid w:val="00491090"/>
    <w:rsid w:val="00491165"/>
    <w:rsid w:val="00491A0E"/>
    <w:rsid w:val="0049261C"/>
    <w:rsid w:val="00492BEE"/>
    <w:rsid w:val="00493803"/>
    <w:rsid w:val="00493CCC"/>
    <w:rsid w:val="00494844"/>
    <w:rsid w:val="004961A5"/>
    <w:rsid w:val="00496F8F"/>
    <w:rsid w:val="00497A30"/>
    <w:rsid w:val="00497EF2"/>
    <w:rsid w:val="004A1009"/>
    <w:rsid w:val="004A10A6"/>
    <w:rsid w:val="004A149A"/>
    <w:rsid w:val="004A19DB"/>
    <w:rsid w:val="004A19F5"/>
    <w:rsid w:val="004A20DD"/>
    <w:rsid w:val="004A288B"/>
    <w:rsid w:val="004A3E41"/>
    <w:rsid w:val="004A3EBB"/>
    <w:rsid w:val="004A4ABE"/>
    <w:rsid w:val="004A7088"/>
    <w:rsid w:val="004A7863"/>
    <w:rsid w:val="004B04D3"/>
    <w:rsid w:val="004B104E"/>
    <w:rsid w:val="004B150C"/>
    <w:rsid w:val="004B222E"/>
    <w:rsid w:val="004B32D2"/>
    <w:rsid w:val="004B7926"/>
    <w:rsid w:val="004B7E4E"/>
    <w:rsid w:val="004B7EC3"/>
    <w:rsid w:val="004C0106"/>
    <w:rsid w:val="004C0B47"/>
    <w:rsid w:val="004C0BE4"/>
    <w:rsid w:val="004C170D"/>
    <w:rsid w:val="004C267B"/>
    <w:rsid w:val="004C3185"/>
    <w:rsid w:val="004C33C9"/>
    <w:rsid w:val="004C426C"/>
    <w:rsid w:val="004C62E2"/>
    <w:rsid w:val="004C6EF1"/>
    <w:rsid w:val="004C6F31"/>
    <w:rsid w:val="004C7149"/>
    <w:rsid w:val="004C7FBF"/>
    <w:rsid w:val="004D2B55"/>
    <w:rsid w:val="004D31E5"/>
    <w:rsid w:val="004D32D5"/>
    <w:rsid w:val="004D4C8B"/>
    <w:rsid w:val="004D51CC"/>
    <w:rsid w:val="004D53CE"/>
    <w:rsid w:val="004D59AE"/>
    <w:rsid w:val="004D6413"/>
    <w:rsid w:val="004D7EE3"/>
    <w:rsid w:val="004E18D1"/>
    <w:rsid w:val="004E472D"/>
    <w:rsid w:val="004E761A"/>
    <w:rsid w:val="004E7D1B"/>
    <w:rsid w:val="004F1052"/>
    <w:rsid w:val="004F1882"/>
    <w:rsid w:val="004F2761"/>
    <w:rsid w:val="004F2BE3"/>
    <w:rsid w:val="004F2E2D"/>
    <w:rsid w:val="004F3A09"/>
    <w:rsid w:val="004F65CC"/>
    <w:rsid w:val="004F691E"/>
    <w:rsid w:val="004F72A4"/>
    <w:rsid w:val="004F72E2"/>
    <w:rsid w:val="004F733A"/>
    <w:rsid w:val="004F74A1"/>
    <w:rsid w:val="004F7921"/>
    <w:rsid w:val="0050115F"/>
    <w:rsid w:val="005013BA"/>
    <w:rsid w:val="005022F9"/>
    <w:rsid w:val="00503E4E"/>
    <w:rsid w:val="005050CE"/>
    <w:rsid w:val="0050580E"/>
    <w:rsid w:val="005063A8"/>
    <w:rsid w:val="005065F6"/>
    <w:rsid w:val="00507646"/>
    <w:rsid w:val="00511A89"/>
    <w:rsid w:val="00512643"/>
    <w:rsid w:val="00512E5A"/>
    <w:rsid w:val="005130A3"/>
    <w:rsid w:val="00513E21"/>
    <w:rsid w:val="00513E4D"/>
    <w:rsid w:val="005141AF"/>
    <w:rsid w:val="005156CD"/>
    <w:rsid w:val="00516583"/>
    <w:rsid w:val="0052031B"/>
    <w:rsid w:val="00521362"/>
    <w:rsid w:val="00521389"/>
    <w:rsid w:val="005228C5"/>
    <w:rsid w:val="00522981"/>
    <w:rsid w:val="00525F27"/>
    <w:rsid w:val="005270D8"/>
    <w:rsid w:val="00530AB9"/>
    <w:rsid w:val="00531A70"/>
    <w:rsid w:val="00532904"/>
    <w:rsid w:val="00533322"/>
    <w:rsid w:val="00533633"/>
    <w:rsid w:val="00535901"/>
    <w:rsid w:val="00536278"/>
    <w:rsid w:val="00536758"/>
    <w:rsid w:val="005412D1"/>
    <w:rsid w:val="005413FE"/>
    <w:rsid w:val="005416B7"/>
    <w:rsid w:val="005418EB"/>
    <w:rsid w:val="0054209E"/>
    <w:rsid w:val="00542BBB"/>
    <w:rsid w:val="00544A65"/>
    <w:rsid w:val="00545217"/>
    <w:rsid w:val="005457A3"/>
    <w:rsid w:val="005461A9"/>
    <w:rsid w:val="00546A34"/>
    <w:rsid w:val="005505AB"/>
    <w:rsid w:val="00550E89"/>
    <w:rsid w:val="005510FE"/>
    <w:rsid w:val="00551C20"/>
    <w:rsid w:val="0055283C"/>
    <w:rsid w:val="00552978"/>
    <w:rsid w:val="00553212"/>
    <w:rsid w:val="00553EED"/>
    <w:rsid w:val="00553FE4"/>
    <w:rsid w:val="00554262"/>
    <w:rsid w:val="005543CA"/>
    <w:rsid w:val="005544D8"/>
    <w:rsid w:val="00554A9F"/>
    <w:rsid w:val="005550E7"/>
    <w:rsid w:val="005551B8"/>
    <w:rsid w:val="00555819"/>
    <w:rsid w:val="00560B7C"/>
    <w:rsid w:val="00560E02"/>
    <w:rsid w:val="00561A48"/>
    <w:rsid w:val="00561DD6"/>
    <w:rsid w:val="00562F60"/>
    <w:rsid w:val="00565ADC"/>
    <w:rsid w:val="005669D7"/>
    <w:rsid w:val="00566D0B"/>
    <w:rsid w:val="005716AE"/>
    <w:rsid w:val="00571C15"/>
    <w:rsid w:val="00571EDE"/>
    <w:rsid w:val="005721BD"/>
    <w:rsid w:val="0057242C"/>
    <w:rsid w:val="00573952"/>
    <w:rsid w:val="00574463"/>
    <w:rsid w:val="00575B07"/>
    <w:rsid w:val="00576CD1"/>
    <w:rsid w:val="0057727F"/>
    <w:rsid w:val="00577571"/>
    <w:rsid w:val="005779BD"/>
    <w:rsid w:val="00577BB1"/>
    <w:rsid w:val="00580307"/>
    <w:rsid w:val="005813B2"/>
    <w:rsid w:val="00581DC5"/>
    <w:rsid w:val="005822DE"/>
    <w:rsid w:val="00582962"/>
    <w:rsid w:val="00583410"/>
    <w:rsid w:val="00584903"/>
    <w:rsid w:val="0058515E"/>
    <w:rsid w:val="005851AA"/>
    <w:rsid w:val="00585795"/>
    <w:rsid w:val="00586E9D"/>
    <w:rsid w:val="00592A62"/>
    <w:rsid w:val="0059355E"/>
    <w:rsid w:val="00593BCE"/>
    <w:rsid w:val="00593CB6"/>
    <w:rsid w:val="00594C41"/>
    <w:rsid w:val="005957DC"/>
    <w:rsid w:val="00595BD9"/>
    <w:rsid w:val="00597B33"/>
    <w:rsid w:val="005A00D8"/>
    <w:rsid w:val="005A37DB"/>
    <w:rsid w:val="005A389B"/>
    <w:rsid w:val="005A4776"/>
    <w:rsid w:val="005A6768"/>
    <w:rsid w:val="005B0704"/>
    <w:rsid w:val="005B0CCD"/>
    <w:rsid w:val="005B10FF"/>
    <w:rsid w:val="005B18BD"/>
    <w:rsid w:val="005B1E02"/>
    <w:rsid w:val="005B1E3A"/>
    <w:rsid w:val="005B20CD"/>
    <w:rsid w:val="005B25FE"/>
    <w:rsid w:val="005B2BB0"/>
    <w:rsid w:val="005B35E0"/>
    <w:rsid w:val="005B5C04"/>
    <w:rsid w:val="005B5E29"/>
    <w:rsid w:val="005B6543"/>
    <w:rsid w:val="005C0045"/>
    <w:rsid w:val="005C0363"/>
    <w:rsid w:val="005C0590"/>
    <w:rsid w:val="005C0F5F"/>
    <w:rsid w:val="005C0FA4"/>
    <w:rsid w:val="005C1724"/>
    <w:rsid w:val="005C1C3C"/>
    <w:rsid w:val="005C20A7"/>
    <w:rsid w:val="005D06C3"/>
    <w:rsid w:val="005D1847"/>
    <w:rsid w:val="005D22B5"/>
    <w:rsid w:val="005D23E4"/>
    <w:rsid w:val="005D2602"/>
    <w:rsid w:val="005D453A"/>
    <w:rsid w:val="005D46F0"/>
    <w:rsid w:val="005D62BF"/>
    <w:rsid w:val="005D687A"/>
    <w:rsid w:val="005D6CD2"/>
    <w:rsid w:val="005D73DE"/>
    <w:rsid w:val="005D7A77"/>
    <w:rsid w:val="005D7DB9"/>
    <w:rsid w:val="005D7F05"/>
    <w:rsid w:val="005E13ED"/>
    <w:rsid w:val="005E14C8"/>
    <w:rsid w:val="005E2A8B"/>
    <w:rsid w:val="005E4221"/>
    <w:rsid w:val="005F2015"/>
    <w:rsid w:val="005F2149"/>
    <w:rsid w:val="005F2284"/>
    <w:rsid w:val="005F31DF"/>
    <w:rsid w:val="005F3E33"/>
    <w:rsid w:val="005F4FF6"/>
    <w:rsid w:val="005F5797"/>
    <w:rsid w:val="005F5DBA"/>
    <w:rsid w:val="005F5FEA"/>
    <w:rsid w:val="005F663E"/>
    <w:rsid w:val="005F7103"/>
    <w:rsid w:val="00600EC4"/>
    <w:rsid w:val="00601192"/>
    <w:rsid w:val="00601CD7"/>
    <w:rsid w:val="00601E94"/>
    <w:rsid w:val="00602467"/>
    <w:rsid w:val="00603391"/>
    <w:rsid w:val="00604722"/>
    <w:rsid w:val="00605431"/>
    <w:rsid w:val="00605ACD"/>
    <w:rsid w:val="00610168"/>
    <w:rsid w:val="00610F86"/>
    <w:rsid w:val="006110A5"/>
    <w:rsid w:val="00611B65"/>
    <w:rsid w:val="0062037D"/>
    <w:rsid w:val="0062171B"/>
    <w:rsid w:val="00622569"/>
    <w:rsid w:val="00622B77"/>
    <w:rsid w:val="00622FFB"/>
    <w:rsid w:val="006240C0"/>
    <w:rsid w:val="006250DE"/>
    <w:rsid w:val="00625FEB"/>
    <w:rsid w:val="0062630A"/>
    <w:rsid w:val="0062704B"/>
    <w:rsid w:val="00631409"/>
    <w:rsid w:val="006315C2"/>
    <w:rsid w:val="00631D49"/>
    <w:rsid w:val="00631E10"/>
    <w:rsid w:val="006323B6"/>
    <w:rsid w:val="00634B38"/>
    <w:rsid w:val="0063535A"/>
    <w:rsid w:val="00635BC6"/>
    <w:rsid w:val="00637CB3"/>
    <w:rsid w:val="00640447"/>
    <w:rsid w:val="00641037"/>
    <w:rsid w:val="0064112A"/>
    <w:rsid w:val="0064114C"/>
    <w:rsid w:val="00641369"/>
    <w:rsid w:val="00641735"/>
    <w:rsid w:val="00641B40"/>
    <w:rsid w:val="00641C4F"/>
    <w:rsid w:val="00642555"/>
    <w:rsid w:val="00642DF1"/>
    <w:rsid w:val="00643115"/>
    <w:rsid w:val="0064645A"/>
    <w:rsid w:val="00647F2C"/>
    <w:rsid w:val="006509A7"/>
    <w:rsid w:val="006527C5"/>
    <w:rsid w:val="00653C48"/>
    <w:rsid w:val="006548D7"/>
    <w:rsid w:val="00654B34"/>
    <w:rsid w:val="00657042"/>
    <w:rsid w:val="00657729"/>
    <w:rsid w:val="006604C9"/>
    <w:rsid w:val="00660ADC"/>
    <w:rsid w:val="00662105"/>
    <w:rsid w:val="00662541"/>
    <w:rsid w:val="006635F2"/>
    <w:rsid w:val="006654EC"/>
    <w:rsid w:val="006658D2"/>
    <w:rsid w:val="00666CA1"/>
    <w:rsid w:val="006709A7"/>
    <w:rsid w:val="00671AD4"/>
    <w:rsid w:val="00671FE1"/>
    <w:rsid w:val="006726BE"/>
    <w:rsid w:val="00672C9D"/>
    <w:rsid w:val="0067336A"/>
    <w:rsid w:val="00673C07"/>
    <w:rsid w:val="00675D66"/>
    <w:rsid w:val="0067712E"/>
    <w:rsid w:val="006776AA"/>
    <w:rsid w:val="00677AF0"/>
    <w:rsid w:val="00681814"/>
    <w:rsid w:val="00682900"/>
    <w:rsid w:val="00687159"/>
    <w:rsid w:val="0068725E"/>
    <w:rsid w:val="00687C2B"/>
    <w:rsid w:val="00687E55"/>
    <w:rsid w:val="00690390"/>
    <w:rsid w:val="006905C7"/>
    <w:rsid w:val="00691099"/>
    <w:rsid w:val="006922E7"/>
    <w:rsid w:val="00693370"/>
    <w:rsid w:val="0069361C"/>
    <w:rsid w:val="0069426F"/>
    <w:rsid w:val="006947D3"/>
    <w:rsid w:val="00694ACC"/>
    <w:rsid w:val="00695C80"/>
    <w:rsid w:val="0069627F"/>
    <w:rsid w:val="006965C2"/>
    <w:rsid w:val="006965E4"/>
    <w:rsid w:val="00697315"/>
    <w:rsid w:val="00697A3B"/>
    <w:rsid w:val="00697CA7"/>
    <w:rsid w:val="006A03BD"/>
    <w:rsid w:val="006A14BF"/>
    <w:rsid w:val="006A27FA"/>
    <w:rsid w:val="006A3D7B"/>
    <w:rsid w:val="006A4024"/>
    <w:rsid w:val="006A4422"/>
    <w:rsid w:val="006A4522"/>
    <w:rsid w:val="006A49B1"/>
    <w:rsid w:val="006A5E25"/>
    <w:rsid w:val="006A681B"/>
    <w:rsid w:val="006A69BE"/>
    <w:rsid w:val="006A6EBB"/>
    <w:rsid w:val="006B087A"/>
    <w:rsid w:val="006B28DA"/>
    <w:rsid w:val="006B6445"/>
    <w:rsid w:val="006B7961"/>
    <w:rsid w:val="006B7BE0"/>
    <w:rsid w:val="006C00AB"/>
    <w:rsid w:val="006C1459"/>
    <w:rsid w:val="006C2A94"/>
    <w:rsid w:val="006C2DEC"/>
    <w:rsid w:val="006C44C4"/>
    <w:rsid w:val="006C471D"/>
    <w:rsid w:val="006C491C"/>
    <w:rsid w:val="006C58F9"/>
    <w:rsid w:val="006C6898"/>
    <w:rsid w:val="006C6B2B"/>
    <w:rsid w:val="006D02F4"/>
    <w:rsid w:val="006D08B7"/>
    <w:rsid w:val="006D33B6"/>
    <w:rsid w:val="006D3538"/>
    <w:rsid w:val="006D427F"/>
    <w:rsid w:val="006D4324"/>
    <w:rsid w:val="006D4B78"/>
    <w:rsid w:val="006D4EA5"/>
    <w:rsid w:val="006D5785"/>
    <w:rsid w:val="006D59E8"/>
    <w:rsid w:val="006E01A8"/>
    <w:rsid w:val="006E14B9"/>
    <w:rsid w:val="006E1539"/>
    <w:rsid w:val="006E282D"/>
    <w:rsid w:val="006E6382"/>
    <w:rsid w:val="006E6770"/>
    <w:rsid w:val="006E6E76"/>
    <w:rsid w:val="006E7A12"/>
    <w:rsid w:val="006E7B9D"/>
    <w:rsid w:val="006F04F0"/>
    <w:rsid w:val="006F0BDD"/>
    <w:rsid w:val="006F242C"/>
    <w:rsid w:val="006F50ED"/>
    <w:rsid w:val="006F6179"/>
    <w:rsid w:val="006F7B7A"/>
    <w:rsid w:val="00701561"/>
    <w:rsid w:val="007025DC"/>
    <w:rsid w:val="0070264C"/>
    <w:rsid w:val="00703374"/>
    <w:rsid w:val="00704311"/>
    <w:rsid w:val="007043F1"/>
    <w:rsid w:val="00706D02"/>
    <w:rsid w:val="007076DD"/>
    <w:rsid w:val="007078FB"/>
    <w:rsid w:val="00710436"/>
    <w:rsid w:val="0071062B"/>
    <w:rsid w:val="00710EDD"/>
    <w:rsid w:val="007122F0"/>
    <w:rsid w:val="00712DE1"/>
    <w:rsid w:val="00712EE9"/>
    <w:rsid w:val="00713F8E"/>
    <w:rsid w:val="00715353"/>
    <w:rsid w:val="00715451"/>
    <w:rsid w:val="00720812"/>
    <w:rsid w:val="00720F74"/>
    <w:rsid w:val="00720FAB"/>
    <w:rsid w:val="00721F4B"/>
    <w:rsid w:val="00723576"/>
    <w:rsid w:val="00724200"/>
    <w:rsid w:val="0072444D"/>
    <w:rsid w:val="0072458C"/>
    <w:rsid w:val="00727905"/>
    <w:rsid w:val="00731327"/>
    <w:rsid w:val="007313F9"/>
    <w:rsid w:val="00732983"/>
    <w:rsid w:val="0073334C"/>
    <w:rsid w:val="00734099"/>
    <w:rsid w:val="007354F3"/>
    <w:rsid w:val="007356EB"/>
    <w:rsid w:val="007359EB"/>
    <w:rsid w:val="00736029"/>
    <w:rsid w:val="00737111"/>
    <w:rsid w:val="00740F90"/>
    <w:rsid w:val="0074149C"/>
    <w:rsid w:val="007421A3"/>
    <w:rsid w:val="007427FA"/>
    <w:rsid w:val="00744CCD"/>
    <w:rsid w:val="007460E8"/>
    <w:rsid w:val="00746CE0"/>
    <w:rsid w:val="00746D64"/>
    <w:rsid w:val="007472F4"/>
    <w:rsid w:val="0075122A"/>
    <w:rsid w:val="00751A08"/>
    <w:rsid w:val="007542ED"/>
    <w:rsid w:val="00755BDA"/>
    <w:rsid w:val="00755E20"/>
    <w:rsid w:val="0075646E"/>
    <w:rsid w:val="0075680C"/>
    <w:rsid w:val="00756851"/>
    <w:rsid w:val="00756C8F"/>
    <w:rsid w:val="0075745D"/>
    <w:rsid w:val="00757AB6"/>
    <w:rsid w:val="0076117B"/>
    <w:rsid w:val="0076145A"/>
    <w:rsid w:val="00761976"/>
    <w:rsid w:val="00761DD3"/>
    <w:rsid w:val="0076681E"/>
    <w:rsid w:val="00766EFF"/>
    <w:rsid w:val="00767D99"/>
    <w:rsid w:val="00767E2F"/>
    <w:rsid w:val="007741E4"/>
    <w:rsid w:val="00774880"/>
    <w:rsid w:val="00774886"/>
    <w:rsid w:val="00774AB6"/>
    <w:rsid w:val="00774FDA"/>
    <w:rsid w:val="00775082"/>
    <w:rsid w:val="007751C5"/>
    <w:rsid w:val="00775295"/>
    <w:rsid w:val="0077538B"/>
    <w:rsid w:val="00776667"/>
    <w:rsid w:val="00776678"/>
    <w:rsid w:val="00777E59"/>
    <w:rsid w:val="007806A2"/>
    <w:rsid w:val="007809BB"/>
    <w:rsid w:val="00781AA6"/>
    <w:rsid w:val="00784FA1"/>
    <w:rsid w:val="00785703"/>
    <w:rsid w:val="00787F5E"/>
    <w:rsid w:val="00787FC9"/>
    <w:rsid w:val="007902FB"/>
    <w:rsid w:val="007920AD"/>
    <w:rsid w:val="007937C7"/>
    <w:rsid w:val="00794272"/>
    <w:rsid w:val="007943DC"/>
    <w:rsid w:val="00794B0D"/>
    <w:rsid w:val="00795187"/>
    <w:rsid w:val="00795456"/>
    <w:rsid w:val="00796404"/>
    <w:rsid w:val="00796505"/>
    <w:rsid w:val="00797683"/>
    <w:rsid w:val="007A03EF"/>
    <w:rsid w:val="007A0C1B"/>
    <w:rsid w:val="007A3D43"/>
    <w:rsid w:val="007A40B9"/>
    <w:rsid w:val="007A5481"/>
    <w:rsid w:val="007A617C"/>
    <w:rsid w:val="007A78CB"/>
    <w:rsid w:val="007A7E02"/>
    <w:rsid w:val="007B05B0"/>
    <w:rsid w:val="007B2B19"/>
    <w:rsid w:val="007B2ECD"/>
    <w:rsid w:val="007B3111"/>
    <w:rsid w:val="007B3138"/>
    <w:rsid w:val="007B3D83"/>
    <w:rsid w:val="007B705A"/>
    <w:rsid w:val="007B7D7B"/>
    <w:rsid w:val="007C0BAC"/>
    <w:rsid w:val="007C1699"/>
    <w:rsid w:val="007C2833"/>
    <w:rsid w:val="007C3307"/>
    <w:rsid w:val="007C4887"/>
    <w:rsid w:val="007C55AC"/>
    <w:rsid w:val="007C763E"/>
    <w:rsid w:val="007C7946"/>
    <w:rsid w:val="007D02B9"/>
    <w:rsid w:val="007D1852"/>
    <w:rsid w:val="007D27A6"/>
    <w:rsid w:val="007D3CE7"/>
    <w:rsid w:val="007D4058"/>
    <w:rsid w:val="007D4600"/>
    <w:rsid w:val="007D5889"/>
    <w:rsid w:val="007D6087"/>
    <w:rsid w:val="007D6474"/>
    <w:rsid w:val="007E028F"/>
    <w:rsid w:val="007E0846"/>
    <w:rsid w:val="007E0A8D"/>
    <w:rsid w:val="007E0B07"/>
    <w:rsid w:val="007E1933"/>
    <w:rsid w:val="007E2FF9"/>
    <w:rsid w:val="007E3970"/>
    <w:rsid w:val="007E4A9E"/>
    <w:rsid w:val="007E4EC7"/>
    <w:rsid w:val="007E5836"/>
    <w:rsid w:val="007E5B85"/>
    <w:rsid w:val="007E7919"/>
    <w:rsid w:val="007F038C"/>
    <w:rsid w:val="007F0913"/>
    <w:rsid w:val="007F470A"/>
    <w:rsid w:val="00800D12"/>
    <w:rsid w:val="00800FFA"/>
    <w:rsid w:val="008037C5"/>
    <w:rsid w:val="00803AA0"/>
    <w:rsid w:val="00803AEB"/>
    <w:rsid w:val="00804300"/>
    <w:rsid w:val="00805042"/>
    <w:rsid w:val="008053B0"/>
    <w:rsid w:val="00805959"/>
    <w:rsid w:val="00806BD5"/>
    <w:rsid w:val="00810C1C"/>
    <w:rsid w:val="0081287E"/>
    <w:rsid w:val="00813570"/>
    <w:rsid w:val="008136DD"/>
    <w:rsid w:val="00813B78"/>
    <w:rsid w:val="0081613F"/>
    <w:rsid w:val="00816718"/>
    <w:rsid w:val="0082147D"/>
    <w:rsid w:val="0082163C"/>
    <w:rsid w:val="008229BD"/>
    <w:rsid w:val="00822ECB"/>
    <w:rsid w:val="00822FF1"/>
    <w:rsid w:val="00823091"/>
    <w:rsid w:val="008237A6"/>
    <w:rsid w:val="00823D96"/>
    <w:rsid w:val="00824E94"/>
    <w:rsid w:val="008267AA"/>
    <w:rsid w:val="00826970"/>
    <w:rsid w:val="008278E3"/>
    <w:rsid w:val="00830CCE"/>
    <w:rsid w:val="00832C30"/>
    <w:rsid w:val="00832D3B"/>
    <w:rsid w:val="00833B6B"/>
    <w:rsid w:val="0083493F"/>
    <w:rsid w:val="00835848"/>
    <w:rsid w:val="00835C68"/>
    <w:rsid w:val="008363F7"/>
    <w:rsid w:val="00840103"/>
    <w:rsid w:val="00840219"/>
    <w:rsid w:val="00841034"/>
    <w:rsid w:val="00841187"/>
    <w:rsid w:val="008419E9"/>
    <w:rsid w:val="00842AC9"/>
    <w:rsid w:val="00842EE5"/>
    <w:rsid w:val="00843C14"/>
    <w:rsid w:val="00844450"/>
    <w:rsid w:val="00844DAB"/>
    <w:rsid w:val="00846700"/>
    <w:rsid w:val="00846A8B"/>
    <w:rsid w:val="00847B53"/>
    <w:rsid w:val="008503DE"/>
    <w:rsid w:val="00850588"/>
    <w:rsid w:val="00850DC3"/>
    <w:rsid w:val="0085321D"/>
    <w:rsid w:val="00855847"/>
    <w:rsid w:val="00855C51"/>
    <w:rsid w:val="00856D41"/>
    <w:rsid w:val="00856E4D"/>
    <w:rsid w:val="00856ED8"/>
    <w:rsid w:val="0085797C"/>
    <w:rsid w:val="00860DE6"/>
    <w:rsid w:val="00863455"/>
    <w:rsid w:val="0086430C"/>
    <w:rsid w:val="00865C68"/>
    <w:rsid w:val="00866006"/>
    <w:rsid w:val="00866AAF"/>
    <w:rsid w:val="00866D94"/>
    <w:rsid w:val="008704C7"/>
    <w:rsid w:val="008704FB"/>
    <w:rsid w:val="00870FB6"/>
    <w:rsid w:val="008710C9"/>
    <w:rsid w:val="008723C1"/>
    <w:rsid w:val="008725CF"/>
    <w:rsid w:val="00872B99"/>
    <w:rsid w:val="00872CB7"/>
    <w:rsid w:val="00873334"/>
    <w:rsid w:val="0087399D"/>
    <w:rsid w:val="00876431"/>
    <w:rsid w:val="00876551"/>
    <w:rsid w:val="00877B3A"/>
    <w:rsid w:val="00877B50"/>
    <w:rsid w:val="008803E1"/>
    <w:rsid w:val="00880D88"/>
    <w:rsid w:val="008811F9"/>
    <w:rsid w:val="0088134C"/>
    <w:rsid w:val="008825E1"/>
    <w:rsid w:val="00882E14"/>
    <w:rsid w:val="00883122"/>
    <w:rsid w:val="00884A12"/>
    <w:rsid w:val="00887771"/>
    <w:rsid w:val="008879A0"/>
    <w:rsid w:val="00887C4C"/>
    <w:rsid w:val="0089089C"/>
    <w:rsid w:val="00890A20"/>
    <w:rsid w:val="0089170C"/>
    <w:rsid w:val="0089355C"/>
    <w:rsid w:val="00893CE2"/>
    <w:rsid w:val="0089449D"/>
    <w:rsid w:val="00894BD2"/>
    <w:rsid w:val="008952C0"/>
    <w:rsid w:val="00895354"/>
    <w:rsid w:val="00895BE7"/>
    <w:rsid w:val="00896230"/>
    <w:rsid w:val="00897F65"/>
    <w:rsid w:val="008A1401"/>
    <w:rsid w:val="008A14F9"/>
    <w:rsid w:val="008A2556"/>
    <w:rsid w:val="008A25BE"/>
    <w:rsid w:val="008A2A79"/>
    <w:rsid w:val="008A2B16"/>
    <w:rsid w:val="008A3A2B"/>
    <w:rsid w:val="008A524F"/>
    <w:rsid w:val="008A57F6"/>
    <w:rsid w:val="008A5C41"/>
    <w:rsid w:val="008A608D"/>
    <w:rsid w:val="008A6F0B"/>
    <w:rsid w:val="008B1BCF"/>
    <w:rsid w:val="008B1C70"/>
    <w:rsid w:val="008B4467"/>
    <w:rsid w:val="008B513C"/>
    <w:rsid w:val="008B5166"/>
    <w:rsid w:val="008B668B"/>
    <w:rsid w:val="008B6B2C"/>
    <w:rsid w:val="008B7378"/>
    <w:rsid w:val="008B783C"/>
    <w:rsid w:val="008B7A5A"/>
    <w:rsid w:val="008C1473"/>
    <w:rsid w:val="008C193C"/>
    <w:rsid w:val="008C1E60"/>
    <w:rsid w:val="008C2C0F"/>
    <w:rsid w:val="008C3ADF"/>
    <w:rsid w:val="008C42C1"/>
    <w:rsid w:val="008C649E"/>
    <w:rsid w:val="008C6BF9"/>
    <w:rsid w:val="008C79F1"/>
    <w:rsid w:val="008C7D32"/>
    <w:rsid w:val="008D105D"/>
    <w:rsid w:val="008D1CF8"/>
    <w:rsid w:val="008D29BA"/>
    <w:rsid w:val="008D362A"/>
    <w:rsid w:val="008D39FD"/>
    <w:rsid w:val="008D4A1E"/>
    <w:rsid w:val="008D50FA"/>
    <w:rsid w:val="008E0D68"/>
    <w:rsid w:val="008E4AEC"/>
    <w:rsid w:val="008E6C67"/>
    <w:rsid w:val="008F0BA6"/>
    <w:rsid w:val="008F1CC1"/>
    <w:rsid w:val="008F3D51"/>
    <w:rsid w:val="008F4349"/>
    <w:rsid w:val="008F5056"/>
    <w:rsid w:val="008F5400"/>
    <w:rsid w:val="00900D3C"/>
    <w:rsid w:val="00900E4A"/>
    <w:rsid w:val="0090148B"/>
    <w:rsid w:val="009016E2"/>
    <w:rsid w:val="00902CA0"/>
    <w:rsid w:val="009068A3"/>
    <w:rsid w:val="0090734E"/>
    <w:rsid w:val="009076C2"/>
    <w:rsid w:val="00907BEF"/>
    <w:rsid w:val="00910FAF"/>
    <w:rsid w:val="0091158D"/>
    <w:rsid w:val="009120E7"/>
    <w:rsid w:val="00912259"/>
    <w:rsid w:val="00914552"/>
    <w:rsid w:val="00914705"/>
    <w:rsid w:val="0091561A"/>
    <w:rsid w:val="00916B6B"/>
    <w:rsid w:val="009173A2"/>
    <w:rsid w:val="00920A57"/>
    <w:rsid w:val="0092128D"/>
    <w:rsid w:val="00921A51"/>
    <w:rsid w:val="0092302D"/>
    <w:rsid w:val="0092574F"/>
    <w:rsid w:val="00925B54"/>
    <w:rsid w:val="00925BDB"/>
    <w:rsid w:val="0092608B"/>
    <w:rsid w:val="009261D3"/>
    <w:rsid w:val="009266D6"/>
    <w:rsid w:val="00931A1D"/>
    <w:rsid w:val="00932231"/>
    <w:rsid w:val="009331E8"/>
    <w:rsid w:val="009341AA"/>
    <w:rsid w:val="00935253"/>
    <w:rsid w:val="0093737A"/>
    <w:rsid w:val="00937644"/>
    <w:rsid w:val="0094043D"/>
    <w:rsid w:val="00941486"/>
    <w:rsid w:val="0094303B"/>
    <w:rsid w:val="00943394"/>
    <w:rsid w:val="00944E20"/>
    <w:rsid w:val="009457FA"/>
    <w:rsid w:val="00946339"/>
    <w:rsid w:val="00946447"/>
    <w:rsid w:val="00946BAA"/>
    <w:rsid w:val="0094717E"/>
    <w:rsid w:val="00947E78"/>
    <w:rsid w:val="00952074"/>
    <w:rsid w:val="00954361"/>
    <w:rsid w:val="00954C70"/>
    <w:rsid w:val="0095520B"/>
    <w:rsid w:val="00956AE7"/>
    <w:rsid w:val="00957DE9"/>
    <w:rsid w:val="00957E76"/>
    <w:rsid w:val="009600AA"/>
    <w:rsid w:val="0096036C"/>
    <w:rsid w:val="00961EB9"/>
    <w:rsid w:val="00962692"/>
    <w:rsid w:val="00962716"/>
    <w:rsid w:val="00963614"/>
    <w:rsid w:val="00965025"/>
    <w:rsid w:val="009654E6"/>
    <w:rsid w:val="00965B57"/>
    <w:rsid w:val="0096678E"/>
    <w:rsid w:val="00967327"/>
    <w:rsid w:val="009705D4"/>
    <w:rsid w:val="00970873"/>
    <w:rsid w:val="009710D7"/>
    <w:rsid w:val="009719B8"/>
    <w:rsid w:val="00973B9D"/>
    <w:rsid w:val="00974195"/>
    <w:rsid w:val="009750E1"/>
    <w:rsid w:val="00976FD5"/>
    <w:rsid w:val="00977813"/>
    <w:rsid w:val="00977A0E"/>
    <w:rsid w:val="00977E77"/>
    <w:rsid w:val="00981475"/>
    <w:rsid w:val="00981BF4"/>
    <w:rsid w:val="0098357E"/>
    <w:rsid w:val="0098362F"/>
    <w:rsid w:val="00983932"/>
    <w:rsid w:val="009843EF"/>
    <w:rsid w:val="00984530"/>
    <w:rsid w:val="00984C8B"/>
    <w:rsid w:val="00985757"/>
    <w:rsid w:val="00990989"/>
    <w:rsid w:val="00993C92"/>
    <w:rsid w:val="0099547D"/>
    <w:rsid w:val="009A07F0"/>
    <w:rsid w:val="009A1BE6"/>
    <w:rsid w:val="009A267F"/>
    <w:rsid w:val="009A5411"/>
    <w:rsid w:val="009A54EB"/>
    <w:rsid w:val="009A613B"/>
    <w:rsid w:val="009A613C"/>
    <w:rsid w:val="009A63FF"/>
    <w:rsid w:val="009B06CB"/>
    <w:rsid w:val="009B3E92"/>
    <w:rsid w:val="009B400C"/>
    <w:rsid w:val="009B41D1"/>
    <w:rsid w:val="009B6423"/>
    <w:rsid w:val="009B766A"/>
    <w:rsid w:val="009B7BC6"/>
    <w:rsid w:val="009C027E"/>
    <w:rsid w:val="009C220F"/>
    <w:rsid w:val="009C2775"/>
    <w:rsid w:val="009C3B3B"/>
    <w:rsid w:val="009C6BDC"/>
    <w:rsid w:val="009C6DF8"/>
    <w:rsid w:val="009D0D8B"/>
    <w:rsid w:val="009D1D4A"/>
    <w:rsid w:val="009D2624"/>
    <w:rsid w:val="009D313D"/>
    <w:rsid w:val="009D5090"/>
    <w:rsid w:val="009D5981"/>
    <w:rsid w:val="009D5AE4"/>
    <w:rsid w:val="009D683D"/>
    <w:rsid w:val="009D7701"/>
    <w:rsid w:val="009D7E90"/>
    <w:rsid w:val="009E08D8"/>
    <w:rsid w:val="009E0DD1"/>
    <w:rsid w:val="009E274E"/>
    <w:rsid w:val="009E3AF2"/>
    <w:rsid w:val="009E3B28"/>
    <w:rsid w:val="009E43CE"/>
    <w:rsid w:val="009E48EB"/>
    <w:rsid w:val="009E4F98"/>
    <w:rsid w:val="009E7CCF"/>
    <w:rsid w:val="009F001D"/>
    <w:rsid w:val="009F076D"/>
    <w:rsid w:val="009F14A2"/>
    <w:rsid w:val="009F17AA"/>
    <w:rsid w:val="009F3AAE"/>
    <w:rsid w:val="009F3FFF"/>
    <w:rsid w:val="009F4711"/>
    <w:rsid w:val="009F4AF4"/>
    <w:rsid w:val="009F5251"/>
    <w:rsid w:val="009F55B6"/>
    <w:rsid w:val="009F68EF"/>
    <w:rsid w:val="009F79E4"/>
    <w:rsid w:val="00A0052D"/>
    <w:rsid w:val="00A00650"/>
    <w:rsid w:val="00A01017"/>
    <w:rsid w:val="00A016C0"/>
    <w:rsid w:val="00A020E0"/>
    <w:rsid w:val="00A04361"/>
    <w:rsid w:val="00A04473"/>
    <w:rsid w:val="00A04F40"/>
    <w:rsid w:val="00A06164"/>
    <w:rsid w:val="00A061F4"/>
    <w:rsid w:val="00A119A1"/>
    <w:rsid w:val="00A11DD7"/>
    <w:rsid w:val="00A1240C"/>
    <w:rsid w:val="00A14D67"/>
    <w:rsid w:val="00A14F2F"/>
    <w:rsid w:val="00A1576B"/>
    <w:rsid w:val="00A15941"/>
    <w:rsid w:val="00A1681C"/>
    <w:rsid w:val="00A16C1F"/>
    <w:rsid w:val="00A178CA"/>
    <w:rsid w:val="00A20AC2"/>
    <w:rsid w:val="00A221E2"/>
    <w:rsid w:val="00A22E3F"/>
    <w:rsid w:val="00A2357B"/>
    <w:rsid w:val="00A24344"/>
    <w:rsid w:val="00A24360"/>
    <w:rsid w:val="00A244FF"/>
    <w:rsid w:val="00A267A3"/>
    <w:rsid w:val="00A27297"/>
    <w:rsid w:val="00A2785D"/>
    <w:rsid w:val="00A32AB7"/>
    <w:rsid w:val="00A34278"/>
    <w:rsid w:val="00A35D1D"/>
    <w:rsid w:val="00A35ED8"/>
    <w:rsid w:val="00A3659C"/>
    <w:rsid w:val="00A365B0"/>
    <w:rsid w:val="00A40E23"/>
    <w:rsid w:val="00A42BAA"/>
    <w:rsid w:val="00A43222"/>
    <w:rsid w:val="00A44354"/>
    <w:rsid w:val="00A44FBA"/>
    <w:rsid w:val="00A46090"/>
    <w:rsid w:val="00A46EBC"/>
    <w:rsid w:val="00A47EC6"/>
    <w:rsid w:val="00A50862"/>
    <w:rsid w:val="00A520DB"/>
    <w:rsid w:val="00A53401"/>
    <w:rsid w:val="00A53939"/>
    <w:rsid w:val="00A546C3"/>
    <w:rsid w:val="00A54C87"/>
    <w:rsid w:val="00A55AA0"/>
    <w:rsid w:val="00A563D7"/>
    <w:rsid w:val="00A57320"/>
    <w:rsid w:val="00A579B7"/>
    <w:rsid w:val="00A61180"/>
    <w:rsid w:val="00A619EA"/>
    <w:rsid w:val="00A63666"/>
    <w:rsid w:val="00A71D8F"/>
    <w:rsid w:val="00A72929"/>
    <w:rsid w:val="00A72F37"/>
    <w:rsid w:val="00A736F1"/>
    <w:rsid w:val="00A74624"/>
    <w:rsid w:val="00A7471F"/>
    <w:rsid w:val="00A75751"/>
    <w:rsid w:val="00A76C31"/>
    <w:rsid w:val="00A7731D"/>
    <w:rsid w:val="00A77D96"/>
    <w:rsid w:val="00A808D4"/>
    <w:rsid w:val="00A80C72"/>
    <w:rsid w:val="00A81534"/>
    <w:rsid w:val="00A819AA"/>
    <w:rsid w:val="00A83185"/>
    <w:rsid w:val="00A84E37"/>
    <w:rsid w:val="00A86487"/>
    <w:rsid w:val="00A87268"/>
    <w:rsid w:val="00A87687"/>
    <w:rsid w:val="00A90B39"/>
    <w:rsid w:val="00A90D97"/>
    <w:rsid w:val="00A9193C"/>
    <w:rsid w:val="00A91B77"/>
    <w:rsid w:val="00A92A2C"/>
    <w:rsid w:val="00A94A0D"/>
    <w:rsid w:val="00A9516B"/>
    <w:rsid w:val="00A954BE"/>
    <w:rsid w:val="00A96B60"/>
    <w:rsid w:val="00A97894"/>
    <w:rsid w:val="00AA1A6D"/>
    <w:rsid w:val="00AA2A8E"/>
    <w:rsid w:val="00AA3DBC"/>
    <w:rsid w:val="00AA3EAD"/>
    <w:rsid w:val="00AA4B09"/>
    <w:rsid w:val="00AB02B7"/>
    <w:rsid w:val="00AB0675"/>
    <w:rsid w:val="00AB22DA"/>
    <w:rsid w:val="00AB38CF"/>
    <w:rsid w:val="00AB38F3"/>
    <w:rsid w:val="00AB4044"/>
    <w:rsid w:val="00AB4C57"/>
    <w:rsid w:val="00AB5360"/>
    <w:rsid w:val="00AB5486"/>
    <w:rsid w:val="00AB7398"/>
    <w:rsid w:val="00AB7626"/>
    <w:rsid w:val="00AC119F"/>
    <w:rsid w:val="00AC1B2F"/>
    <w:rsid w:val="00AC2354"/>
    <w:rsid w:val="00AC2AEC"/>
    <w:rsid w:val="00AC2DBC"/>
    <w:rsid w:val="00AC4590"/>
    <w:rsid w:val="00AC46DF"/>
    <w:rsid w:val="00AC6154"/>
    <w:rsid w:val="00AD6E47"/>
    <w:rsid w:val="00AE41A8"/>
    <w:rsid w:val="00AE4CDF"/>
    <w:rsid w:val="00AE5BE8"/>
    <w:rsid w:val="00AE6B00"/>
    <w:rsid w:val="00AE6B9C"/>
    <w:rsid w:val="00AE7F46"/>
    <w:rsid w:val="00AF0564"/>
    <w:rsid w:val="00AF0C34"/>
    <w:rsid w:val="00AF4E4B"/>
    <w:rsid w:val="00AF6249"/>
    <w:rsid w:val="00AF63C9"/>
    <w:rsid w:val="00AF6702"/>
    <w:rsid w:val="00B00262"/>
    <w:rsid w:val="00B01ADF"/>
    <w:rsid w:val="00B02833"/>
    <w:rsid w:val="00B03631"/>
    <w:rsid w:val="00B05251"/>
    <w:rsid w:val="00B05636"/>
    <w:rsid w:val="00B056EE"/>
    <w:rsid w:val="00B06CAD"/>
    <w:rsid w:val="00B06DF6"/>
    <w:rsid w:val="00B06E22"/>
    <w:rsid w:val="00B10CC4"/>
    <w:rsid w:val="00B11ADE"/>
    <w:rsid w:val="00B122D5"/>
    <w:rsid w:val="00B1358F"/>
    <w:rsid w:val="00B14131"/>
    <w:rsid w:val="00B146EB"/>
    <w:rsid w:val="00B14AB1"/>
    <w:rsid w:val="00B157F6"/>
    <w:rsid w:val="00B16776"/>
    <w:rsid w:val="00B16A0D"/>
    <w:rsid w:val="00B21583"/>
    <w:rsid w:val="00B218EB"/>
    <w:rsid w:val="00B21CF9"/>
    <w:rsid w:val="00B21F8F"/>
    <w:rsid w:val="00B22673"/>
    <w:rsid w:val="00B2267F"/>
    <w:rsid w:val="00B23D32"/>
    <w:rsid w:val="00B23FC7"/>
    <w:rsid w:val="00B24AF3"/>
    <w:rsid w:val="00B24BDD"/>
    <w:rsid w:val="00B24D9A"/>
    <w:rsid w:val="00B25120"/>
    <w:rsid w:val="00B256DE"/>
    <w:rsid w:val="00B26081"/>
    <w:rsid w:val="00B2785E"/>
    <w:rsid w:val="00B31254"/>
    <w:rsid w:val="00B3189E"/>
    <w:rsid w:val="00B32113"/>
    <w:rsid w:val="00B331F1"/>
    <w:rsid w:val="00B3338E"/>
    <w:rsid w:val="00B334A6"/>
    <w:rsid w:val="00B33ABC"/>
    <w:rsid w:val="00B34238"/>
    <w:rsid w:val="00B34243"/>
    <w:rsid w:val="00B34441"/>
    <w:rsid w:val="00B37A7F"/>
    <w:rsid w:val="00B37C0B"/>
    <w:rsid w:val="00B37F06"/>
    <w:rsid w:val="00B40D9B"/>
    <w:rsid w:val="00B4127D"/>
    <w:rsid w:val="00B428AF"/>
    <w:rsid w:val="00B429B7"/>
    <w:rsid w:val="00B42AC8"/>
    <w:rsid w:val="00B42B28"/>
    <w:rsid w:val="00B44201"/>
    <w:rsid w:val="00B45233"/>
    <w:rsid w:val="00B4529D"/>
    <w:rsid w:val="00B453DA"/>
    <w:rsid w:val="00B5148B"/>
    <w:rsid w:val="00B51700"/>
    <w:rsid w:val="00B51A55"/>
    <w:rsid w:val="00B51DD4"/>
    <w:rsid w:val="00B55E9F"/>
    <w:rsid w:val="00B60D3A"/>
    <w:rsid w:val="00B615A7"/>
    <w:rsid w:val="00B6165A"/>
    <w:rsid w:val="00B635B8"/>
    <w:rsid w:val="00B63F37"/>
    <w:rsid w:val="00B64647"/>
    <w:rsid w:val="00B64B4C"/>
    <w:rsid w:val="00B701E0"/>
    <w:rsid w:val="00B70AE9"/>
    <w:rsid w:val="00B72C9C"/>
    <w:rsid w:val="00B73ACA"/>
    <w:rsid w:val="00B73CFB"/>
    <w:rsid w:val="00B74617"/>
    <w:rsid w:val="00B74D5A"/>
    <w:rsid w:val="00B77F0B"/>
    <w:rsid w:val="00B81014"/>
    <w:rsid w:val="00B812C4"/>
    <w:rsid w:val="00B81CAD"/>
    <w:rsid w:val="00B82092"/>
    <w:rsid w:val="00B8276A"/>
    <w:rsid w:val="00B82E7F"/>
    <w:rsid w:val="00B84A86"/>
    <w:rsid w:val="00B87EAB"/>
    <w:rsid w:val="00B90F23"/>
    <w:rsid w:val="00B91416"/>
    <w:rsid w:val="00B91874"/>
    <w:rsid w:val="00B94506"/>
    <w:rsid w:val="00B94EA1"/>
    <w:rsid w:val="00B95071"/>
    <w:rsid w:val="00B953E7"/>
    <w:rsid w:val="00B97174"/>
    <w:rsid w:val="00B97D80"/>
    <w:rsid w:val="00BA13FA"/>
    <w:rsid w:val="00BA1CE3"/>
    <w:rsid w:val="00BA1D2A"/>
    <w:rsid w:val="00BA2863"/>
    <w:rsid w:val="00BA3262"/>
    <w:rsid w:val="00BA348E"/>
    <w:rsid w:val="00BA39C5"/>
    <w:rsid w:val="00BA40CE"/>
    <w:rsid w:val="00BA489E"/>
    <w:rsid w:val="00BA5397"/>
    <w:rsid w:val="00BA75FA"/>
    <w:rsid w:val="00BB055A"/>
    <w:rsid w:val="00BB0F64"/>
    <w:rsid w:val="00BB2114"/>
    <w:rsid w:val="00BB294D"/>
    <w:rsid w:val="00BB315E"/>
    <w:rsid w:val="00BB3FEF"/>
    <w:rsid w:val="00BB43F8"/>
    <w:rsid w:val="00BB4868"/>
    <w:rsid w:val="00BB490B"/>
    <w:rsid w:val="00BB4D16"/>
    <w:rsid w:val="00BB54B9"/>
    <w:rsid w:val="00BB563D"/>
    <w:rsid w:val="00BB68A1"/>
    <w:rsid w:val="00BB79DF"/>
    <w:rsid w:val="00BB79EE"/>
    <w:rsid w:val="00BB7D9E"/>
    <w:rsid w:val="00BB7F05"/>
    <w:rsid w:val="00BB7F86"/>
    <w:rsid w:val="00BC08C8"/>
    <w:rsid w:val="00BC0C90"/>
    <w:rsid w:val="00BC4139"/>
    <w:rsid w:val="00BC4F3C"/>
    <w:rsid w:val="00BC5572"/>
    <w:rsid w:val="00BC5CF1"/>
    <w:rsid w:val="00BC6BCD"/>
    <w:rsid w:val="00BC6CFB"/>
    <w:rsid w:val="00BC751A"/>
    <w:rsid w:val="00BC7EC3"/>
    <w:rsid w:val="00BD069B"/>
    <w:rsid w:val="00BD154D"/>
    <w:rsid w:val="00BD15AC"/>
    <w:rsid w:val="00BD1657"/>
    <w:rsid w:val="00BD1921"/>
    <w:rsid w:val="00BD1B18"/>
    <w:rsid w:val="00BD1F7F"/>
    <w:rsid w:val="00BD45AF"/>
    <w:rsid w:val="00BD616C"/>
    <w:rsid w:val="00BD67E5"/>
    <w:rsid w:val="00BD7BE2"/>
    <w:rsid w:val="00BD7D64"/>
    <w:rsid w:val="00BE0A2F"/>
    <w:rsid w:val="00BE1DD5"/>
    <w:rsid w:val="00BE2952"/>
    <w:rsid w:val="00BE2D8B"/>
    <w:rsid w:val="00BE57B9"/>
    <w:rsid w:val="00BE65FD"/>
    <w:rsid w:val="00BE7632"/>
    <w:rsid w:val="00BF0C72"/>
    <w:rsid w:val="00BF1733"/>
    <w:rsid w:val="00BF31B8"/>
    <w:rsid w:val="00BF33EC"/>
    <w:rsid w:val="00BF4444"/>
    <w:rsid w:val="00BF4721"/>
    <w:rsid w:val="00BF4875"/>
    <w:rsid w:val="00BF4D83"/>
    <w:rsid w:val="00BF5295"/>
    <w:rsid w:val="00BF5461"/>
    <w:rsid w:val="00BF599C"/>
    <w:rsid w:val="00BF62C5"/>
    <w:rsid w:val="00BF6F8D"/>
    <w:rsid w:val="00C009D8"/>
    <w:rsid w:val="00C00FB6"/>
    <w:rsid w:val="00C01956"/>
    <w:rsid w:val="00C01CC2"/>
    <w:rsid w:val="00C038BC"/>
    <w:rsid w:val="00C039C6"/>
    <w:rsid w:val="00C03B40"/>
    <w:rsid w:val="00C0428B"/>
    <w:rsid w:val="00C0472C"/>
    <w:rsid w:val="00C049F8"/>
    <w:rsid w:val="00C05049"/>
    <w:rsid w:val="00C05C20"/>
    <w:rsid w:val="00C07176"/>
    <w:rsid w:val="00C076A2"/>
    <w:rsid w:val="00C1017A"/>
    <w:rsid w:val="00C10349"/>
    <w:rsid w:val="00C10FEE"/>
    <w:rsid w:val="00C12FAA"/>
    <w:rsid w:val="00C134AE"/>
    <w:rsid w:val="00C16207"/>
    <w:rsid w:val="00C16D62"/>
    <w:rsid w:val="00C17DBD"/>
    <w:rsid w:val="00C217A4"/>
    <w:rsid w:val="00C219E7"/>
    <w:rsid w:val="00C22100"/>
    <w:rsid w:val="00C22B84"/>
    <w:rsid w:val="00C24284"/>
    <w:rsid w:val="00C24B12"/>
    <w:rsid w:val="00C254CE"/>
    <w:rsid w:val="00C30D0B"/>
    <w:rsid w:val="00C3170D"/>
    <w:rsid w:val="00C33954"/>
    <w:rsid w:val="00C35D81"/>
    <w:rsid w:val="00C36928"/>
    <w:rsid w:val="00C36D83"/>
    <w:rsid w:val="00C3756D"/>
    <w:rsid w:val="00C40F0B"/>
    <w:rsid w:val="00C412C8"/>
    <w:rsid w:val="00C42C1C"/>
    <w:rsid w:val="00C42C84"/>
    <w:rsid w:val="00C42F75"/>
    <w:rsid w:val="00C43AA7"/>
    <w:rsid w:val="00C460FC"/>
    <w:rsid w:val="00C47201"/>
    <w:rsid w:val="00C47617"/>
    <w:rsid w:val="00C50734"/>
    <w:rsid w:val="00C50F60"/>
    <w:rsid w:val="00C51D62"/>
    <w:rsid w:val="00C52D06"/>
    <w:rsid w:val="00C5379E"/>
    <w:rsid w:val="00C55A17"/>
    <w:rsid w:val="00C576BE"/>
    <w:rsid w:val="00C60094"/>
    <w:rsid w:val="00C62756"/>
    <w:rsid w:val="00C64C89"/>
    <w:rsid w:val="00C673E6"/>
    <w:rsid w:val="00C71DC3"/>
    <w:rsid w:val="00C7296B"/>
    <w:rsid w:val="00C73BF6"/>
    <w:rsid w:val="00C745CC"/>
    <w:rsid w:val="00C75047"/>
    <w:rsid w:val="00C752D3"/>
    <w:rsid w:val="00C758DB"/>
    <w:rsid w:val="00C76330"/>
    <w:rsid w:val="00C76C59"/>
    <w:rsid w:val="00C7778E"/>
    <w:rsid w:val="00C77D2F"/>
    <w:rsid w:val="00C80407"/>
    <w:rsid w:val="00C80428"/>
    <w:rsid w:val="00C81384"/>
    <w:rsid w:val="00C81675"/>
    <w:rsid w:val="00C819BC"/>
    <w:rsid w:val="00C81E01"/>
    <w:rsid w:val="00C8292D"/>
    <w:rsid w:val="00C838E0"/>
    <w:rsid w:val="00C83AD7"/>
    <w:rsid w:val="00C83BCE"/>
    <w:rsid w:val="00C844FF"/>
    <w:rsid w:val="00C876B6"/>
    <w:rsid w:val="00C8779B"/>
    <w:rsid w:val="00C918A0"/>
    <w:rsid w:val="00C9317A"/>
    <w:rsid w:val="00C93A24"/>
    <w:rsid w:val="00C9545C"/>
    <w:rsid w:val="00C96165"/>
    <w:rsid w:val="00C96B0B"/>
    <w:rsid w:val="00C96B1C"/>
    <w:rsid w:val="00CA0531"/>
    <w:rsid w:val="00CA297A"/>
    <w:rsid w:val="00CA3ED2"/>
    <w:rsid w:val="00CA5749"/>
    <w:rsid w:val="00CA6356"/>
    <w:rsid w:val="00CA648C"/>
    <w:rsid w:val="00CA6565"/>
    <w:rsid w:val="00CA6589"/>
    <w:rsid w:val="00CA7712"/>
    <w:rsid w:val="00CA7DCC"/>
    <w:rsid w:val="00CA7EF7"/>
    <w:rsid w:val="00CB0DB0"/>
    <w:rsid w:val="00CB2D18"/>
    <w:rsid w:val="00CB3F6D"/>
    <w:rsid w:val="00CB4EB1"/>
    <w:rsid w:val="00CB4F17"/>
    <w:rsid w:val="00CB622C"/>
    <w:rsid w:val="00CB6700"/>
    <w:rsid w:val="00CB68C2"/>
    <w:rsid w:val="00CB76A5"/>
    <w:rsid w:val="00CC0713"/>
    <w:rsid w:val="00CC2659"/>
    <w:rsid w:val="00CC2BC2"/>
    <w:rsid w:val="00CC2F8E"/>
    <w:rsid w:val="00CC31FF"/>
    <w:rsid w:val="00CC3DE1"/>
    <w:rsid w:val="00CC3E51"/>
    <w:rsid w:val="00CC458A"/>
    <w:rsid w:val="00CC4FC6"/>
    <w:rsid w:val="00CC55C6"/>
    <w:rsid w:val="00CC5636"/>
    <w:rsid w:val="00CC5EB6"/>
    <w:rsid w:val="00CC71F0"/>
    <w:rsid w:val="00CC73A5"/>
    <w:rsid w:val="00CC7832"/>
    <w:rsid w:val="00CC79B8"/>
    <w:rsid w:val="00CD2091"/>
    <w:rsid w:val="00CD2FE3"/>
    <w:rsid w:val="00CD43DB"/>
    <w:rsid w:val="00CD51FA"/>
    <w:rsid w:val="00CD5572"/>
    <w:rsid w:val="00CD7787"/>
    <w:rsid w:val="00CE002B"/>
    <w:rsid w:val="00CE2357"/>
    <w:rsid w:val="00CE2E44"/>
    <w:rsid w:val="00CE4A95"/>
    <w:rsid w:val="00CE7012"/>
    <w:rsid w:val="00CE75BC"/>
    <w:rsid w:val="00CF01D6"/>
    <w:rsid w:val="00CF17AC"/>
    <w:rsid w:val="00CF1C0D"/>
    <w:rsid w:val="00CF5CC0"/>
    <w:rsid w:val="00CF5F74"/>
    <w:rsid w:val="00CF64A8"/>
    <w:rsid w:val="00CF6D26"/>
    <w:rsid w:val="00D007C4"/>
    <w:rsid w:val="00D00A13"/>
    <w:rsid w:val="00D00ECD"/>
    <w:rsid w:val="00D017EA"/>
    <w:rsid w:val="00D032D3"/>
    <w:rsid w:val="00D041FA"/>
    <w:rsid w:val="00D05B01"/>
    <w:rsid w:val="00D05E01"/>
    <w:rsid w:val="00D06D04"/>
    <w:rsid w:val="00D108DA"/>
    <w:rsid w:val="00D11D26"/>
    <w:rsid w:val="00D12900"/>
    <w:rsid w:val="00D1308F"/>
    <w:rsid w:val="00D133CF"/>
    <w:rsid w:val="00D1340A"/>
    <w:rsid w:val="00D13C9C"/>
    <w:rsid w:val="00D13F71"/>
    <w:rsid w:val="00D1622A"/>
    <w:rsid w:val="00D172B4"/>
    <w:rsid w:val="00D200A4"/>
    <w:rsid w:val="00D211AA"/>
    <w:rsid w:val="00D25387"/>
    <w:rsid w:val="00D2547A"/>
    <w:rsid w:val="00D25F3E"/>
    <w:rsid w:val="00D260D0"/>
    <w:rsid w:val="00D26E4E"/>
    <w:rsid w:val="00D27271"/>
    <w:rsid w:val="00D34921"/>
    <w:rsid w:val="00D352E5"/>
    <w:rsid w:val="00D3722E"/>
    <w:rsid w:val="00D37C06"/>
    <w:rsid w:val="00D405AB"/>
    <w:rsid w:val="00D41E4A"/>
    <w:rsid w:val="00D42FE9"/>
    <w:rsid w:val="00D442A0"/>
    <w:rsid w:val="00D4486B"/>
    <w:rsid w:val="00D44C40"/>
    <w:rsid w:val="00D4525E"/>
    <w:rsid w:val="00D45762"/>
    <w:rsid w:val="00D465CC"/>
    <w:rsid w:val="00D46F47"/>
    <w:rsid w:val="00D47998"/>
    <w:rsid w:val="00D47A6E"/>
    <w:rsid w:val="00D5006C"/>
    <w:rsid w:val="00D50457"/>
    <w:rsid w:val="00D511F4"/>
    <w:rsid w:val="00D51A5E"/>
    <w:rsid w:val="00D52B35"/>
    <w:rsid w:val="00D5303A"/>
    <w:rsid w:val="00D53270"/>
    <w:rsid w:val="00D53699"/>
    <w:rsid w:val="00D53DDB"/>
    <w:rsid w:val="00D567B6"/>
    <w:rsid w:val="00D568F8"/>
    <w:rsid w:val="00D56B39"/>
    <w:rsid w:val="00D63BA4"/>
    <w:rsid w:val="00D63CFC"/>
    <w:rsid w:val="00D64AF0"/>
    <w:rsid w:val="00D655F9"/>
    <w:rsid w:val="00D665EC"/>
    <w:rsid w:val="00D66BA3"/>
    <w:rsid w:val="00D67DC3"/>
    <w:rsid w:val="00D703F6"/>
    <w:rsid w:val="00D70EEF"/>
    <w:rsid w:val="00D71E46"/>
    <w:rsid w:val="00D7276D"/>
    <w:rsid w:val="00D72D4E"/>
    <w:rsid w:val="00D76B89"/>
    <w:rsid w:val="00D76C8D"/>
    <w:rsid w:val="00D7705E"/>
    <w:rsid w:val="00D77806"/>
    <w:rsid w:val="00D77F17"/>
    <w:rsid w:val="00D80077"/>
    <w:rsid w:val="00D8035E"/>
    <w:rsid w:val="00D80473"/>
    <w:rsid w:val="00D80744"/>
    <w:rsid w:val="00D807DF"/>
    <w:rsid w:val="00D80A0A"/>
    <w:rsid w:val="00D815EE"/>
    <w:rsid w:val="00D82AF0"/>
    <w:rsid w:val="00D83D7B"/>
    <w:rsid w:val="00D84FE9"/>
    <w:rsid w:val="00D86AD3"/>
    <w:rsid w:val="00D901D7"/>
    <w:rsid w:val="00D91650"/>
    <w:rsid w:val="00D92211"/>
    <w:rsid w:val="00D92254"/>
    <w:rsid w:val="00D92E7C"/>
    <w:rsid w:val="00D9339C"/>
    <w:rsid w:val="00D94275"/>
    <w:rsid w:val="00D965FD"/>
    <w:rsid w:val="00D97580"/>
    <w:rsid w:val="00D9781A"/>
    <w:rsid w:val="00DA29D7"/>
    <w:rsid w:val="00DA3AF5"/>
    <w:rsid w:val="00DA4263"/>
    <w:rsid w:val="00DA671B"/>
    <w:rsid w:val="00DB08E1"/>
    <w:rsid w:val="00DB094E"/>
    <w:rsid w:val="00DB0AEE"/>
    <w:rsid w:val="00DB14D5"/>
    <w:rsid w:val="00DB14DF"/>
    <w:rsid w:val="00DB18B9"/>
    <w:rsid w:val="00DB191E"/>
    <w:rsid w:val="00DB1B11"/>
    <w:rsid w:val="00DB1E62"/>
    <w:rsid w:val="00DB304D"/>
    <w:rsid w:val="00DB3727"/>
    <w:rsid w:val="00DB49FF"/>
    <w:rsid w:val="00DC1118"/>
    <w:rsid w:val="00DC1419"/>
    <w:rsid w:val="00DC25CC"/>
    <w:rsid w:val="00DC5422"/>
    <w:rsid w:val="00DC6BB2"/>
    <w:rsid w:val="00DC6DA4"/>
    <w:rsid w:val="00DD08A9"/>
    <w:rsid w:val="00DD18F1"/>
    <w:rsid w:val="00DD2587"/>
    <w:rsid w:val="00DD3053"/>
    <w:rsid w:val="00DD4A18"/>
    <w:rsid w:val="00DD4F37"/>
    <w:rsid w:val="00DD5E8D"/>
    <w:rsid w:val="00DD6D93"/>
    <w:rsid w:val="00DE099E"/>
    <w:rsid w:val="00DE0DE9"/>
    <w:rsid w:val="00DE1836"/>
    <w:rsid w:val="00DE2000"/>
    <w:rsid w:val="00DE282F"/>
    <w:rsid w:val="00DE2F75"/>
    <w:rsid w:val="00DE4927"/>
    <w:rsid w:val="00DE556A"/>
    <w:rsid w:val="00DE6CE4"/>
    <w:rsid w:val="00DE6EA2"/>
    <w:rsid w:val="00DE7084"/>
    <w:rsid w:val="00DE76D2"/>
    <w:rsid w:val="00DE7FF4"/>
    <w:rsid w:val="00DF0F91"/>
    <w:rsid w:val="00DF250F"/>
    <w:rsid w:val="00DF32B5"/>
    <w:rsid w:val="00DF407F"/>
    <w:rsid w:val="00DF5721"/>
    <w:rsid w:val="00DF6922"/>
    <w:rsid w:val="00DF6E03"/>
    <w:rsid w:val="00DF70EB"/>
    <w:rsid w:val="00DF75E5"/>
    <w:rsid w:val="00E01A4D"/>
    <w:rsid w:val="00E02019"/>
    <w:rsid w:val="00E0393C"/>
    <w:rsid w:val="00E045F1"/>
    <w:rsid w:val="00E05605"/>
    <w:rsid w:val="00E05FA3"/>
    <w:rsid w:val="00E062EE"/>
    <w:rsid w:val="00E0645D"/>
    <w:rsid w:val="00E0656B"/>
    <w:rsid w:val="00E07DBE"/>
    <w:rsid w:val="00E1028E"/>
    <w:rsid w:val="00E12045"/>
    <w:rsid w:val="00E1348F"/>
    <w:rsid w:val="00E14041"/>
    <w:rsid w:val="00E14F63"/>
    <w:rsid w:val="00E1514B"/>
    <w:rsid w:val="00E16448"/>
    <w:rsid w:val="00E17861"/>
    <w:rsid w:val="00E20696"/>
    <w:rsid w:val="00E21522"/>
    <w:rsid w:val="00E24B2B"/>
    <w:rsid w:val="00E24EB4"/>
    <w:rsid w:val="00E256AB"/>
    <w:rsid w:val="00E25ABD"/>
    <w:rsid w:val="00E26885"/>
    <w:rsid w:val="00E27648"/>
    <w:rsid w:val="00E276CE"/>
    <w:rsid w:val="00E300F1"/>
    <w:rsid w:val="00E33E40"/>
    <w:rsid w:val="00E343A7"/>
    <w:rsid w:val="00E347E2"/>
    <w:rsid w:val="00E37562"/>
    <w:rsid w:val="00E37954"/>
    <w:rsid w:val="00E41DF7"/>
    <w:rsid w:val="00E425F0"/>
    <w:rsid w:val="00E4378E"/>
    <w:rsid w:val="00E43C09"/>
    <w:rsid w:val="00E44EA0"/>
    <w:rsid w:val="00E456C9"/>
    <w:rsid w:val="00E45B56"/>
    <w:rsid w:val="00E461CE"/>
    <w:rsid w:val="00E46D92"/>
    <w:rsid w:val="00E5047F"/>
    <w:rsid w:val="00E50802"/>
    <w:rsid w:val="00E51623"/>
    <w:rsid w:val="00E51866"/>
    <w:rsid w:val="00E521E8"/>
    <w:rsid w:val="00E52248"/>
    <w:rsid w:val="00E52886"/>
    <w:rsid w:val="00E5419C"/>
    <w:rsid w:val="00E548AC"/>
    <w:rsid w:val="00E549ED"/>
    <w:rsid w:val="00E55D3C"/>
    <w:rsid w:val="00E56E49"/>
    <w:rsid w:val="00E5758A"/>
    <w:rsid w:val="00E6047A"/>
    <w:rsid w:val="00E604FC"/>
    <w:rsid w:val="00E6189E"/>
    <w:rsid w:val="00E61ED1"/>
    <w:rsid w:val="00E65A81"/>
    <w:rsid w:val="00E6672F"/>
    <w:rsid w:val="00E66D65"/>
    <w:rsid w:val="00E715F5"/>
    <w:rsid w:val="00E7186C"/>
    <w:rsid w:val="00E74917"/>
    <w:rsid w:val="00E74988"/>
    <w:rsid w:val="00E75722"/>
    <w:rsid w:val="00E75AC0"/>
    <w:rsid w:val="00E75C22"/>
    <w:rsid w:val="00E7683E"/>
    <w:rsid w:val="00E7706B"/>
    <w:rsid w:val="00E77730"/>
    <w:rsid w:val="00E77F14"/>
    <w:rsid w:val="00E80254"/>
    <w:rsid w:val="00E810F4"/>
    <w:rsid w:val="00E8278C"/>
    <w:rsid w:val="00E8285E"/>
    <w:rsid w:val="00E83662"/>
    <w:rsid w:val="00E84B29"/>
    <w:rsid w:val="00E85098"/>
    <w:rsid w:val="00E87368"/>
    <w:rsid w:val="00E877B9"/>
    <w:rsid w:val="00E87EFF"/>
    <w:rsid w:val="00E90319"/>
    <w:rsid w:val="00E90BA9"/>
    <w:rsid w:val="00E90D43"/>
    <w:rsid w:val="00E92229"/>
    <w:rsid w:val="00E92367"/>
    <w:rsid w:val="00E9695E"/>
    <w:rsid w:val="00E9772E"/>
    <w:rsid w:val="00E977C2"/>
    <w:rsid w:val="00E97B0F"/>
    <w:rsid w:val="00E97C8C"/>
    <w:rsid w:val="00EA05B7"/>
    <w:rsid w:val="00EA0755"/>
    <w:rsid w:val="00EA0778"/>
    <w:rsid w:val="00EA0C29"/>
    <w:rsid w:val="00EA0D20"/>
    <w:rsid w:val="00EA1912"/>
    <w:rsid w:val="00EA1D9E"/>
    <w:rsid w:val="00EA266B"/>
    <w:rsid w:val="00EA2B89"/>
    <w:rsid w:val="00EA2F23"/>
    <w:rsid w:val="00EA4082"/>
    <w:rsid w:val="00EA4FA6"/>
    <w:rsid w:val="00EA50A0"/>
    <w:rsid w:val="00EA5656"/>
    <w:rsid w:val="00EA5A27"/>
    <w:rsid w:val="00EA6062"/>
    <w:rsid w:val="00EA66C4"/>
    <w:rsid w:val="00EB02A2"/>
    <w:rsid w:val="00EB04E8"/>
    <w:rsid w:val="00EB0FEB"/>
    <w:rsid w:val="00EB2CE5"/>
    <w:rsid w:val="00EB30C3"/>
    <w:rsid w:val="00EB4C8A"/>
    <w:rsid w:val="00EB4DD3"/>
    <w:rsid w:val="00EB78E2"/>
    <w:rsid w:val="00EB7AD3"/>
    <w:rsid w:val="00EC001B"/>
    <w:rsid w:val="00EC0200"/>
    <w:rsid w:val="00EC0393"/>
    <w:rsid w:val="00EC03CA"/>
    <w:rsid w:val="00EC1717"/>
    <w:rsid w:val="00EC3E46"/>
    <w:rsid w:val="00EC4F34"/>
    <w:rsid w:val="00EC5E3E"/>
    <w:rsid w:val="00EC684D"/>
    <w:rsid w:val="00EC74F4"/>
    <w:rsid w:val="00ED36C5"/>
    <w:rsid w:val="00ED5882"/>
    <w:rsid w:val="00ED5DF2"/>
    <w:rsid w:val="00ED6119"/>
    <w:rsid w:val="00ED67E2"/>
    <w:rsid w:val="00EE0137"/>
    <w:rsid w:val="00EE0A97"/>
    <w:rsid w:val="00EE1823"/>
    <w:rsid w:val="00EE19F9"/>
    <w:rsid w:val="00EE28F7"/>
    <w:rsid w:val="00EE335B"/>
    <w:rsid w:val="00EE3418"/>
    <w:rsid w:val="00EE3A5A"/>
    <w:rsid w:val="00EE546E"/>
    <w:rsid w:val="00EE6A64"/>
    <w:rsid w:val="00EE6FD1"/>
    <w:rsid w:val="00EE75A1"/>
    <w:rsid w:val="00EE78FA"/>
    <w:rsid w:val="00EE7B21"/>
    <w:rsid w:val="00EF19B1"/>
    <w:rsid w:val="00EF3D74"/>
    <w:rsid w:val="00EF4CF7"/>
    <w:rsid w:val="00EF4D6D"/>
    <w:rsid w:val="00EF593D"/>
    <w:rsid w:val="00EF6899"/>
    <w:rsid w:val="00EF79F0"/>
    <w:rsid w:val="00EF7DA1"/>
    <w:rsid w:val="00F005EA"/>
    <w:rsid w:val="00F024B3"/>
    <w:rsid w:val="00F03075"/>
    <w:rsid w:val="00F03144"/>
    <w:rsid w:val="00F044AE"/>
    <w:rsid w:val="00F05052"/>
    <w:rsid w:val="00F07AD8"/>
    <w:rsid w:val="00F1021C"/>
    <w:rsid w:val="00F10290"/>
    <w:rsid w:val="00F10397"/>
    <w:rsid w:val="00F10F4D"/>
    <w:rsid w:val="00F12584"/>
    <w:rsid w:val="00F151CA"/>
    <w:rsid w:val="00F153C6"/>
    <w:rsid w:val="00F1584B"/>
    <w:rsid w:val="00F15FC3"/>
    <w:rsid w:val="00F179C9"/>
    <w:rsid w:val="00F21363"/>
    <w:rsid w:val="00F21E1A"/>
    <w:rsid w:val="00F22A52"/>
    <w:rsid w:val="00F25F36"/>
    <w:rsid w:val="00F2637F"/>
    <w:rsid w:val="00F26553"/>
    <w:rsid w:val="00F26593"/>
    <w:rsid w:val="00F274F7"/>
    <w:rsid w:val="00F275BE"/>
    <w:rsid w:val="00F31ABF"/>
    <w:rsid w:val="00F33CEB"/>
    <w:rsid w:val="00F343AC"/>
    <w:rsid w:val="00F35B8C"/>
    <w:rsid w:val="00F36EE9"/>
    <w:rsid w:val="00F37492"/>
    <w:rsid w:val="00F379A3"/>
    <w:rsid w:val="00F44ADB"/>
    <w:rsid w:val="00F45283"/>
    <w:rsid w:val="00F4658E"/>
    <w:rsid w:val="00F50AF1"/>
    <w:rsid w:val="00F51AEF"/>
    <w:rsid w:val="00F537A2"/>
    <w:rsid w:val="00F54237"/>
    <w:rsid w:val="00F559CF"/>
    <w:rsid w:val="00F57A03"/>
    <w:rsid w:val="00F57E8A"/>
    <w:rsid w:val="00F60A50"/>
    <w:rsid w:val="00F620B8"/>
    <w:rsid w:val="00F62168"/>
    <w:rsid w:val="00F63622"/>
    <w:rsid w:val="00F63FD6"/>
    <w:rsid w:val="00F659FB"/>
    <w:rsid w:val="00F65CFB"/>
    <w:rsid w:val="00F667C4"/>
    <w:rsid w:val="00F669AA"/>
    <w:rsid w:val="00F66AD9"/>
    <w:rsid w:val="00F67B74"/>
    <w:rsid w:val="00F70FF0"/>
    <w:rsid w:val="00F718DA"/>
    <w:rsid w:val="00F7274E"/>
    <w:rsid w:val="00F72DC4"/>
    <w:rsid w:val="00F73941"/>
    <w:rsid w:val="00F74277"/>
    <w:rsid w:val="00F75B0C"/>
    <w:rsid w:val="00F77ADA"/>
    <w:rsid w:val="00F80D09"/>
    <w:rsid w:val="00F82FCD"/>
    <w:rsid w:val="00F83BE8"/>
    <w:rsid w:val="00F843A5"/>
    <w:rsid w:val="00F8460B"/>
    <w:rsid w:val="00F84876"/>
    <w:rsid w:val="00F85CC9"/>
    <w:rsid w:val="00F86B29"/>
    <w:rsid w:val="00F91DDE"/>
    <w:rsid w:val="00F9267A"/>
    <w:rsid w:val="00F92844"/>
    <w:rsid w:val="00F92D75"/>
    <w:rsid w:val="00F937DE"/>
    <w:rsid w:val="00F94DE0"/>
    <w:rsid w:val="00F95CB5"/>
    <w:rsid w:val="00F9616E"/>
    <w:rsid w:val="00F97479"/>
    <w:rsid w:val="00FA2BC3"/>
    <w:rsid w:val="00FA2DAE"/>
    <w:rsid w:val="00FA3ABF"/>
    <w:rsid w:val="00FA464F"/>
    <w:rsid w:val="00FA47EA"/>
    <w:rsid w:val="00FA4999"/>
    <w:rsid w:val="00FA4C2A"/>
    <w:rsid w:val="00FA4DBE"/>
    <w:rsid w:val="00FA56D0"/>
    <w:rsid w:val="00FB0552"/>
    <w:rsid w:val="00FB0F5B"/>
    <w:rsid w:val="00FB35C2"/>
    <w:rsid w:val="00FB5267"/>
    <w:rsid w:val="00FB53F4"/>
    <w:rsid w:val="00FB5CE7"/>
    <w:rsid w:val="00FB60DA"/>
    <w:rsid w:val="00FB6613"/>
    <w:rsid w:val="00FB6A65"/>
    <w:rsid w:val="00FB7A82"/>
    <w:rsid w:val="00FC08CD"/>
    <w:rsid w:val="00FC0CBA"/>
    <w:rsid w:val="00FC1EF3"/>
    <w:rsid w:val="00FC24A2"/>
    <w:rsid w:val="00FC326B"/>
    <w:rsid w:val="00FC47AF"/>
    <w:rsid w:val="00FC4FBF"/>
    <w:rsid w:val="00FC5B40"/>
    <w:rsid w:val="00FC6A4E"/>
    <w:rsid w:val="00FC7024"/>
    <w:rsid w:val="00FC70DF"/>
    <w:rsid w:val="00FC7468"/>
    <w:rsid w:val="00FC7720"/>
    <w:rsid w:val="00FC7D81"/>
    <w:rsid w:val="00FD0842"/>
    <w:rsid w:val="00FD0E59"/>
    <w:rsid w:val="00FD11ED"/>
    <w:rsid w:val="00FD1431"/>
    <w:rsid w:val="00FD18E9"/>
    <w:rsid w:val="00FD3A7F"/>
    <w:rsid w:val="00FD3DA8"/>
    <w:rsid w:val="00FD4488"/>
    <w:rsid w:val="00FD5D79"/>
    <w:rsid w:val="00FD7510"/>
    <w:rsid w:val="00FE0047"/>
    <w:rsid w:val="00FE0B17"/>
    <w:rsid w:val="00FE28AD"/>
    <w:rsid w:val="00FE5ED2"/>
    <w:rsid w:val="00FE6273"/>
    <w:rsid w:val="00FF1226"/>
    <w:rsid w:val="00FF2826"/>
    <w:rsid w:val="00FF3BE2"/>
    <w:rsid w:val="00FF3C4B"/>
    <w:rsid w:val="00FF414F"/>
    <w:rsid w:val="00FF4EBE"/>
    <w:rsid w:val="00FF5A15"/>
    <w:rsid w:val="00FF74F5"/>
    <w:rsid w:val="00FF7B23"/>
    <w:rsid w:val="010827C0"/>
    <w:rsid w:val="01305B9C"/>
    <w:rsid w:val="01906C14"/>
    <w:rsid w:val="01B60EBB"/>
    <w:rsid w:val="01EC20E2"/>
    <w:rsid w:val="023141EE"/>
    <w:rsid w:val="02661E94"/>
    <w:rsid w:val="02D54F72"/>
    <w:rsid w:val="03086A42"/>
    <w:rsid w:val="03151C1F"/>
    <w:rsid w:val="032F2286"/>
    <w:rsid w:val="03EC461B"/>
    <w:rsid w:val="03F97BCA"/>
    <w:rsid w:val="0431202E"/>
    <w:rsid w:val="04797EAF"/>
    <w:rsid w:val="04E8190A"/>
    <w:rsid w:val="05141D7D"/>
    <w:rsid w:val="060257C0"/>
    <w:rsid w:val="06365BDB"/>
    <w:rsid w:val="067C50B3"/>
    <w:rsid w:val="06DD0B3B"/>
    <w:rsid w:val="071E2EAA"/>
    <w:rsid w:val="07750484"/>
    <w:rsid w:val="07D577AC"/>
    <w:rsid w:val="07FE443D"/>
    <w:rsid w:val="0801140E"/>
    <w:rsid w:val="08472F5D"/>
    <w:rsid w:val="08506B37"/>
    <w:rsid w:val="088E2DAE"/>
    <w:rsid w:val="089B4D67"/>
    <w:rsid w:val="08A72F92"/>
    <w:rsid w:val="08AA318A"/>
    <w:rsid w:val="08E9671C"/>
    <w:rsid w:val="08EB12A9"/>
    <w:rsid w:val="090517A8"/>
    <w:rsid w:val="09350CB8"/>
    <w:rsid w:val="09594501"/>
    <w:rsid w:val="096970E4"/>
    <w:rsid w:val="09954C14"/>
    <w:rsid w:val="09CD7781"/>
    <w:rsid w:val="09CE542F"/>
    <w:rsid w:val="0A2A2299"/>
    <w:rsid w:val="0A546A76"/>
    <w:rsid w:val="0ACA53AA"/>
    <w:rsid w:val="0AD54E55"/>
    <w:rsid w:val="0AE474BE"/>
    <w:rsid w:val="0AF3284F"/>
    <w:rsid w:val="0B280860"/>
    <w:rsid w:val="0BA073EC"/>
    <w:rsid w:val="0BE856C8"/>
    <w:rsid w:val="0C40137C"/>
    <w:rsid w:val="0C532EBD"/>
    <w:rsid w:val="0D4032E2"/>
    <w:rsid w:val="0D784205"/>
    <w:rsid w:val="0D8E6743"/>
    <w:rsid w:val="0D9848D0"/>
    <w:rsid w:val="0E15476E"/>
    <w:rsid w:val="0E172A9C"/>
    <w:rsid w:val="0E26697C"/>
    <w:rsid w:val="0EA37538"/>
    <w:rsid w:val="0F827BC7"/>
    <w:rsid w:val="0FC14BAE"/>
    <w:rsid w:val="0FD53324"/>
    <w:rsid w:val="0FD57043"/>
    <w:rsid w:val="0FE61D33"/>
    <w:rsid w:val="0FF07241"/>
    <w:rsid w:val="10735C44"/>
    <w:rsid w:val="107B3312"/>
    <w:rsid w:val="10D03BFA"/>
    <w:rsid w:val="10E52314"/>
    <w:rsid w:val="10F27ACC"/>
    <w:rsid w:val="11702ECB"/>
    <w:rsid w:val="1173391C"/>
    <w:rsid w:val="11912FF8"/>
    <w:rsid w:val="11D4261F"/>
    <w:rsid w:val="125B2A52"/>
    <w:rsid w:val="12B66CFA"/>
    <w:rsid w:val="12D82208"/>
    <w:rsid w:val="1311385B"/>
    <w:rsid w:val="134149FB"/>
    <w:rsid w:val="13493820"/>
    <w:rsid w:val="135A2E5B"/>
    <w:rsid w:val="142652F4"/>
    <w:rsid w:val="147261F8"/>
    <w:rsid w:val="14902DA1"/>
    <w:rsid w:val="152550D2"/>
    <w:rsid w:val="15742EC0"/>
    <w:rsid w:val="157F6456"/>
    <w:rsid w:val="15B973FD"/>
    <w:rsid w:val="15E11B06"/>
    <w:rsid w:val="15FD23B0"/>
    <w:rsid w:val="16433BA4"/>
    <w:rsid w:val="167C247F"/>
    <w:rsid w:val="16870936"/>
    <w:rsid w:val="16A74FFA"/>
    <w:rsid w:val="16B51457"/>
    <w:rsid w:val="16BE3A2B"/>
    <w:rsid w:val="16C4673A"/>
    <w:rsid w:val="16DA2D5C"/>
    <w:rsid w:val="17124FC2"/>
    <w:rsid w:val="1721243D"/>
    <w:rsid w:val="17453961"/>
    <w:rsid w:val="175D5E29"/>
    <w:rsid w:val="1797541E"/>
    <w:rsid w:val="17EE69D4"/>
    <w:rsid w:val="180B3481"/>
    <w:rsid w:val="184A143F"/>
    <w:rsid w:val="189015AD"/>
    <w:rsid w:val="18BD0CCD"/>
    <w:rsid w:val="19145D4E"/>
    <w:rsid w:val="192C3742"/>
    <w:rsid w:val="193F367A"/>
    <w:rsid w:val="19631AFF"/>
    <w:rsid w:val="19C23A8F"/>
    <w:rsid w:val="19C83512"/>
    <w:rsid w:val="19E60F71"/>
    <w:rsid w:val="19EF0643"/>
    <w:rsid w:val="1A2F0D91"/>
    <w:rsid w:val="1A4B438F"/>
    <w:rsid w:val="1A67501D"/>
    <w:rsid w:val="1A7F765F"/>
    <w:rsid w:val="1A8546F4"/>
    <w:rsid w:val="1AAE3566"/>
    <w:rsid w:val="1B9E3FF5"/>
    <w:rsid w:val="1BAB7E05"/>
    <w:rsid w:val="1C254294"/>
    <w:rsid w:val="1C630A1B"/>
    <w:rsid w:val="1C712553"/>
    <w:rsid w:val="1C77156D"/>
    <w:rsid w:val="1C9054E9"/>
    <w:rsid w:val="1CB90E6D"/>
    <w:rsid w:val="1D3B7AD6"/>
    <w:rsid w:val="1D7F30C9"/>
    <w:rsid w:val="1DCE7ED3"/>
    <w:rsid w:val="1DED0FDC"/>
    <w:rsid w:val="1DFB20B5"/>
    <w:rsid w:val="1E48169D"/>
    <w:rsid w:val="1E602A20"/>
    <w:rsid w:val="1E965042"/>
    <w:rsid w:val="1EA641A8"/>
    <w:rsid w:val="1EAC2A7F"/>
    <w:rsid w:val="1EC5299F"/>
    <w:rsid w:val="1ED25F53"/>
    <w:rsid w:val="1EF47AC1"/>
    <w:rsid w:val="1FBE3C87"/>
    <w:rsid w:val="1FFE0C50"/>
    <w:rsid w:val="205E6407"/>
    <w:rsid w:val="20CA61C3"/>
    <w:rsid w:val="20E77BA5"/>
    <w:rsid w:val="20F874C0"/>
    <w:rsid w:val="21347B6E"/>
    <w:rsid w:val="21356030"/>
    <w:rsid w:val="21476925"/>
    <w:rsid w:val="217C323F"/>
    <w:rsid w:val="21CF08CF"/>
    <w:rsid w:val="21E32C45"/>
    <w:rsid w:val="22327245"/>
    <w:rsid w:val="22395998"/>
    <w:rsid w:val="225A0FAD"/>
    <w:rsid w:val="226C2CA6"/>
    <w:rsid w:val="227E692E"/>
    <w:rsid w:val="22835CF3"/>
    <w:rsid w:val="238B30B1"/>
    <w:rsid w:val="238C6E29"/>
    <w:rsid w:val="23B06F82"/>
    <w:rsid w:val="240132A2"/>
    <w:rsid w:val="241B0F31"/>
    <w:rsid w:val="24284C6C"/>
    <w:rsid w:val="24896F9C"/>
    <w:rsid w:val="250A2979"/>
    <w:rsid w:val="255312C4"/>
    <w:rsid w:val="25CF4389"/>
    <w:rsid w:val="25FF1B34"/>
    <w:rsid w:val="266E69CC"/>
    <w:rsid w:val="26E22772"/>
    <w:rsid w:val="26EC5D63"/>
    <w:rsid w:val="27026062"/>
    <w:rsid w:val="272E0740"/>
    <w:rsid w:val="273D43B3"/>
    <w:rsid w:val="276D019A"/>
    <w:rsid w:val="27706631"/>
    <w:rsid w:val="279978A1"/>
    <w:rsid w:val="27AC67FE"/>
    <w:rsid w:val="27DE0083"/>
    <w:rsid w:val="27F90D5F"/>
    <w:rsid w:val="284A03C7"/>
    <w:rsid w:val="287373F2"/>
    <w:rsid w:val="287946BA"/>
    <w:rsid w:val="28C14D96"/>
    <w:rsid w:val="28D66B8D"/>
    <w:rsid w:val="29834F07"/>
    <w:rsid w:val="298B483B"/>
    <w:rsid w:val="29A76B02"/>
    <w:rsid w:val="2A0F359A"/>
    <w:rsid w:val="2A6D61E5"/>
    <w:rsid w:val="2B5630D9"/>
    <w:rsid w:val="2B5A529B"/>
    <w:rsid w:val="2B6C0067"/>
    <w:rsid w:val="2B765AA2"/>
    <w:rsid w:val="2B9A122F"/>
    <w:rsid w:val="2BD2206D"/>
    <w:rsid w:val="2C061FF9"/>
    <w:rsid w:val="2C3D5EB7"/>
    <w:rsid w:val="2C5A5D16"/>
    <w:rsid w:val="2C6C732D"/>
    <w:rsid w:val="2C6E029B"/>
    <w:rsid w:val="2CA31161"/>
    <w:rsid w:val="2CA376BD"/>
    <w:rsid w:val="2CEE6993"/>
    <w:rsid w:val="2D4C0361"/>
    <w:rsid w:val="2D6D1BF5"/>
    <w:rsid w:val="2DDB4C35"/>
    <w:rsid w:val="2DE90D11"/>
    <w:rsid w:val="2DFB1DB6"/>
    <w:rsid w:val="2E654E87"/>
    <w:rsid w:val="2E7639FA"/>
    <w:rsid w:val="2E830786"/>
    <w:rsid w:val="2E862000"/>
    <w:rsid w:val="2ECD025A"/>
    <w:rsid w:val="2EDD4902"/>
    <w:rsid w:val="2EF064CF"/>
    <w:rsid w:val="2EFD5A3F"/>
    <w:rsid w:val="2F2526E2"/>
    <w:rsid w:val="2F446E72"/>
    <w:rsid w:val="2F514DDA"/>
    <w:rsid w:val="2F8114C2"/>
    <w:rsid w:val="2FD51B80"/>
    <w:rsid w:val="3095556F"/>
    <w:rsid w:val="309F134A"/>
    <w:rsid w:val="30C11449"/>
    <w:rsid w:val="30C91C6F"/>
    <w:rsid w:val="30E84431"/>
    <w:rsid w:val="30F8796D"/>
    <w:rsid w:val="313951EF"/>
    <w:rsid w:val="31A0062C"/>
    <w:rsid w:val="31D52193"/>
    <w:rsid w:val="322A1CAE"/>
    <w:rsid w:val="3233593A"/>
    <w:rsid w:val="323B4336"/>
    <w:rsid w:val="325059ED"/>
    <w:rsid w:val="328B334E"/>
    <w:rsid w:val="32A0644D"/>
    <w:rsid w:val="32B274E2"/>
    <w:rsid w:val="32FE701E"/>
    <w:rsid w:val="33501350"/>
    <w:rsid w:val="33806DB1"/>
    <w:rsid w:val="338B04F0"/>
    <w:rsid w:val="33B45D0C"/>
    <w:rsid w:val="340071A3"/>
    <w:rsid w:val="341469A9"/>
    <w:rsid w:val="34775EE9"/>
    <w:rsid w:val="348F22D5"/>
    <w:rsid w:val="359E4EC6"/>
    <w:rsid w:val="35CE6E2D"/>
    <w:rsid w:val="35EF6FCB"/>
    <w:rsid w:val="364E2599"/>
    <w:rsid w:val="36923EE1"/>
    <w:rsid w:val="379944E9"/>
    <w:rsid w:val="37C135E2"/>
    <w:rsid w:val="37D007C8"/>
    <w:rsid w:val="37F13421"/>
    <w:rsid w:val="38164644"/>
    <w:rsid w:val="38961E84"/>
    <w:rsid w:val="398B3BB7"/>
    <w:rsid w:val="3A054D22"/>
    <w:rsid w:val="3A232143"/>
    <w:rsid w:val="3B004B08"/>
    <w:rsid w:val="3B096CF3"/>
    <w:rsid w:val="3B3B11C3"/>
    <w:rsid w:val="3C694356"/>
    <w:rsid w:val="3C6C1880"/>
    <w:rsid w:val="3CE16FCB"/>
    <w:rsid w:val="3D0501EA"/>
    <w:rsid w:val="3D2B312B"/>
    <w:rsid w:val="3D5F5253"/>
    <w:rsid w:val="3D7620EC"/>
    <w:rsid w:val="3D965B5D"/>
    <w:rsid w:val="3D9E7F7E"/>
    <w:rsid w:val="3DAA67C4"/>
    <w:rsid w:val="3E1B2D18"/>
    <w:rsid w:val="3E27029F"/>
    <w:rsid w:val="3E390575"/>
    <w:rsid w:val="3E5B1F29"/>
    <w:rsid w:val="3E8479FB"/>
    <w:rsid w:val="3EA2480B"/>
    <w:rsid w:val="3F364E5D"/>
    <w:rsid w:val="3FAA4467"/>
    <w:rsid w:val="3FB57183"/>
    <w:rsid w:val="3FCA44AC"/>
    <w:rsid w:val="3FFB4CC3"/>
    <w:rsid w:val="407D485B"/>
    <w:rsid w:val="41063FAB"/>
    <w:rsid w:val="41265D6F"/>
    <w:rsid w:val="412A1D04"/>
    <w:rsid w:val="413B63FE"/>
    <w:rsid w:val="415B5D15"/>
    <w:rsid w:val="419B1C57"/>
    <w:rsid w:val="41EA34A0"/>
    <w:rsid w:val="42A37748"/>
    <w:rsid w:val="42AC6A21"/>
    <w:rsid w:val="42E40164"/>
    <w:rsid w:val="42F67656"/>
    <w:rsid w:val="42FC3E8F"/>
    <w:rsid w:val="43091601"/>
    <w:rsid w:val="432033BE"/>
    <w:rsid w:val="4333064D"/>
    <w:rsid w:val="4336046A"/>
    <w:rsid w:val="43617B74"/>
    <w:rsid w:val="43880DE7"/>
    <w:rsid w:val="43A45DF2"/>
    <w:rsid w:val="43B46F9A"/>
    <w:rsid w:val="43BD7F80"/>
    <w:rsid w:val="43EA3909"/>
    <w:rsid w:val="44412D31"/>
    <w:rsid w:val="44CB4ECC"/>
    <w:rsid w:val="45505BE9"/>
    <w:rsid w:val="457A0794"/>
    <w:rsid w:val="460D5E58"/>
    <w:rsid w:val="46DE3635"/>
    <w:rsid w:val="46E260B2"/>
    <w:rsid w:val="46E63A7D"/>
    <w:rsid w:val="471E68DA"/>
    <w:rsid w:val="47B70069"/>
    <w:rsid w:val="48903933"/>
    <w:rsid w:val="48937E9F"/>
    <w:rsid w:val="48C61FFB"/>
    <w:rsid w:val="48E91F04"/>
    <w:rsid w:val="491C4BFB"/>
    <w:rsid w:val="493A57C7"/>
    <w:rsid w:val="494D13A0"/>
    <w:rsid w:val="49596A92"/>
    <w:rsid w:val="4962533C"/>
    <w:rsid w:val="49A01D61"/>
    <w:rsid w:val="4A4831FA"/>
    <w:rsid w:val="4A4A2ACF"/>
    <w:rsid w:val="4A780346"/>
    <w:rsid w:val="4A824532"/>
    <w:rsid w:val="4A954778"/>
    <w:rsid w:val="4B2D5A87"/>
    <w:rsid w:val="4B5C6E29"/>
    <w:rsid w:val="4B665995"/>
    <w:rsid w:val="4BE9528C"/>
    <w:rsid w:val="4C12763D"/>
    <w:rsid w:val="4C446D17"/>
    <w:rsid w:val="4C9C051F"/>
    <w:rsid w:val="4CF23A65"/>
    <w:rsid w:val="4D4D0883"/>
    <w:rsid w:val="4DEF08D9"/>
    <w:rsid w:val="4E135761"/>
    <w:rsid w:val="4E257ADB"/>
    <w:rsid w:val="4E52705F"/>
    <w:rsid w:val="4F3056D0"/>
    <w:rsid w:val="4F5A00BF"/>
    <w:rsid w:val="4F8862F7"/>
    <w:rsid w:val="4FA47125"/>
    <w:rsid w:val="50422D30"/>
    <w:rsid w:val="50704A07"/>
    <w:rsid w:val="50876515"/>
    <w:rsid w:val="50DF3BF8"/>
    <w:rsid w:val="517B7396"/>
    <w:rsid w:val="52E96083"/>
    <w:rsid w:val="52F44693"/>
    <w:rsid w:val="53856B41"/>
    <w:rsid w:val="53A014CA"/>
    <w:rsid w:val="54AF6FEA"/>
    <w:rsid w:val="54B73EE8"/>
    <w:rsid w:val="55E4027B"/>
    <w:rsid w:val="55F54236"/>
    <w:rsid w:val="563167DC"/>
    <w:rsid w:val="563F3F6A"/>
    <w:rsid w:val="565239F7"/>
    <w:rsid w:val="56947751"/>
    <w:rsid w:val="56A20631"/>
    <w:rsid w:val="56AD2D63"/>
    <w:rsid w:val="56C42B2E"/>
    <w:rsid w:val="56D71B8E"/>
    <w:rsid w:val="5713184A"/>
    <w:rsid w:val="57576973"/>
    <w:rsid w:val="576C4BE0"/>
    <w:rsid w:val="57A35098"/>
    <w:rsid w:val="57B343A9"/>
    <w:rsid w:val="58010309"/>
    <w:rsid w:val="58392C09"/>
    <w:rsid w:val="588703D0"/>
    <w:rsid w:val="58AD4A91"/>
    <w:rsid w:val="58C16C4A"/>
    <w:rsid w:val="590D7B1C"/>
    <w:rsid w:val="592147AB"/>
    <w:rsid w:val="59340A2E"/>
    <w:rsid w:val="59360BEC"/>
    <w:rsid w:val="59C20FF1"/>
    <w:rsid w:val="59C84E55"/>
    <w:rsid w:val="59FA77A6"/>
    <w:rsid w:val="5A47702B"/>
    <w:rsid w:val="5A555292"/>
    <w:rsid w:val="5A737E20"/>
    <w:rsid w:val="5AFB1E9C"/>
    <w:rsid w:val="5B2363B6"/>
    <w:rsid w:val="5BB6379F"/>
    <w:rsid w:val="5C4B1054"/>
    <w:rsid w:val="5C596D73"/>
    <w:rsid w:val="5CAB0425"/>
    <w:rsid w:val="5CB12ADD"/>
    <w:rsid w:val="5CE1164E"/>
    <w:rsid w:val="5E0A1696"/>
    <w:rsid w:val="5E0C1621"/>
    <w:rsid w:val="5E236FE9"/>
    <w:rsid w:val="5E447596"/>
    <w:rsid w:val="5EC953FA"/>
    <w:rsid w:val="5EE0251C"/>
    <w:rsid w:val="5F9E2B6E"/>
    <w:rsid w:val="60347973"/>
    <w:rsid w:val="603B43A7"/>
    <w:rsid w:val="60BB1C5E"/>
    <w:rsid w:val="60C26F33"/>
    <w:rsid w:val="60E22BB9"/>
    <w:rsid w:val="60EE4097"/>
    <w:rsid w:val="61AB60F1"/>
    <w:rsid w:val="61CB0CC1"/>
    <w:rsid w:val="621041A6"/>
    <w:rsid w:val="6212466C"/>
    <w:rsid w:val="622A727A"/>
    <w:rsid w:val="622F0AD0"/>
    <w:rsid w:val="62621C8B"/>
    <w:rsid w:val="6272702C"/>
    <w:rsid w:val="62867168"/>
    <w:rsid w:val="628726BA"/>
    <w:rsid w:val="62F607A2"/>
    <w:rsid w:val="63130945"/>
    <w:rsid w:val="632717A7"/>
    <w:rsid w:val="63442359"/>
    <w:rsid w:val="636B6B70"/>
    <w:rsid w:val="636C4378"/>
    <w:rsid w:val="641F57F9"/>
    <w:rsid w:val="648B6F7F"/>
    <w:rsid w:val="64E7500B"/>
    <w:rsid w:val="65780027"/>
    <w:rsid w:val="65C871F4"/>
    <w:rsid w:val="65DC4731"/>
    <w:rsid w:val="665F5601"/>
    <w:rsid w:val="669453A6"/>
    <w:rsid w:val="66C37A39"/>
    <w:rsid w:val="673E410D"/>
    <w:rsid w:val="68102F4C"/>
    <w:rsid w:val="682D1800"/>
    <w:rsid w:val="68672ABC"/>
    <w:rsid w:val="688963C8"/>
    <w:rsid w:val="68A31DE4"/>
    <w:rsid w:val="68A615C2"/>
    <w:rsid w:val="68AB4C28"/>
    <w:rsid w:val="68C5643E"/>
    <w:rsid w:val="68DE6DAC"/>
    <w:rsid w:val="690629F0"/>
    <w:rsid w:val="692A1FF1"/>
    <w:rsid w:val="694120BF"/>
    <w:rsid w:val="695B076D"/>
    <w:rsid w:val="696E1DBA"/>
    <w:rsid w:val="69E02990"/>
    <w:rsid w:val="69EF3CA6"/>
    <w:rsid w:val="6A154AF4"/>
    <w:rsid w:val="6AE37E01"/>
    <w:rsid w:val="6B986593"/>
    <w:rsid w:val="6BD83CC0"/>
    <w:rsid w:val="6C406D4B"/>
    <w:rsid w:val="6CD52274"/>
    <w:rsid w:val="6CE17E41"/>
    <w:rsid w:val="6CE226EE"/>
    <w:rsid w:val="6D3A6E8E"/>
    <w:rsid w:val="6D684019"/>
    <w:rsid w:val="6DAA1953"/>
    <w:rsid w:val="6DDD4BF0"/>
    <w:rsid w:val="6F602082"/>
    <w:rsid w:val="6F623B34"/>
    <w:rsid w:val="6F643795"/>
    <w:rsid w:val="6F7738CA"/>
    <w:rsid w:val="70077712"/>
    <w:rsid w:val="702D565E"/>
    <w:rsid w:val="70880999"/>
    <w:rsid w:val="70953127"/>
    <w:rsid w:val="70C310C6"/>
    <w:rsid w:val="7127776B"/>
    <w:rsid w:val="71294E4A"/>
    <w:rsid w:val="717956C9"/>
    <w:rsid w:val="719B2FB4"/>
    <w:rsid w:val="71BA3017"/>
    <w:rsid w:val="723D28E8"/>
    <w:rsid w:val="725E3350"/>
    <w:rsid w:val="72BA2196"/>
    <w:rsid w:val="730C5213"/>
    <w:rsid w:val="730D6BB1"/>
    <w:rsid w:val="73A148BE"/>
    <w:rsid w:val="73EB5842"/>
    <w:rsid w:val="743A6A56"/>
    <w:rsid w:val="74592719"/>
    <w:rsid w:val="748244C6"/>
    <w:rsid w:val="74CF1B27"/>
    <w:rsid w:val="75324707"/>
    <w:rsid w:val="75760365"/>
    <w:rsid w:val="75E00EAD"/>
    <w:rsid w:val="75E17EDC"/>
    <w:rsid w:val="75FC4D15"/>
    <w:rsid w:val="7642522B"/>
    <w:rsid w:val="76550B22"/>
    <w:rsid w:val="76590B17"/>
    <w:rsid w:val="766E0306"/>
    <w:rsid w:val="76C32090"/>
    <w:rsid w:val="77003562"/>
    <w:rsid w:val="771B75E2"/>
    <w:rsid w:val="771C6326"/>
    <w:rsid w:val="773A10C4"/>
    <w:rsid w:val="776915D3"/>
    <w:rsid w:val="777E6809"/>
    <w:rsid w:val="77AD732B"/>
    <w:rsid w:val="77AF3E74"/>
    <w:rsid w:val="7810416C"/>
    <w:rsid w:val="78174830"/>
    <w:rsid w:val="78546C9A"/>
    <w:rsid w:val="7897516F"/>
    <w:rsid w:val="78FA685F"/>
    <w:rsid w:val="79382500"/>
    <w:rsid w:val="79573929"/>
    <w:rsid w:val="7959336E"/>
    <w:rsid w:val="79A0762A"/>
    <w:rsid w:val="79AE0705"/>
    <w:rsid w:val="7A227D90"/>
    <w:rsid w:val="7A7256DF"/>
    <w:rsid w:val="7A8359D5"/>
    <w:rsid w:val="7AD82B04"/>
    <w:rsid w:val="7AF93125"/>
    <w:rsid w:val="7B151CEF"/>
    <w:rsid w:val="7BEB3862"/>
    <w:rsid w:val="7BFD4BBF"/>
    <w:rsid w:val="7C23788B"/>
    <w:rsid w:val="7C3A5023"/>
    <w:rsid w:val="7C8A76DF"/>
    <w:rsid w:val="7C8F3808"/>
    <w:rsid w:val="7D0E6CF9"/>
    <w:rsid w:val="7D366D5F"/>
    <w:rsid w:val="7D5F4FF4"/>
    <w:rsid w:val="7D7B0A09"/>
    <w:rsid w:val="7D8C4BD1"/>
    <w:rsid w:val="7D8F6A39"/>
    <w:rsid w:val="7DC17710"/>
    <w:rsid w:val="7DE26546"/>
    <w:rsid w:val="7E5121FF"/>
    <w:rsid w:val="7EA8642E"/>
    <w:rsid w:val="7EB74019"/>
    <w:rsid w:val="7F097532"/>
    <w:rsid w:val="7F0A4EAF"/>
    <w:rsid w:val="7F3177DE"/>
    <w:rsid w:val="7F670968"/>
    <w:rsid w:val="7F6E04F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0" w:name="heading 7" w:locked="1"/>
    <w:lsdException w:qFormat="1" w:uiPriority="0" w:name="heading 8" w:locked="1"/>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ocked="1"/>
    <w:lsdException w:qFormat="1" w:unhideWhenUsed="0" w:uiPriority="39" w:semiHidden="0" w:name="toc 5" w:locked="1"/>
    <w:lsdException w:qFormat="1" w:unhideWhenUsed="0" w:uiPriority="39" w:semiHidden="0" w:name="toc 6" w:locked="1"/>
    <w:lsdException w:qFormat="1" w:unhideWhenUsed="0" w:uiPriority="39" w:semiHidden="0" w:name="toc 7" w:locked="1"/>
    <w:lsdException w:qFormat="1" w:unhideWhenUsed="0" w:uiPriority="39" w:semiHidden="0" w:name="toc 8" w:locked="1"/>
    <w:lsdException w:qFormat="1" w:unhideWhenUsed="0" w:uiPriority="39" w:semiHidden="0" w:name="toc 9" w:locked="1"/>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ocked="1"/>
    <w:lsdException w:uiPriority="99" w:name="Salutation"/>
    <w:lsdException w:qFormat="1" w:uiPriority="0" w:semiHidden="0"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20" w:semiHidden="0" w:name="Emphasis" w:locked="1"/>
    <w:lsdException w:qFormat="1"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2"/>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3"/>
    <w:autoRedefine/>
    <w:qFormat/>
    <w:uiPriority w:val="0"/>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54"/>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55"/>
    <w:autoRedefine/>
    <w:qFormat/>
    <w:uiPriority w:val="99"/>
    <w:pPr>
      <w:keepNext/>
      <w:keepLines/>
      <w:spacing w:before="280" w:after="290" w:line="376" w:lineRule="auto"/>
      <w:outlineLvl w:val="3"/>
    </w:pPr>
    <w:rPr>
      <w:rFonts w:ascii="等线 Light" w:hAnsi="等线 Light" w:eastAsia="等线 Light"/>
      <w:b/>
      <w:bCs/>
      <w:sz w:val="28"/>
      <w:szCs w:val="28"/>
    </w:rPr>
  </w:style>
  <w:style w:type="paragraph" w:styleId="6">
    <w:name w:val="heading 5"/>
    <w:basedOn w:val="1"/>
    <w:next w:val="1"/>
    <w:link w:val="56"/>
    <w:autoRedefine/>
    <w:qFormat/>
    <w:uiPriority w:val="99"/>
    <w:pPr>
      <w:keepNext/>
      <w:keepLines/>
      <w:spacing w:before="280" w:after="290" w:line="376" w:lineRule="auto"/>
      <w:outlineLvl w:val="4"/>
    </w:pPr>
    <w:rPr>
      <w:b/>
      <w:bCs/>
      <w:sz w:val="28"/>
      <w:szCs w:val="28"/>
    </w:rPr>
  </w:style>
  <w:style w:type="paragraph" w:styleId="7">
    <w:name w:val="heading 6"/>
    <w:basedOn w:val="1"/>
    <w:next w:val="1"/>
    <w:link w:val="57"/>
    <w:autoRedefine/>
    <w:qFormat/>
    <w:uiPriority w:val="99"/>
    <w:pPr>
      <w:autoSpaceDE w:val="0"/>
      <w:autoSpaceDN w:val="0"/>
      <w:jc w:val="center"/>
      <w:outlineLvl w:val="5"/>
    </w:pPr>
    <w:rPr>
      <w:rFonts w:ascii="宋体" w:hAnsi="宋体" w:cs="宋体"/>
      <w:kern w:val="0"/>
      <w:sz w:val="29"/>
      <w:szCs w:val="29"/>
      <w:lang w:eastAsia="en-US"/>
    </w:rPr>
  </w:style>
  <w:style w:type="paragraph" w:styleId="8">
    <w:name w:val="heading 9"/>
    <w:basedOn w:val="1"/>
    <w:next w:val="1"/>
    <w:link w:val="58"/>
    <w:autoRedefine/>
    <w:qFormat/>
    <w:uiPriority w:val="0"/>
    <w:pPr>
      <w:keepNext/>
      <w:keepLines/>
      <w:spacing w:before="240" w:after="64" w:line="320" w:lineRule="auto"/>
      <w:outlineLvl w:val="8"/>
    </w:pPr>
    <w:rPr>
      <w:rFonts w:ascii="等线 Light" w:hAnsi="等线 Light" w:eastAsia="等线 Light"/>
      <w:szCs w:val="21"/>
    </w:rPr>
  </w:style>
  <w:style w:type="character" w:default="1" w:styleId="42">
    <w:name w:val="Default Paragraph Font"/>
    <w:autoRedefine/>
    <w:semiHidden/>
    <w:unhideWhenUsed/>
    <w:qFormat/>
    <w:uiPriority w:val="1"/>
  </w:style>
  <w:style w:type="table" w:default="1" w:styleId="40">
    <w:name w:val="Normal Table"/>
    <w:autoRedefine/>
    <w:semiHidden/>
    <w:unhideWhenUsed/>
    <w:qFormat/>
    <w:uiPriority w:val="99"/>
    <w:tblPr>
      <w:tblCellMar>
        <w:top w:w="0" w:type="dxa"/>
        <w:left w:w="108" w:type="dxa"/>
        <w:bottom w:w="0" w:type="dxa"/>
        <w:right w:w="108" w:type="dxa"/>
      </w:tblCellMar>
    </w:tblPr>
  </w:style>
  <w:style w:type="paragraph" w:styleId="9">
    <w:name w:val="toc 7"/>
    <w:basedOn w:val="1"/>
    <w:next w:val="1"/>
    <w:autoRedefine/>
    <w:qFormat/>
    <w:locked/>
    <w:uiPriority w:val="39"/>
    <w:pPr>
      <w:ind w:left="1260"/>
      <w:jc w:val="left"/>
    </w:pPr>
    <w:rPr>
      <w:rFonts w:asciiTheme="minorHAnsi" w:hAnsiTheme="minorHAnsi" w:cstheme="minorHAnsi"/>
      <w:sz w:val="18"/>
      <w:szCs w:val="18"/>
    </w:rPr>
  </w:style>
  <w:style w:type="paragraph" w:styleId="10">
    <w:name w:val="table of authorities"/>
    <w:basedOn w:val="1"/>
    <w:next w:val="1"/>
    <w:autoRedefine/>
    <w:qFormat/>
    <w:uiPriority w:val="99"/>
    <w:pPr>
      <w:ind w:left="420" w:leftChars="200"/>
    </w:pPr>
  </w:style>
  <w:style w:type="paragraph" w:styleId="11">
    <w:name w:val="Normal Indent"/>
    <w:basedOn w:val="1"/>
    <w:autoRedefine/>
    <w:qFormat/>
    <w:uiPriority w:val="0"/>
    <w:pPr>
      <w:autoSpaceDE w:val="0"/>
      <w:autoSpaceDN w:val="0"/>
      <w:spacing w:line="300" w:lineRule="auto"/>
    </w:pPr>
    <w:rPr>
      <w:rFonts w:ascii="宋体" w:hAnsi="宋体" w:cs="宋体" w:eastAsiaTheme="minorEastAsia"/>
      <w:b/>
      <w:sz w:val="44"/>
      <w:szCs w:val="22"/>
      <w:lang w:val="zh-CN" w:bidi="zh-CN"/>
    </w:rPr>
  </w:style>
  <w:style w:type="paragraph" w:styleId="12">
    <w:name w:val="Document Map"/>
    <w:basedOn w:val="1"/>
    <w:link w:val="136"/>
    <w:autoRedefine/>
    <w:unhideWhenUsed/>
    <w:qFormat/>
    <w:uiPriority w:val="0"/>
    <w:rPr>
      <w:rFonts w:ascii="宋体" w:hAnsi="Calibri"/>
      <w:sz w:val="18"/>
      <w:szCs w:val="18"/>
    </w:rPr>
  </w:style>
  <w:style w:type="paragraph" w:styleId="13">
    <w:name w:val="annotation text"/>
    <w:basedOn w:val="1"/>
    <w:link w:val="59"/>
    <w:autoRedefine/>
    <w:qFormat/>
    <w:uiPriority w:val="0"/>
    <w:pPr>
      <w:jc w:val="left"/>
    </w:pPr>
  </w:style>
  <w:style w:type="paragraph" w:styleId="14">
    <w:name w:val="Body Text 3"/>
    <w:basedOn w:val="1"/>
    <w:link w:val="102"/>
    <w:autoRedefine/>
    <w:qFormat/>
    <w:uiPriority w:val="0"/>
    <w:rPr>
      <w:rFonts w:ascii="宋体" w:hAnsi="Tahoma"/>
      <w:sz w:val="24"/>
      <w:szCs w:val="20"/>
    </w:rPr>
  </w:style>
  <w:style w:type="paragraph" w:styleId="15">
    <w:name w:val="Body Text"/>
    <w:basedOn w:val="1"/>
    <w:next w:val="1"/>
    <w:link w:val="60"/>
    <w:autoRedefine/>
    <w:qFormat/>
    <w:uiPriority w:val="0"/>
    <w:pPr>
      <w:autoSpaceDE w:val="0"/>
      <w:autoSpaceDN w:val="0"/>
      <w:jc w:val="left"/>
    </w:pPr>
    <w:rPr>
      <w:rFonts w:ascii="宋体" w:hAnsi="宋体" w:cs="宋体"/>
      <w:kern w:val="0"/>
      <w:sz w:val="23"/>
      <w:szCs w:val="23"/>
      <w:lang w:eastAsia="en-US"/>
    </w:rPr>
  </w:style>
  <w:style w:type="paragraph" w:styleId="16">
    <w:name w:val="Body Text Indent"/>
    <w:basedOn w:val="1"/>
    <w:autoRedefine/>
    <w:qFormat/>
    <w:uiPriority w:val="0"/>
    <w:pPr>
      <w:spacing w:line="360" w:lineRule="auto"/>
      <w:ind w:firstLine="480" w:firstLineChars="200"/>
    </w:pPr>
    <w:rPr>
      <w:rFonts w:ascii="宋体" w:hAnsi="宋体"/>
      <w:sz w:val="24"/>
    </w:rPr>
  </w:style>
  <w:style w:type="paragraph" w:styleId="17">
    <w:name w:val="Block Text"/>
    <w:basedOn w:val="1"/>
    <w:autoRedefine/>
    <w:qFormat/>
    <w:uiPriority w:val="99"/>
    <w:pPr>
      <w:spacing w:line="360" w:lineRule="auto"/>
      <w:ind w:left="119" w:right="119" w:firstLine="420"/>
    </w:pPr>
    <w:rPr>
      <w:rFonts w:ascii="宋体"/>
      <w:sz w:val="24"/>
      <w:szCs w:val="20"/>
    </w:rPr>
  </w:style>
  <w:style w:type="paragraph" w:styleId="18">
    <w:name w:val="toc 5"/>
    <w:basedOn w:val="1"/>
    <w:next w:val="1"/>
    <w:autoRedefine/>
    <w:qFormat/>
    <w:locked/>
    <w:uiPriority w:val="39"/>
    <w:pPr>
      <w:ind w:left="840"/>
      <w:jc w:val="left"/>
    </w:pPr>
    <w:rPr>
      <w:rFonts w:asciiTheme="minorHAnsi" w:hAnsiTheme="minorHAnsi" w:cstheme="minorHAnsi"/>
      <w:sz w:val="18"/>
      <w:szCs w:val="18"/>
    </w:rPr>
  </w:style>
  <w:style w:type="paragraph" w:styleId="19">
    <w:name w:val="toc 3"/>
    <w:basedOn w:val="1"/>
    <w:next w:val="1"/>
    <w:autoRedefine/>
    <w:qFormat/>
    <w:uiPriority w:val="39"/>
    <w:pPr>
      <w:ind w:left="420"/>
      <w:jc w:val="left"/>
    </w:pPr>
    <w:rPr>
      <w:rFonts w:asciiTheme="minorHAnsi" w:hAnsiTheme="minorHAnsi" w:cstheme="minorHAnsi"/>
      <w:i/>
      <w:iCs/>
      <w:sz w:val="20"/>
      <w:szCs w:val="20"/>
    </w:rPr>
  </w:style>
  <w:style w:type="paragraph" w:styleId="20">
    <w:name w:val="Plain Text"/>
    <w:basedOn w:val="1"/>
    <w:next w:val="1"/>
    <w:link w:val="61"/>
    <w:autoRedefine/>
    <w:qFormat/>
    <w:uiPriority w:val="0"/>
    <w:rPr>
      <w:rFonts w:ascii="宋体" w:hAnsi="Courier New"/>
      <w:kern w:val="0"/>
      <w:sz w:val="20"/>
      <w:szCs w:val="21"/>
    </w:rPr>
  </w:style>
  <w:style w:type="paragraph" w:styleId="21">
    <w:name w:val="toc 8"/>
    <w:basedOn w:val="1"/>
    <w:next w:val="1"/>
    <w:autoRedefine/>
    <w:qFormat/>
    <w:locked/>
    <w:uiPriority w:val="39"/>
    <w:pPr>
      <w:ind w:left="1470"/>
      <w:jc w:val="left"/>
    </w:pPr>
    <w:rPr>
      <w:rFonts w:asciiTheme="minorHAnsi" w:hAnsiTheme="minorHAnsi" w:cstheme="minorHAnsi"/>
      <w:sz w:val="18"/>
      <w:szCs w:val="18"/>
    </w:rPr>
  </w:style>
  <w:style w:type="paragraph" w:styleId="22">
    <w:name w:val="Date"/>
    <w:basedOn w:val="1"/>
    <w:next w:val="1"/>
    <w:link w:val="110"/>
    <w:autoRedefine/>
    <w:unhideWhenUsed/>
    <w:qFormat/>
    <w:uiPriority w:val="0"/>
    <w:pPr>
      <w:ind w:left="100" w:leftChars="2500"/>
    </w:pPr>
  </w:style>
  <w:style w:type="paragraph" w:styleId="23">
    <w:name w:val="Balloon Text"/>
    <w:basedOn w:val="1"/>
    <w:link w:val="62"/>
    <w:autoRedefine/>
    <w:qFormat/>
    <w:uiPriority w:val="0"/>
    <w:rPr>
      <w:sz w:val="18"/>
      <w:szCs w:val="18"/>
    </w:rPr>
  </w:style>
  <w:style w:type="paragraph" w:styleId="24">
    <w:name w:val="footer"/>
    <w:basedOn w:val="1"/>
    <w:link w:val="63"/>
    <w:autoRedefine/>
    <w:qFormat/>
    <w:uiPriority w:val="99"/>
    <w:pPr>
      <w:tabs>
        <w:tab w:val="center" w:pos="4153"/>
        <w:tab w:val="right" w:pos="8306"/>
      </w:tabs>
      <w:snapToGrid w:val="0"/>
      <w:jc w:val="left"/>
    </w:pPr>
    <w:rPr>
      <w:sz w:val="18"/>
      <w:szCs w:val="18"/>
    </w:rPr>
  </w:style>
  <w:style w:type="paragraph" w:styleId="25">
    <w:name w:val="header"/>
    <w:basedOn w:val="1"/>
    <w:link w:val="64"/>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39"/>
    <w:pPr>
      <w:spacing w:before="120" w:after="120"/>
      <w:jc w:val="left"/>
    </w:pPr>
    <w:rPr>
      <w:rFonts w:asciiTheme="minorHAnsi" w:hAnsiTheme="minorHAnsi" w:cstheme="minorHAnsi"/>
      <w:b/>
      <w:bCs/>
      <w:caps/>
      <w:sz w:val="20"/>
      <w:szCs w:val="20"/>
    </w:rPr>
  </w:style>
  <w:style w:type="paragraph" w:styleId="27">
    <w:name w:val="toc 4"/>
    <w:basedOn w:val="1"/>
    <w:next w:val="1"/>
    <w:autoRedefine/>
    <w:qFormat/>
    <w:locked/>
    <w:uiPriority w:val="39"/>
    <w:pPr>
      <w:ind w:left="630"/>
      <w:jc w:val="left"/>
    </w:pPr>
    <w:rPr>
      <w:rFonts w:asciiTheme="minorHAnsi" w:hAnsiTheme="minorHAnsi" w:cstheme="minorHAnsi"/>
      <w:sz w:val="18"/>
      <w:szCs w:val="18"/>
    </w:rPr>
  </w:style>
  <w:style w:type="paragraph" w:styleId="28">
    <w:name w:val="Subtitle"/>
    <w:basedOn w:val="1"/>
    <w:next w:val="1"/>
    <w:link w:val="118"/>
    <w:autoRedefine/>
    <w:qFormat/>
    <w:locked/>
    <w:uiPriority w:val="11"/>
    <w:pPr>
      <w:spacing w:before="240" w:after="60" w:line="312" w:lineRule="auto"/>
      <w:jc w:val="center"/>
      <w:outlineLvl w:val="1"/>
    </w:pPr>
    <w:rPr>
      <w:rFonts w:ascii="Calibri" w:hAnsi="Calibri"/>
      <w:sz w:val="16"/>
      <w:szCs w:val="16"/>
    </w:rPr>
  </w:style>
  <w:style w:type="paragraph" w:styleId="29">
    <w:name w:val="footnote text"/>
    <w:basedOn w:val="1"/>
    <w:link w:val="65"/>
    <w:autoRedefine/>
    <w:qFormat/>
    <w:uiPriority w:val="0"/>
    <w:pPr>
      <w:snapToGrid w:val="0"/>
      <w:jc w:val="left"/>
    </w:pPr>
    <w:rPr>
      <w:sz w:val="18"/>
      <w:szCs w:val="18"/>
    </w:rPr>
  </w:style>
  <w:style w:type="paragraph" w:styleId="30">
    <w:name w:val="toc 6"/>
    <w:basedOn w:val="1"/>
    <w:next w:val="1"/>
    <w:autoRedefine/>
    <w:qFormat/>
    <w:locked/>
    <w:uiPriority w:val="39"/>
    <w:pPr>
      <w:ind w:left="1050"/>
      <w:jc w:val="left"/>
    </w:pPr>
    <w:rPr>
      <w:rFonts w:asciiTheme="minorHAnsi" w:hAnsiTheme="minorHAnsi" w:cstheme="minorHAnsi"/>
      <w:sz w:val="18"/>
      <w:szCs w:val="18"/>
    </w:rPr>
  </w:style>
  <w:style w:type="paragraph" w:styleId="31">
    <w:name w:val="Body Text Indent 3"/>
    <w:basedOn w:val="1"/>
    <w:link w:val="138"/>
    <w:autoRedefine/>
    <w:qFormat/>
    <w:uiPriority w:val="0"/>
    <w:pPr>
      <w:spacing w:after="120"/>
      <w:ind w:left="200" w:leftChars="200"/>
    </w:pPr>
    <w:rPr>
      <w:rFonts w:ascii="Calibri" w:hAnsi="Calibri"/>
      <w:sz w:val="16"/>
      <w:szCs w:val="16"/>
    </w:rPr>
  </w:style>
  <w:style w:type="paragraph" w:styleId="32">
    <w:name w:val="index 9"/>
    <w:next w:val="1"/>
    <w:autoRedefine/>
    <w:unhideWhenUsed/>
    <w:qFormat/>
    <w:uiPriority w:val="99"/>
    <w:pPr>
      <w:spacing w:line="560" w:lineRule="exact"/>
      <w:ind w:firstLine="880"/>
      <w:jc w:val="both"/>
      <w:textAlignment w:val="baseline"/>
    </w:pPr>
    <w:rPr>
      <w:rFonts w:ascii="Calibri" w:hAnsi="Calibri" w:eastAsia="宋体" w:cs="等线"/>
      <w:kern w:val="2"/>
      <w:sz w:val="21"/>
      <w:szCs w:val="21"/>
      <w:lang w:val="en-US" w:eastAsia="zh-CN" w:bidi="ar-SA"/>
    </w:rPr>
  </w:style>
  <w:style w:type="paragraph" w:styleId="33">
    <w:name w:val="toc 2"/>
    <w:basedOn w:val="1"/>
    <w:next w:val="1"/>
    <w:autoRedefine/>
    <w:qFormat/>
    <w:uiPriority w:val="39"/>
    <w:pPr>
      <w:ind w:left="210"/>
      <w:jc w:val="left"/>
    </w:pPr>
    <w:rPr>
      <w:rFonts w:asciiTheme="minorHAnsi" w:hAnsiTheme="minorHAnsi" w:cstheme="minorHAnsi"/>
      <w:smallCaps/>
      <w:sz w:val="20"/>
      <w:szCs w:val="20"/>
    </w:rPr>
  </w:style>
  <w:style w:type="paragraph" w:styleId="34">
    <w:name w:val="toc 9"/>
    <w:basedOn w:val="1"/>
    <w:next w:val="1"/>
    <w:autoRedefine/>
    <w:qFormat/>
    <w:locked/>
    <w:uiPriority w:val="39"/>
    <w:pPr>
      <w:ind w:left="1680"/>
      <w:jc w:val="left"/>
    </w:pPr>
    <w:rPr>
      <w:rFonts w:asciiTheme="minorHAnsi" w:hAnsiTheme="minorHAnsi" w:cstheme="minorHAnsi"/>
      <w:sz w:val="18"/>
      <w:szCs w:val="18"/>
    </w:rPr>
  </w:style>
  <w:style w:type="paragraph" w:styleId="35">
    <w:name w:val="Body Text 2"/>
    <w:basedOn w:val="1"/>
    <w:link w:val="66"/>
    <w:autoRedefine/>
    <w:qFormat/>
    <w:uiPriority w:val="99"/>
    <w:rPr>
      <w:rFonts w:ascii="宋体" w:hAnsi="宋体"/>
      <w:sz w:val="28"/>
    </w:rPr>
  </w:style>
  <w:style w:type="paragraph" w:styleId="36">
    <w:name w:val="Normal (Web)"/>
    <w:basedOn w:val="1"/>
    <w:link w:val="101"/>
    <w:autoRedefine/>
    <w:qFormat/>
    <w:uiPriority w:val="0"/>
    <w:pPr>
      <w:widowControl/>
      <w:spacing w:beforeAutospacing="1" w:afterAutospacing="1"/>
      <w:jc w:val="left"/>
    </w:pPr>
    <w:rPr>
      <w:rFonts w:ascii="宋体" w:hAnsi="宋体" w:cs="宋体"/>
      <w:kern w:val="0"/>
      <w:sz w:val="24"/>
    </w:rPr>
  </w:style>
  <w:style w:type="paragraph" w:styleId="37">
    <w:name w:val="annotation subject"/>
    <w:basedOn w:val="13"/>
    <w:next w:val="13"/>
    <w:link w:val="67"/>
    <w:autoRedefine/>
    <w:qFormat/>
    <w:uiPriority w:val="0"/>
    <w:rPr>
      <w:b/>
      <w:bCs/>
    </w:rPr>
  </w:style>
  <w:style w:type="paragraph" w:styleId="38">
    <w:name w:val="Body Text First Indent"/>
    <w:basedOn w:val="15"/>
    <w:link w:val="137"/>
    <w:autoRedefine/>
    <w:qFormat/>
    <w:uiPriority w:val="99"/>
    <w:pPr>
      <w:spacing w:line="360" w:lineRule="exact"/>
      <w:ind w:firstLine="420" w:firstLineChars="200"/>
    </w:pPr>
    <w:rPr>
      <w:sz w:val="21"/>
      <w:szCs w:val="24"/>
    </w:rPr>
  </w:style>
  <w:style w:type="paragraph" w:styleId="39">
    <w:name w:val="Body Text First Indent 2"/>
    <w:basedOn w:val="16"/>
    <w:autoRedefine/>
    <w:unhideWhenUsed/>
    <w:qFormat/>
    <w:uiPriority w:val="99"/>
    <w:pPr>
      <w:ind w:firstLine="420"/>
    </w:pPr>
  </w:style>
  <w:style w:type="table" w:styleId="41">
    <w:name w:val="Table Grid"/>
    <w:basedOn w:val="4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autoRedefine/>
    <w:qFormat/>
    <w:locked/>
    <w:uiPriority w:val="0"/>
    <w:rPr>
      <w:rFonts w:ascii="Tahoma" w:hAnsi="Tahoma"/>
      <w:b/>
      <w:sz w:val="24"/>
    </w:rPr>
  </w:style>
  <w:style w:type="character" w:styleId="44">
    <w:name w:val="page number"/>
    <w:basedOn w:val="42"/>
    <w:autoRedefine/>
    <w:qFormat/>
    <w:uiPriority w:val="0"/>
    <w:rPr>
      <w:rFonts w:ascii="Tahoma" w:hAnsi="Tahoma"/>
      <w:sz w:val="24"/>
    </w:rPr>
  </w:style>
  <w:style w:type="character" w:styleId="45">
    <w:name w:val="Emphasis"/>
    <w:autoRedefine/>
    <w:qFormat/>
    <w:locked/>
    <w:uiPriority w:val="20"/>
    <w:rPr>
      <w:i/>
      <w:iCs/>
    </w:rPr>
  </w:style>
  <w:style w:type="character" w:styleId="46">
    <w:name w:val="Hyperlink"/>
    <w:basedOn w:val="42"/>
    <w:autoRedefine/>
    <w:qFormat/>
    <w:uiPriority w:val="99"/>
    <w:rPr>
      <w:rFonts w:cs="Times New Roman"/>
      <w:color w:val="0000FF"/>
      <w:u w:val="single"/>
    </w:rPr>
  </w:style>
  <w:style w:type="character" w:styleId="47">
    <w:name w:val="annotation reference"/>
    <w:basedOn w:val="42"/>
    <w:autoRedefine/>
    <w:qFormat/>
    <w:uiPriority w:val="0"/>
    <w:rPr>
      <w:rFonts w:cs="Times New Roman"/>
      <w:sz w:val="21"/>
      <w:szCs w:val="21"/>
    </w:rPr>
  </w:style>
  <w:style w:type="character" w:styleId="48">
    <w:name w:val="footnote reference"/>
    <w:basedOn w:val="42"/>
    <w:autoRedefine/>
    <w:qFormat/>
    <w:uiPriority w:val="0"/>
    <w:rPr>
      <w:rFonts w:cs="Times New Roman"/>
      <w:vertAlign w:val="superscript"/>
    </w:rPr>
  </w:style>
  <w:style w:type="paragraph" w:customStyle="1" w:styleId="4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0">
    <w:name w:val="正文文本 21"/>
    <w:basedOn w:val="1"/>
    <w:autoRedefine/>
    <w:qFormat/>
    <w:uiPriority w:val="0"/>
    <w:pPr>
      <w:adjustRightInd w:val="0"/>
      <w:spacing w:line="360" w:lineRule="atLeast"/>
      <w:ind w:left="480"/>
    </w:pPr>
    <w:rPr>
      <w:rFonts w:ascii="宋体"/>
      <w:kern w:val="0"/>
      <w:sz w:val="24"/>
      <w:szCs w:val="20"/>
    </w:rPr>
  </w:style>
  <w:style w:type="paragraph" w:styleId="51">
    <w:name w:val="Intense Quote"/>
    <w:basedOn w:val="1"/>
    <w:next w:val="1"/>
    <w:link w:val="153"/>
    <w:autoRedefine/>
    <w:qFormat/>
    <w:uiPriority w:val="0"/>
    <w:pPr>
      <w:widowControl/>
      <w:wordWrap w:val="0"/>
      <w:spacing w:before="360" w:after="360"/>
      <w:ind w:left="950" w:right="950"/>
      <w:jc w:val="center"/>
    </w:pPr>
    <w:rPr>
      <w:i/>
    </w:rPr>
  </w:style>
  <w:style w:type="character" w:customStyle="1" w:styleId="52">
    <w:name w:val="标题 1 字符"/>
    <w:basedOn w:val="42"/>
    <w:link w:val="2"/>
    <w:autoRedefine/>
    <w:qFormat/>
    <w:locked/>
    <w:uiPriority w:val="9"/>
    <w:rPr>
      <w:rFonts w:ascii="Times New Roman" w:hAnsi="Times New Roman" w:eastAsia="宋体" w:cs="Times New Roman"/>
      <w:b/>
      <w:bCs/>
      <w:kern w:val="44"/>
      <w:sz w:val="44"/>
      <w:szCs w:val="44"/>
    </w:rPr>
  </w:style>
  <w:style w:type="character" w:customStyle="1" w:styleId="53">
    <w:name w:val="标题 2 字符"/>
    <w:basedOn w:val="42"/>
    <w:link w:val="3"/>
    <w:autoRedefine/>
    <w:qFormat/>
    <w:locked/>
    <w:uiPriority w:val="0"/>
    <w:rPr>
      <w:rFonts w:ascii="等线 Light" w:hAnsi="等线 Light" w:eastAsia="等线 Light" w:cs="Times New Roman"/>
      <w:b/>
      <w:bCs/>
      <w:sz w:val="32"/>
      <w:szCs w:val="32"/>
    </w:rPr>
  </w:style>
  <w:style w:type="character" w:customStyle="1" w:styleId="54">
    <w:name w:val="标题 3 字符"/>
    <w:basedOn w:val="42"/>
    <w:link w:val="4"/>
    <w:autoRedefine/>
    <w:qFormat/>
    <w:locked/>
    <w:uiPriority w:val="0"/>
    <w:rPr>
      <w:rFonts w:ascii="Times New Roman" w:hAnsi="Times New Roman" w:eastAsia="宋体" w:cs="Times New Roman"/>
      <w:b/>
      <w:bCs/>
      <w:sz w:val="32"/>
      <w:szCs w:val="32"/>
    </w:rPr>
  </w:style>
  <w:style w:type="character" w:customStyle="1" w:styleId="55">
    <w:name w:val="标题 4 字符"/>
    <w:basedOn w:val="42"/>
    <w:link w:val="5"/>
    <w:autoRedefine/>
    <w:semiHidden/>
    <w:qFormat/>
    <w:locked/>
    <w:uiPriority w:val="99"/>
    <w:rPr>
      <w:rFonts w:ascii="等线 Light" w:hAnsi="等线 Light" w:eastAsia="等线 Light" w:cs="Times New Roman"/>
      <w:b/>
      <w:bCs/>
      <w:sz w:val="28"/>
      <w:szCs w:val="28"/>
    </w:rPr>
  </w:style>
  <w:style w:type="character" w:customStyle="1" w:styleId="56">
    <w:name w:val="标题 5 字符"/>
    <w:basedOn w:val="42"/>
    <w:link w:val="6"/>
    <w:autoRedefine/>
    <w:qFormat/>
    <w:locked/>
    <w:uiPriority w:val="99"/>
    <w:rPr>
      <w:rFonts w:ascii="Times New Roman" w:hAnsi="Times New Roman" w:eastAsia="宋体" w:cs="Times New Roman"/>
      <w:b/>
      <w:bCs/>
      <w:sz w:val="28"/>
      <w:szCs w:val="28"/>
    </w:rPr>
  </w:style>
  <w:style w:type="character" w:customStyle="1" w:styleId="57">
    <w:name w:val="标题 6 字符"/>
    <w:basedOn w:val="42"/>
    <w:link w:val="7"/>
    <w:autoRedefine/>
    <w:qFormat/>
    <w:locked/>
    <w:uiPriority w:val="99"/>
    <w:rPr>
      <w:rFonts w:ascii="宋体" w:hAnsi="宋体" w:eastAsia="宋体" w:cs="宋体"/>
      <w:kern w:val="0"/>
      <w:sz w:val="29"/>
      <w:szCs w:val="29"/>
      <w:lang w:eastAsia="en-US"/>
    </w:rPr>
  </w:style>
  <w:style w:type="character" w:customStyle="1" w:styleId="58">
    <w:name w:val="标题 9 字符"/>
    <w:basedOn w:val="42"/>
    <w:link w:val="8"/>
    <w:autoRedefine/>
    <w:qFormat/>
    <w:locked/>
    <w:uiPriority w:val="0"/>
    <w:rPr>
      <w:rFonts w:ascii="等线 Light" w:hAnsi="等线 Light" w:eastAsia="等线 Light" w:cs="Times New Roman"/>
      <w:sz w:val="21"/>
      <w:szCs w:val="21"/>
    </w:rPr>
  </w:style>
  <w:style w:type="character" w:customStyle="1" w:styleId="59">
    <w:name w:val="批注文字 字符"/>
    <w:basedOn w:val="42"/>
    <w:link w:val="13"/>
    <w:autoRedefine/>
    <w:qFormat/>
    <w:locked/>
    <w:uiPriority w:val="0"/>
    <w:rPr>
      <w:rFonts w:cs="Times New Roman"/>
      <w:kern w:val="2"/>
      <w:sz w:val="24"/>
      <w:szCs w:val="24"/>
    </w:rPr>
  </w:style>
  <w:style w:type="character" w:customStyle="1" w:styleId="60">
    <w:name w:val="正文文本 字符"/>
    <w:basedOn w:val="42"/>
    <w:link w:val="15"/>
    <w:autoRedefine/>
    <w:qFormat/>
    <w:locked/>
    <w:uiPriority w:val="0"/>
    <w:rPr>
      <w:rFonts w:ascii="宋体" w:hAnsi="宋体" w:eastAsia="宋体" w:cs="宋体"/>
      <w:kern w:val="0"/>
      <w:sz w:val="23"/>
      <w:szCs w:val="23"/>
      <w:lang w:eastAsia="en-US"/>
    </w:rPr>
  </w:style>
  <w:style w:type="character" w:customStyle="1" w:styleId="61">
    <w:name w:val="纯文本 字符1"/>
    <w:basedOn w:val="42"/>
    <w:link w:val="20"/>
    <w:autoRedefine/>
    <w:qFormat/>
    <w:locked/>
    <w:uiPriority w:val="99"/>
    <w:rPr>
      <w:rFonts w:ascii="宋体" w:hAnsi="Courier New" w:eastAsia="宋体"/>
      <w:sz w:val="21"/>
    </w:rPr>
  </w:style>
  <w:style w:type="character" w:customStyle="1" w:styleId="62">
    <w:name w:val="批注框文本 字符"/>
    <w:basedOn w:val="42"/>
    <w:link w:val="23"/>
    <w:autoRedefine/>
    <w:semiHidden/>
    <w:qFormat/>
    <w:locked/>
    <w:uiPriority w:val="99"/>
    <w:rPr>
      <w:rFonts w:cs="Times New Roman"/>
      <w:kern w:val="2"/>
      <w:sz w:val="18"/>
      <w:szCs w:val="18"/>
    </w:rPr>
  </w:style>
  <w:style w:type="character" w:customStyle="1" w:styleId="63">
    <w:name w:val="页脚 字符"/>
    <w:basedOn w:val="42"/>
    <w:link w:val="24"/>
    <w:autoRedefine/>
    <w:qFormat/>
    <w:locked/>
    <w:uiPriority w:val="99"/>
    <w:rPr>
      <w:rFonts w:cs="Times New Roman"/>
      <w:sz w:val="18"/>
      <w:szCs w:val="18"/>
    </w:rPr>
  </w:style>
  <w:style w:type="character" w:customStyle="1" w:styleId="64">
    <w:name w:val="页眉 字符"/>
    <w:basedOn w:val="42"/>
    <w:link w:val="25"/>
    <w:autoRedefine/>
    <w:qFormat/>
    <w:locked/>
    <w:uiPriority w:val="99"/>
    <w:rPr>
      <w:rFonts w:cs="Times New Roman"/>
      <w:sz w:val="18"/>
      <w:szCs w:val="18"/>
    </w:rPr>
  </w:style>
  <w:style w:type="character" w:customStyle="1" w:styleId="65">
    <w:name w:val="脚注文本 字符"/>
    <w:basedOn w:val="42"/>
    <w:link w:val="29"/>
    <w:autoRedefine/>
    <w:qFormat/>
    <w:uiPriority w:val="0"/>
    <w:rPr>
      <w:rFonts w:ascii="Times New Roman" w:hAnsi="Times New Roman"/>
      <w:sz w:val="18"/>
      <w:szCs w:val="18"/>
    </w:rPr>
  </w:style>
  <w:style w:type="character" w:customStyle="1" w:styleId="66">
    <w:name w:val="正文文本 2 字符"/>
    <w:basedOn w:val="42"/>
    <w:link w:val="35"/>
    <w:autoRedefine/>
    <w:semiHidden/>
    <w:qFormat/>
    <w:uiPriority w:val="99"/>
    <w:rPr>
      <w:rFonts w:ascii="Times New Roman" w:hAnsi="Times New Roman"/>
      <w:szCs w:val="24"/>
    </w:rPr>
  </w:style>
  <w:style w:type="character" w:customStyle="1" w:styleId="67">
    <w:name w:val="批注主题 字符"/>
    <w:basedOn w:val="59"/>
    <w:link w:val="37"/>
    <w:autoRedefine/>
    <w:qFormat/>
    <w:locked/>
    <w:uiPriority w:val="99"/>
    <w:rPr>
      <w:rFonts w:cs="Times New Roman"/>
      <w:kern w:val="2"/>
      <w:sz w:val="24"/>
      <w:szCs w:val="24"/>
    </w:rPr>
  </w:style>
  <w:style w:type="paragraph" w:styleId="68">
    <w:name w:val="List Paragraph"/>
    <w:basedOn w:val="1"/>
    <w:link w:val="99"/>
    <w:autoRedefine/>
    <w:qFormat/>
    <w:uiPriority w:val="34"/>
    <w:pPr>
      <w:autoSpaceDE w:val="0"/>
      <w:autoSpaceDN w:val="0"/>
      <w:ind w:left="2640" w:hanging="598"/>
      <w:jc w:val="left"/>
    </w:pPr>
    <w:rPr>
      <w:rFonts w:ascii="宋体" w:hAnsi="宋体" w:cs="宋体"/>
      <w:kern w:val="0"/>
      <w:sz w:val="22"/>
      <w:szCs w:val="22"/>
      <w:lang w:eastAsia="en-US"/>
    </w:rPr>
  </w:style>
  <w:style w:type="paragraph" w:customStyle="1" w:styleId="69">
    <w:name w:val="目录1"/>
    <w:basedOn w:val="20"/>
    <w:autoRedefine/>
    <w:qFormat/>
    <w:uiPriority w:val="99"/>
    <w:rPr>
      <w:rFonts w:ascii="黑体" w:eastAsia="黑体"/>
      <w:sz w:val="52"/>
      <w:szCs w:val="52"/>
    </w:rPr>
  </w:style>
  <w:style w:type="paragraph" w:customStyle="1" w:styleId="70">
    <w:name w:val="正文文本 (2)"/>
    <w:basedOn w:val="1"/>
    <w:autoRedefine/>
    <w:qFormat/>
    <w:uiPriority w:val="99"/>
    <w:pPr>
      <w:shd w:val="clear" w:color="auto" w:fill="FFFFFF"/>
      <w:spacing w:before="300" w:line="439" w:lineRule="exact"/>
      <w:jc w:val="distribute"/>
    </w:pPr>
    <w:rPr>
      <w:rFonts w:ascii="宋体" w:hAnsi="宋体"/>
      <w:kern w:val="0"/>
      <w:sz w:val="22"/>
      <w:szCs w:val="22"/>
    </w:rPr>
  </w:style>
  <w:style w:type="paragraph" w:customStyle="1" w:styleId="71">
    <w:name w:val="TOC 标题1"/>
    <w:basedOn w:val="2"/>
    <w:next w:val="1"/>
    <w:autoRedefine/>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72">
    <w:name w:val="纯文本 字符"/>
    <w:basedOn w:val="42"/>
    <w:autoRedefine/>
    <w:qFormat/>
    <w:uiPriority w:val="0"/>
    <w:rPr>
      <w:rFonts w:ascii="等线" w:hAnsi="Courier New" w:cs="Courier New"/>
      <w:sz w:val="24"/>
      <w:szCs w:val="24"/>
    </w:rPr>
  </w:style>
  <w:style w:type="paragraph" w:customStyle="1" w:styleId="73">
    <w:name w:val="页眉1"/>
    <w:basedOn w:val="25"/>
    <w:autoRedefine/>
    <w:qFormat/>
    <w:uiPriority w:val="99"/>
    <w:pPr>
      <w:pBdr>
        <w:bottom w:val="double" w:color="auto" w:sz="4" w:space="0"/>
      </w:pBdr>
    </w:pPr>
    <w:rPr>
      <w:rFonts w:ascii="宋体" w:hAnsi="宋体"/>
      <w:color w:val="000000"/>
    </w:rPr>
  </w:style>
  <w:style w:type="character" w:customStyle="1" w:styleId="74">
    <w:name w:val="Char Char65"/>
    <w:autoRedefine/>
    <w:qFormat/>
    <w:uiPriority w:val="99"/>
    <w:rPr>
      <w:rFonts w:ascii="Arial" w:hAnsi="Arial" w:eastAsia="黑体"/>
      <w:kern w:val="2"/>
      <w:sz w:val="24"/>
      <w:lang w:val="en-US" w:eastAsia="zh-CN"/>
    </w:rPr>
  </w:style>
  <w:style w:type="character" w:customStyle="1" w:styleId="75">
    <w:name w:val="目录4 Char"/>
    <w:autoRedefine/>
    <w:qFormat/>
    <w:uiPriority w:val="99"/>
    <w:rPr>
      <w:rFonts w:ascii="黑体" w:eastAsia="黑体"/>
      <w:kern w:val="2"/>
      <w:sz w:val="24"/>
      <w:lang w:val="en-US" w:eastAsia="zh-CN"/>
    </w:rPr>
  </w:style>
  <w:style w:type="character" w:customStyle="1" w:styleId="76">
    <w:name w:val="目录4 Char Char"/>
    <w:link w:val="77"/>
    <w:autoRedefine/>
    <w:qFormat/>
    <w:locked/>
    <w:uiPriority w:val="99"/>
    <w:rPr>
      <w:rFonts w:ascii="黑体" w:eastAsia="黑体"/>
      <w:sz w:val="24"/>
    </w:rPr>
  </w:style>
  <w:style w:type="paragraph" w:customStyle="1" w:styleId="77">
    <w:name w:val="目录4"/>
    <w:basedOn w:val="1"/>
    <w:link w:val="76"/>
    <w:autoRedefine/>
    <w:qFormat/>
    <w:uiPriority w:val="99"/>
    <w:pPr>
      <w:spacing w:beforeLines="50" w:afterLines="50" w:line="400" w:lineRule="exact"/>
    </w:pPr>
    <w:rPr>
      <w:rFonts w:ascii="黑体" w:eastAsia="黑体"/>
      <w:kern w:val="0"/>
      <w:sz w:val="24"/>
      <w:szCs w:val="20"/>
    </w:rPr>
  </w:style>
  <w:style w:type="paragraph" w:customStyle="1" w:styleId="78">
    <w:name w:val="目录3"/>
    <w:basedOn w:val="1"/>
    <w:autoRedefine/>
    <w:qFormat/>
    <w:uiPriority w:val="99"/>
    <w:pPr>
      <w:spacing w:beforeLines="50" w:afterLines="50" w:line="400" w:lineRule="exact"/>
    </w:pPr>
    <w:rPr>
      <w:rFonts w:ascii="黑体" w:eastAsia="黑体"/>
      <w:sz w:val="24"/>
    </w:rPr>
  </w:style>
  <w:style w:type="paragraph" w:customStyle="1" w:styleId="79">
    <w:name w:val="样式"/>
    <w:link w:val="80"/>
    <w:autoRedefine/>
    <w:qFormat/>
    <w:uiPriority w:val="0"/>
    <w:pPr>
      <w:widowControl w:val="0"/>
      <w:autoSpaceDE w:val="0"/>
      <w:autoSpaceDN w:val="0"/>
      <w:adjustRightInd w:val="0"/>
    </w:pPr>
    <w:rPr>
      <w:rFonts w:ascii="宋体" w:hAnsi="Times New Roman" w:eastAsia="宋体" w:cs="Times New Roman"/>
      <w:sz w:val="24"/>
      <w:szCs w:val="22"/>
      <w:lang w:val="en-US" w:eastAsia="zh-CN" w:bidi="ar-SA"/>
    </w:rPr>
  </w:style>
  <w:style w:type="character" w:customStyle="1" w:styleId="80">
    <w:name w:val="样式 Char"/>
    <w:link w:val="79"/>
    <w:autoRedefine/>
    <w:qFormat/>
    <w:locked/>
    <w:uiPriority w:val="99"/>
    <w:rPr>
      <w:rFonts w:ascii="宋体"/>
      <w:sz w:val="24"/>
      <w:szCs w:val="22"/>
      <w:lang w:bidi="ar-SA"/>
    </w:rPr>
  </w:style>
  <w:style w:type="paragraph" w:customStyle="1" w:styleId="81">
    <w:name w:val="样式 标题 3 + (中文) 黑体 小四 非加粗 段前: 7.8 磅 段后: 0 磅 行距: 固定值 20 磅"/>
    <w:basedOn w:val="4"/>
    <w:autoRedefine/>
    <w:qFormat/>
    <w:uiPriority w:val="0"/>
    <w:pPr>
      <w:spacing w:before="0" w:after="0" w:line="400" w:lineRule="exact"/>
    </w:pPr>
    <w:rPr>
      <w:rFonts w:eastAsia="黑体" w:cs="宋体"/>
      <w:b w:val="0"/>
      <w:bCs w:val="0"/>
      <w:sz w:val="24"/>
      <w:szCs w:val="20"/>
    </w:rPr>
  </w:style>
  <w:style w:type="paragraph" w:customStyle="1" w:styleId="82">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 w:val="28"/>
      <w:szCs w:val="20"/>
    </w:rPr>
  </w:style>
  <w:style w:type="character" w:customStyle="1" w:styleId="83">
    <w:name w:val="正文文本 (2) + Sylfaen"/>
    <w:autoRedefine/>
    <w:qFormat/>
    <w:uiPriority w:val="99"/>
    <w:rPr>
      <w:rFonts w:ascii="Sylfaen" w:hAnsi="Sylfaen" w:eastAsia="Times New Roman"/>
      <w:color w:val="000000"/>
      <w:spacing w:val="0"/>
      <w:w w:val="100"/>
      <w:position w:val="0"/>
      <w:sz w:val="22"/>
      <w:u w:val="none"/>
      <w:lang w:val="en-US" w:eastAsia="en-US"/>
    </w:rPr>
  </w:style>
  <w:style w:type="paragraph" w:customStyle="1" w:styleId="84">
    <w:name w:val="_Style 29"/>
    <w:basedOn w:val="1"/>
    <w:autoRedefine/>
    <w:qFormat/>
    <w:uiPriority w:val="99"/>
    <w:pPr>
      <w:ind w:firstLine="420" w:firstLineChars="200"/>
    </w:pPr>
    <w:rPr>
      <w:kern w:val="0"/>
      <w:sz w:val="34"/>
      <w:szCs w:val="22"/>
    </w:rPr>
  </w:style>
  <w:style w:type="paragraph" w:customStyle="1" w:styleId="85">
    <w:name w:val="目录4 Char Char Char Char Char"/>
    <w:basedOn w:val="1"/>
    <w:autoRedefine/>
    <w:qFormat/>
    <w:uiPriority w:val="0"/>
    <w:pPr>
      <w:spacing w:beforeLines="50" w:afterLines="50" w:line="400" w:lineRule="exact"/>
    </w:pPr>
    <w:rPr>
      <w:rFonts w:ascii="黑体" w:eastAsia="黑体"/>
      <w:sz w:val="24"/>
    </w:rPr>
  </w:style>
  <w:style w:type="paragraph" w:customStyle="1" w:styleId="86">
    <w:name w:val="p0"/>
    <w:basedOn w:val="1"/>
    <w:autoRedefine/>
    <w:qFormat/>
    <w:uiPriority w:val="0"/>
    <w:pPr>
      <w:widowControl/>
    </w:pPr>
    <w:rPr>
      <w:kern w:val="0"/>
      <w:szCs w:val="20"/>
    </w:rPr>
  </w:style>
  <w:style w:type="paragraph" w:customStyle="1" w:styleId="87">
    <w:name w:val="È¡ÀÊ¡ÎÄ¡À¾1"/>
    <w:basedOn w:val="1"/>
    <w:autoRedefine/>
    <w:qFormat/>
    <w:uiPriority w:val="99"/>
    <w:pPr>
      <w:widowControl/>
      <w:overflowPunct w:val="0"/>
      <w:autoSpaceDE w:val="0"/>
      <w:autoSpaceDN w:val="0"/>
      <w:adjustRightInd w:val="0"/>
      <w:jc w:val="left"/>
      <w:textAlignment w:val="baseline"/>
    </w:pPr>
    <w:rPr>
      <w:sz w:val="24"/>
    </w:rPr>
  </w:style>
  <w:style w:type="paragraph" w:customStyle="1" w:styleId="88">
    <w:name w:val="´¡¡¡¡¡¡ì¬¬®¸Ù(ÎÞËõ½ø)"/>
    <w:basedOn w:val="1"/>
    <w:autoRedefine/>
    <w:qFormat/>
    <w:uiPriority w:val="99"/>
    <w:pPr>
      <w:widowControl/>
      <w:overflowPunct w:val="0"/>
      <w:autoSpaceDE w:val="0"/>
      <w:autoSpaceDN w:val="0"/>
      <w:adjustRightInd w:val="0"/>
      <w:jc w:val="left"/>
      <w:textAlignment w:val="baseline"/>
    </w:pPr>
    <w:rPr>
      <w:sz w:val="24"/>
    </w:rPr>
  </w:style>
  <w:style w:type="paragraph" w:customStyle="1" w:styleId="89">
    <w:name w:val="正文文本 (5)"/>
    <w:basedOn w:val="1"/>
    <w:autoRedefine/>
    <w:qFormat/>
    <w:uiPriority w:val="99"/>
    <w:pPr>
      <w:shd w:val="clear" w:color="auto" w:fill="FFFFFF"/>
      <w:spacing w:before="5100" w:line="240" w:lineRule="atLeast"/>
      <w:jc w:val="left"/>
    </w:pPr>
    <w:rPr>
      <w:rFonts w:ascii="宋体" w:hAnsi="宋体" w:cs="宋体"/>
      <w:kern w:val="0"/>
      <w:sz w:val="20"/>
      <w:szCs w:val="20"/>
    </w:rPr>
  </w:style>
  <w:style w:type="character" w:customStyle="1" w:styleId="90">
    <w:name w:val="font51"/>
    <w:basedOn w:val="42"/>
    <w:autoRedefine/>
    <w:qFormat/>
    <w:uiPriority w:val="99"/>
    <w:rPr>
      <w:rFonts w:ascii="宋体" w:hAnsi="宋体" w:eastAsia="宋体" w:cs="宋体"/>
      <w:b/>
      <w:color w:val="000000"/>
      <w:sz w:val="21"/>
      <w:szCs w:val="21"/>
      <w:u w:val="none"/>
    </w:rPr>
  </w:style>
  <w:style w:type="character" w:customStyle="1" w:styleId="91">
    <w:name w:val="font21"/>
    <w:basedOn w:val="42"/>
    <w:autoRedefine/>
    <w:qFormat/>
    <w:uiPriority w:val="99"/>
    <w:rPr>
      <w:rFonts w:ascii="宋体" w:hAnsi="宋体" w:eastAsia="宋体" w:cs="宋体"/>
      <w:b/>
      <w:color w:val="000000"/>
      <w:sz w:val="22"/>
      <w:szCs w:val="22"/>
      <w:u w:val="none"/>
    </w:rPr>
  </w:style>
  <w:style w:type="character" w:customStyle="1" w:styleId="92">
    <w:name w:val="font11"/>
    <w:basedOn w:val="42"/>
    <w:autoRedefine/>
    <w:qFormat/>
    <w:uiPriority w:val="99"/>
    <w:rPr>
      <w:rFonts w:ascii="宋体" w:hAnsi="宋体" w:eastAsia="宋体" w:cs="宋体"/>
      <w:b/>
      <w:color w:val="000000"/>
      <w:sz w:val="20"/>
      <w:szCs w:val="20"/>
      <w:u w:val="none"/>
    </w:rPr>
  </w:style>
  <w:style w:type="paragraph" w:customStyle="1" w:styleId="93">
    <w:name w:val="Body text|1"/>
    <w:basedOn w:val="1"/>
    <w:autoRedefine/>
    <w:qFormat/>
    <w:uiPriority w:val="99"/>
    <w:pPr>
      <w:spacing w:line="415" w:lineRule="auto"/>
      <w:ind w:firstLine="400"/>
    </w:pPr>
    <w:rPr>
      <w:rFonts w:ascii="宋体" w:hAnsi="宋体" w:cs="宋体"/>
      <w:sz w:val="22"/>
      <w:szCs w:val="22"/>
      <w:lang w:val="zh-TW" w:eastAsia="zh-TW"/>
    </w:rPr>
  </w:style>
  <w:style w:type="paragraph" w:customStyle="1" w:styleId="94">
    <w:name w:val="Other|1"/>
    <w:basedOn w:val="1"/>
    <w:autoRedefine/>
    <w:qFormat/>
    <w:uiPriority w:val="99"/>
    <w:pPr>
      <w:spacing w:line="415" w:lineRule="auto"/>
      <w:ind w:firstLine="400"/>
    </w:pPr>
    <w:rPr>
      <w:rFonts w:ascii="宋体" w:hAnsi="宋体" w:cs="宋体"/>
      <w:sz w:val="22"/>
      <w:szCs w:val="22"/>
      <w:lang w:val="zh-TW" w:eastAsia="zh-TW"/>
    </w:rPr>
  </w:style>
  <w:style w:type="paragraph" w:customStyle="1" w:styleId="95">
    <w:name w:val="Table caption|1"/>
    <w:basedOn w:val="1"/>
    <w:autoRedefine/>
    <w:qFormat/>
    <w:uiPriority w:val="99"/>
    <w:rPr>
      <w:rFonts w:ascii="宋体" w:hAnsi="宋体" w:cs="宋体"/>
      <w:sz w:val="26"/>
      <w:szCs w:val="26"/>
      <w:lang w:val="zh-TW" w:eastAsia="zh-TW"/>
    </w:rPr>
  </w:style>
  <w:style w:type="table" w:customStyle="1" w:styleId="96">
    <w:name w:val="网格型1"/>
    <w:basedOn w:val="4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7">
    <w:name w:val="Table Paragraph"/>
    <w:basedOn w:val="1"/>
    <w:autoRedefine/>
    <w:qFormat/>
    <w:uiPriority w:val="0"/>
    <w:pPr>
      <w:jc w:val="left"/>
    </w:pPr>
    <w:rPr>
      <w:rFonts w:ascii="Calibri" w:hAnsi="Calibri"/>
      <w:kern w:val="0"/>
      <w:sz w:val="22"/>
      <w:szCs w:val="22"/>
      <w:lang w:eastAsia="en-US"/>
    </w:rPr>
  </w:style>
  <w:style w:type="character" w:customStyle="1" w:styleId="98">
    <w:name w:val="页脚 Char1"/>
    <w:autoRedefine/>
    <w:qFormat/>
    <w:locked/>
    <w:uiPriority w:val="0"/>
    <w:rPr>
      <w:rFonts w:cs="Times New Roman"/>
      <w:sz w:val="18"/>
      <w:szCs w:val="18"/>
    </w:rPr>
  </w:style>
  <w:style w:type="character" w:customStyle="1" w:styleId="99">
    <w:name w:val="列表段落 字符"/>
    <w:link w:val="68"/>
    <w:autoRedefine/>
    <w:qFormat/>
    <w:uiPriority w:val="34"/>
    <w:rPr>
      <w:rFonts w:ascii="宋体" w:hAnsi="宋体" w:cs="宋体"/>
      <w:sz w:val="22"/>
      <w:szCs w:val="22"/>
      <w:lang w:eastAsia="en-US"/>
    </w:rPr>
  </w:style>
  <w:style w:type="character" w:customStyle="1" w:styleId="100">
    <w:name w:val="未处理的提及1"/>
    <w:basedOn w:val="42"/>
    <w:autoRedefine/>
    <w:unhideWhenUsed/>
    <w:qFormat/>
    <w:uiPriority w:val="99"/>
    <w:rPr>
      <w:color w:val="605E5C"/>
      <w:shd w:val="clear" w:color="auto" w:fill="E1DFDD"/>
    </w:rPr>
  </w:style>
  <w:style w:type="character" w:customStyle="1" w:styleId="101">
    <w:name w:val="普通(网站) 字符"/>
    <w:link w:val="36"/>
    <w:autoRedefine/>
    <w:qFormat/>
    <w:uiPriority w:val="0"/>
    <w:rPr>
      <w:rFonts w:ascii="宋体" w:hAnsi="宋体" w:cs="宋体"/>
      <w:sz w:val="24"/>
      <w:szCs w:val="24"/>
    </w:rPr>
  </w:style>
  <w:style w:type="character" w:customStyle="1" w:styleId="102">
    <w:name w:val="正文文本 3 字符"/>
    <w:link w:val="14"/>
    <w:autoRedefine/>
    <w:qFormat/>
    <w:uiPriority w:val="0"/>
    <w:rPr>
      <w:rFonts w:ascii="宋体" w:hAnsi="Tahoma"/>
      <w:kern w:val="2"/>
      <w:sz w:val="24"/>
    </w:rPr>
  </w:style>
  <w:style w:type="character" w:customStyle="1" w:styleId="103">
    <w:name w:val="正文文本 3 Char"/>
    <w:basedOn w:val="42"/>
    <w:autoRedefine/>
    <w:qFormat/>
    <w:uiPriority w:val="0"/>
    <w:rPr>
      <w:kern w:val="2"/>
      <w:sz w:val="16"/>
      <w:szCs w:val="16"/>
    </w:rPr>
  </w:style>
  <w:style w:type="character" w:customStyle="1" w:styleId="104">
    <w:name w:val="未处理的提及2"/>
    <w:basedOn w:val="42"/>
    <w:autoRedefine/>
    <w:unhideWhenUsed/>
    <w:qFormat/>
    <w:uiPriority w:val="99"/>
    <w:rPr>
      <w:color w:val="605E5C"/>
      <w:shd w:val="clear" w:color="auto" w:fill="E1DFDD"/>
    </w:rPr>
  </w:style>
  <w:style w:type="paragraph" w:customStyle="1" w:styleId="105">
    <w:name w:val="样式 首行缩进:  1 厘米 行距: 固定值 25 磅"/>
    <w:basedOn w:val="1"/>
    <w:autoRedefine/>
    <w:qFormat/>
    <w:uiPriority w:val="0"/>
    <w:pPr>
      <w:adjustRightInd w:val="0"/>
      <w:spacing w:line="460" w:lineRule="exact"/>
      <w:jc w:val="left"/>
      <w:textAlignment w:val="baseline"/>
    </w:pPr>
    <w:rPr>
      <w:kern w:val="0"/>
      <w:sz w:val="24"/>
    </w:rPr>
  </w:style>
  <w:style w:type="paragraph" w:customStyle="1" w:styleId="106">
    <w:name w:val="Body text|3"/>
    <w:basedOn w:val="1"/>
    <w:autoRedefine/>
    <w:qFormat/>
    <w:uiPriority w:val="0"/>
    <w:pPr>
      <w:spacing w:line="590" w:lineRule="exact"/>
    </w:pPr>
    <w:rPr>
      <w:rFonts w:ascii="宋体" w:hAnsi="宋体" w:cs="宋体"/>
      <w:sz w:val="26"/>
      <w:szCs w:val="26"/>
      <w:lang w:val="zh-TW" w:eastAsia="zh-TW" w:bidi="zh-TW"/>
    </w:rPr>
  </w:style>
  <w:style w:type="table" w:customStyle="1" w:styleId="107">
    <w:name w:val="Table Normal"/>
    <w:autoRedefine/>
    <w:semiHidden/>
    <w:unhideWhenUsed/>
    <w:qFormat/>
    <w:uiPriority w:val="0"/>
    <w:tblPr>
      <w:tblCellMar>
        <w:top w:w="0" w:type="dxa"/>
        <w:left w:w="0" w:type="dxa"/>
        <w:bottom w:w="0" w:type="dxa"/>
        <w:right w:w="0" w:type="dxa"/>
      </w:tblCellMar>
    </w:tblPr>
  </w:style>
  <w:style w:type="paragraph" w:customStyle="1" w:styleId="108">
    <w:name w:val="１正文模板"/>
    <w:basedOn w:val="1"/>
    <w:autoRedefine/>
    <w:qFormat/>
    <w:uiPriority w:val="0"/>
    <w:pPr>
      <w:widowControl/>
      <w:wordWrap w:val="0"/>
      <w:overflowPunct w:val="0"/>
      <w:adjustRightInd w:val="0"/>
      <w:spacing w:line="360" w:lineRule="auto"/>
      <w:ind w:firstLine="420"/>
      <w:jc w:val="left"/>
    </w:pPr>
    <w:rPr>
      <w:rFonts w:ascii="微软雅黑 Light" w:hAnsi="微软雅黑 Light" w:eastAsia="微软雅黑 Light"/>
      <w:kern w:val="0"/>
      <w:szCs w:val="21"/>
    </w:rPr>
  </w:style>
  <w:style w:type="paragraph" w:customStyle="1" w:styleId="109">
    <w:name w:val="修订1"/>
    <w:autoRedefine/>
    <w:hidden/>
    <w:qFormat/>
    <w:uiPriority w:val="99"/>
    <w:rPr>
      <w:rFonts w:ascii="Times New Roman" w:hAnsi="Times New Roman" w:eastAsia="宋体" w:cs="Times New Roman"/>
      <w:kern w:val="2"/>
      <w:sz w:val="21"/>
      <w:szCs w:val="24"/>
      <w:lang w:val="en-US" w:eastAsia="zh-CN" w:bidi="ar-SA"/>
    </w:rPr>
  </w:style>
  <w:style w:type="character" w:customStyle="1" w:styleId="110">
    <w:name w:val="日期 字符"/>
    <w:basedOn w:val="42"/>
    <w:link w:val="22"/>
    <w:autoRedefine/>
    <w:semiHidden/>
    <w:qFormat/>
    <w:uiPriority w:val="99"/>
    <w:rPr>
      <w:kern w:val="2"/>
      <w:sz w:val="21"/>
      <w:szCs w:val="24"/>
    </w:rPr>
  </w:style>
  <w:style w:type="character" w:customStyle="1" w:styleId="111">
    <w:name w:val="标题 3 Char"/>
    <w:autoRedefine/>
    <w:qFormat/>
    <w:uiPriority w:val="0"/>
    <w:rPr>
      <w:rFonts w:ascii="宋体" w:hAnsi="宋体" w:cs="宋体"/>
      <w:b/>
      <w:bCs/>
      <w:kern w:val="0"/>
      <w:sz w:val="27"/>
      <w:szCs w:val="27"/>
    </w:rPr>
  </w:style>
  <w:style w:type="character" w:customStyle="1" w:styleId="112">
    <w:name w:val="批注文字 字符1"/>
    <w:autoRedefine/>
    <w:qFormat/>
    <w:uiPriority w:val="0"/>
    <w:rPr>
      <w:rFonts w:ascii="Calibri" w:hAnsi="Calibri" w:eastAsia="宋体" w:cs="Times New Roman"/>
      <w:szCs w:val="24"/>
    </w:rPr>
  </w:style>
  <w:style w:type="character" w:customStyle="1" w:styleId="113">
    <w:name w:val="日期 字符1"/>
    <w:autoRedefine/>
    <w:qFormat/>
    <w:uiPriority w:val="99"/>
    <w:rPr>
      <w:rFonts w:ascii="Calibri" w:hAnsi="Calibri" w:eastAsia="宋体" w:cs="Times New Roman"/>
      <w:szCs w:val="24"/>
    </w:rPr>
  </w:style>
  <w:style w:type="character" w:customStyle="1" w:styleId="114">
    <w:name w:val="批注框文本 字符1"/>
    <w:autoRedefine/>
    <w:semiHidden/>
    <w:qFormat/>
    <w:locked/>
    <w:uiPriority w:val="99"/>
    <w:rPr>
      <w:rFonts w:ascii="Calibri" w:hAnsi="Calibri" w:eastAsia="宋体" w:cs="Times New Roman"/>
      <w:sz w:val="18"/>
      <w:szCs w:val="18"/>
    </w:rPr>
  </w:style>
  <w:style w:type="character" w:customStyle="1" w:styleId="115">
    <w:name w:val="页脚 Char"/>
    <w:autoRedefine/>
    <w:qFormat/>
    <w:uiPriority w:val="99"/>
    <w:rPr>
      <w:sz w:val="18"/>
      <w:szCs w:val="18"/>
    </w:rPr>
  </w:style>
  <w:style w:type="character" w:customStyle="1" w:styleId="116">
    <w:name w:val="页眉 Char"/>
    <w:autoRedefine/>
    <w:qFormat/>
    <w:uiPriority w:val="99"/>
    <w:rPr>
      <w:sz w:val="18"/>
      <w:szCs w:val="18"/>
    </w:rPr>
  </w:style>
  <w:style w:type="character" w:customStyle="1" w:styleId="117">
    <w:name w:val="副标题 字符"/>
    <w:basedOn w:val="42"/>
    <w:autoRedefine/>
    <w:qFormat/>
    <w:uiPriority w:val="11"/>
    <w:rPr>
      <w:b/>
      <w:bCs/>
      <w:kern w:val="28"/>
      <w:sz w:val="32"/>
      <w:szCs w:val="32"/>
    </w:rPr>
  </w:style>
  <w:style w:type="character" w:customStyle="1" w:styleId="118">
    <w:name w:val="副标题 字符1"/>
    <w:link w:val="28"/>
    <w:autoRedefine/>
    <w:qFormat/>
    <w:uiPriority w:val="11"/>
    <w:rPr>
      <w:rFonts w:ascii="Calibri" w:hAnsi="Calibri"/>
      <w:kern w:val="2"/>
      <w:sz w:val="16"/>
      <w:szCs w:val="16"/>
    </w:rPr>
  </w:style>
  <w:style w:type="character" w:customStyle="1" w:styleId="119">
    <w:name w:val="批注主题 字符1"/>
    <w:autoRedefine/>
    <w:qFormat/>
    <w:uiPriority w:val="99"/>
    <w:rPr>
      <w:rFonts w:ascii="Calibri" w:hAnsi="Calibri" w:eastAsia="宋体" w:cs="Times New Roman"/>
      <w:b/>
      <w:bCs/>
      <w:szCs w:val="24"/>
    </w:rPr>
  </w:style>
  <w:style w:type="paragraph" w:customStyle="1" w:styleId="120">
    <w:name w:val="列表段落1"/>
    <w:basedOn w:val="1"/>
    <w:autoRedefine/>
    <w:qFormat/>
    <w:uiPriority w:val="99"/>
    <w:pPr>
      <w:ind w:firstLine="420" w:firstLineChars="200"/>
    </w:pPr>
    <w:rPr>
      <w:rFonts w:ascii="Calibri" w:hAnsi="Calibri"/>
    </w:rPr>
  </w:style>
  <w:style w:type="paragraph" w:customStyle="1" w:styleId="121">
    <w:name w:val="Normal_21"/>
    <w:autoRedefine/>
    <w:qFormat/>
    <w:uiPriority w:val="0"/>
    <w:pPr>
      <w:spacing w:before="120" w:after="240"/>
      <w:jc w:val="both"/>
    </w:pPr>
    <w:rPr>
      <w:rFonts w:ascii="Calibri" w:hAnsi="Calibri" w:eastAsia="Calibri" w:cs="Times New Roman"/>
      <w:sz w:val="22"/>
      <w:szCs w:val="22"/>
      <w:lang w:val="en-US" w:eastAsia="en-US" w:bidi="ar-SA"/>
    </w:rPr>
  </w:style>
  <w:style w:type="paragraph" w:customStyle="1" w:styleId="122">
    <w:name w:val="Normal_20"/>
    <w:autoRedefine/>
    <w:qFormat/>
    <w:uiPriority w:val="0"/>
    <w:pPr>
      <w:spacing w:before="120" w:after="240"/>
      <w:jc w:val="both"/>
    </w:pPr>
    <w:rPr>
      <w:rFonts w:ascii="Calibri" w:hAnsi="Calibri" w:eastAsia="Calibri" w:cs="Times New Roman"/>
      <w:sz w:val="22"/>
      <w:szCs w:val="22"/>
      <w:lang w:val="en-US" w:eastAsia="en-US" w:bidi="ar-SA"/>
    </w:rPr>
  </w:style>
  <w:style w:type="paragraph" w:customStyle="1" w:styleId="123">
    <w:name w:val="Normal_22"/>
    <w:autoRedefine/>
    <w:qFormat/>
    <w:uiPriority w:val="0"/>
    <w:pPr>
      <w:spacing w:before="120" w:after="240"/>
      <w:jc w:val="both"/>
    </w:pPr>
    <w:rPr>
      <w:rFonts w:ascii="Calibri" w:hAnsi="Calibri" w:eastAsia="Calibri" w:cs="Times New Roman"/>
      <w:sz w:val="22"/>
      <w:szCs w:val="22"/>
      <w:lang w:val="en-US" w:eastAsia="en-US" w:bidi="ar-SA"/>
    </w:rPr>
  </w:style>
  <w:style w:type="paragraph" w:customStyle="1" w:styleId="124">
    <w:name w:val="Normal_23"/>
    <w:autoRedefine/>
    <w:qFormat/>
    <w:uiPriority w:val="0"/>
    <w:pPr>
      <w:spacing w:before="120" w:after="240"/>
      <w:jc w:val="both"/>
    </w:pPr>
    <w:rPr>
      <w:rFonts w:ascii="Calibri" w:hAnsi="Calibri" w:eastAsia="Calibri" w:cs="Times New Roman"/>
      <w:sz w:val="22"/>
      <w:szCs w:val="22"/>
      <w:lang w:val="en-US" w:eastAsia="en-US" w:bidi="ar-SA"/>
    </w:rPr>
  </w:style>
  <w:style w:type="paragraph" w:customStyle="1" w:styleId="125">
    <w:name w:val="1"/>
    <w:basedOn w:val="1"/>
    <w:autoRedefine/>
    <w:qFormat/>
    <w:uiPriority w:val="0"/>
    <w:pPr>
      <w:spacing w:afterLines="50" w:line="360" w:lineRule="auto"/>
      <w:ind w:firstLine="3243" w:firstLineChars="1080"/>
    </w:pPr>
    <w:rPr>
      <w:rFonts w:ascii="宋体" w:hAnsi="宋体"/>
      <w:b/>
      <w:sz w:val="30"/>
      <w:szCs w:val="21"/>
    </w:rPr>
  </w:style>
  <w:style w:type="paragraph" w:customStyle="1" w:styleId="126">
    <w:name w:val="Normal_43_0"/>
    <w:autoRedefine/>
    <w:qFormat/>
    <w:uiPriority w:val="0"/>
    <w:pPr>
      <w:spacing w:before="120" w:after="240"/>
      <w:jc w:val="both"/>
    </w:pPr>
    <w:rPr>
      <w:rFonts w:ascii="Calibri" w:hAnsi="Calibri" w:eastAsia="Calibri" w:cs="Times New Roman"/>
      <w:sz w:val="22"/>
      <w:szCs w:val="22"/>
      <w:lang w:val="en-US" w:eastAsia="en-US" w:bidi="ar-SA"/>
    </w:rPr>
  </w:style>
  <w:style w:type="paragraph" w:customStyle="1" w:styleId="127">
    <w:name w:val="Normal_45_0"/>
    <w:autoRedefine/>
    <w:qFormat/>
    <w:uiPriority w:val="0"/>
    <w:pPr>
      <w:spacing w:before="120" w:after="240"/>
      <w:jc w:val="both"/>
    </w:pPr>
    <w:rPr>
      <w:rFonts w:ascii="Calibri" w:hAnsi="Calibri" w:eastAsia="Calibri" w:cs="Times New Roman"/>
      <w:sz w:val="22"/>
      <w:szCs w:val="22"/>
      <w:lang w:val="en-US" w:eastAsia="en-US" w:bidi="ar-SA"/>
    </w:rPr>
  </w:style>
  <w:style w:type="paragraph" w:customStyle="1" w:styleId="128">
    <w:name w:val="Normal_9"/>
    <w:autoRedefine/>
    <w:qFormat/>
    <w:uiPriority w:val="0"/>
    <w:pPr>
      <w:spacing w:before="120" w:after="240"/>
      <w:jc w:val="both"/>
    </w:pPr>
    <w:rPr>
      <w:rFonts w:ascii="Calibri" w:hAnsi="Calibri" w:eastAsia="Calibri" w:cs="Times New Roman"/>
      <w:sz w:val="22"/>
      <w:szCs w:val="22"/>
      <w:lang w:val="en-US" w:eastAsia="en-US" w:bidi="ar-SA"/>
    </w:rPr>
  </w:style>
  <w:style w:type="paragraph" w:customStyle="1" w:styleId="129">
    <w:name w:val="Normal_34_0"/>
    <w:autoRedefine/>
    <w:qFormat/>
    <w:uiPriority w:val="0"/>
    <w:pPr>
      <w:spacing w:before="120" w:after="240"/>
      <w:jc w:val="both"/>
    </w:pPr>
    <w:rPr>
      <w:rFonts w:ascii="Calibri" w:hAnsi="Calibri" w:eastAsia="Calibri" w:cs="Times New Roman"/>
      <w:sz w:val="22"/>
      <w:szCs w:val="22"/>
      <w:lang w:val="en-US" w:eastAsia="en-US" w:bidi="ar-SA"/>
    </w:rPr>
  </w:style>
  <w:style w:type="character" w:customStyle="1" w:styleId="130">
    <w:name w:val="font161"/>
    <w:autoRedefine/>
    <w:qFormat/>
    <w:uiPriority w:val="0"/>
    <w:rPr>
      <w:b/>
      <w:bCs/>
      <w:sz w:val="32"/>
      <w:szCs w:val="32"/>
    </w:rPr>
  </w:style>
  <w:style w:type="paragraph" w:customStyle="1" w:styleId="131">
    <w:name w:val="WPSOffice手动目录 1"/>
    <w:autoRedefine/>
    <w:qFormat/>
    <w:uiPriority w:val="0"/>
    <w:rPr>
      <w:rFonts w:ascii="Calibri" w:hAnsi="Calibri" w:eastAsia="宋体" w:cs="Times New Roman"/>
      <w:lang w:val="en-US" w:eastAsia="zh-CN" w:bidi="ar-SA"/>
    </w:rPr>
  </w:style>
  <w:style w:type="paragraph" w:customStyle="1" w:styleId="132">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133">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34">
    <w:name w:val="Normal_1"/>
    <w:autoRedefine/>
    <w:qFormat/>
    <w:uiPriority w:val="0"/>
    <w:pPr>
      <w:spacing w:before="120" w:after="240"/>
      <w:jc w:val="both"/>
    </w:pPr>
    <w:rPr>
      <w:rFonts w:ascii="Calibri" w:hAnsi="Calibri" w:eastAsia="Calibri" w:cs="Times New Roman"/>
      <w:sz w:val="22"/>
      <w:szCs w:val="22"/>
      <w:lang w:val="en-US" w:eastAsia="en-US" w:bidi="ar-SA"/>
    </w:rPr>
  </w:style>
  <w:style w:type="character" w:customStyle="1" w:styleId="135">
    <w:name w:val="文档结构图 字符"/>
    <w:basedOn w:val="42"/>
    <w:autoRedefine/>
    <w:semiHidden/>
    <w:qFormat/>
    <w:uiPriority w:val="99"/>
    <w:rPr>
      <w:rFonts w:ascii="Microsoft YaHei UI" w:eastAsia="Microsoft YaHei UI"/>
      <w:kern w:val="2"/>
      <w:sz w:val="18"/>
      <w:szCs w:val="18"/>
    </w:rPr>
  </w:style>
  <w:style w:type="character" w:customStyle="1" w:styleId="136">
    <w:name w:val="文档结构图 字符1"/>
    <w:link w:val="12"/>
    <w:autoRedefine/>
    <w:qFormat/>
    <w:uiPriority w:val="0"/>
    <w:rPr>
      <w:rFonts w:ascii="宋体" w:hAnsi="Calibri"/>
      <w:kern w:val="2"/>
      <w:sz w:val="18"/>
      <w:szCs w:val="18"/>
    </w:rPr>
  </w:style>
  <w:style w:type="character" w:customStyle="1" w:styleId="137">
    <w:name w:val="正文文本首行缩进 字符"/>
    <w:basedOn w:val="60"/>
    <w:link w:val="38"/>
    <w:autoRedefine/>
    <w:qFormat/>
    <w:uiPriority w:val="99"/>
    <w:rPr>
      <w:rFonts w:ascii="宋体" w:hAnsi="宋体" w:eastAsia="宋体" w:cs="宋体"/>
      <w:kern w:val="0"/>
      <w:sz w:val="21"/>
      <w:szCs w:val="24"/>
      <w:lang w:eastAsia="en-US"/>
    </w:rPr>
  </w:style>
  <w:style w:type="character" w:customStyle="1" w:styleId="138">
    <w:name w:val="正文文本缩进 3 字符"/>
    <w:basedOn w:val="42"/>
    <w:link w:val="31"/>
    <w:autoRedefine/>
    <w:qFormat/>
    <w:uiPriority w:val="0"/>
    <w:rPr>
      <w:rFonts w:ascii="Calibri" w:hAnsi="Calibri"/>
      <w:kern w:val="2"/>
      <w:sz w:val="16"/>
      <w:szCs w:val="16"/>
    </w:rPr>
  </w:style>
  <w:style w:type="character" w:customStyle="1" w:styleId="139">
    <w:name w:val="style_kwd"/>
    <w:autoRedefine/>
    <w:qFormat/>
    <w:uiPriority w:val="0"/>
  </w:style>
  <w:style w:type="character" w:customStyle="1" w:styleId="140">
    <w:name w:val="批注文字 Char1"/>
    <w:autoRedefine/>
    <w:qFormat/>
    <w:uiPriority w:val="0"/>
    <w:rPr>
      <w:rFonts w:ascii="Times New Roman" w:hAnsi="Times New Roman" w:eastAsia="宋体" w:cs="Times New Roman"/>
      <w:sz w:val="20"/>
      <w:szCs w:val="20"/>
      <w:lang w:bidi="ar-SA"/>
    </w:rPr>
  </w:style>
  <w:style w:type="character" w:customStyle="1" w:styleId="141">
    <w:name w:val="Comment Text Char"/>
    <w:autoRedefine/>
    <w:qFormat/>
    <w:uiPriority w:val="0"/>
  </w:style>
  <w:style w:type="paragraph" w:customStyle="1" w:styleId="142">
    <w:name w:val="修订111"/>
    <w:autoRedefine/>
    <w:qFormat/>
    <w:uiPriority w:val="99"/>
    <w:rPr>
      <w:rFonts w:ascii="Times New Roman" w:hAnsi="Times New Roman" w:eastAsia="宋体" w:cs="Times New Roman"/>
      <w:kern w:val="2"/>
      <w:sz w:val="21"/>
      <w:lang w:val="en-US" w:eastAsia="zh-CN" w:bidi="ar-SA"/>
    </w:rPr>
  </w:style>
  <w:style w:type="paragraph" w:customStyle="1" w:styleId="143">
    <w:name w:val="_Style 23"/>
    <w:basedOn w:val="1"/>
    <w:autoRedefine/>
    <w:qFormat/>
    <w:uiPriority w:val="0"/>
    <w:pPr>
      <w:widowControl/>
      <w:spacing w:after="160" w:line="240" w:lineRule="exact"/>
      <w:jc w:val="left"/>
    </w:pPr>
    <w:rPr>
      <w:rFonts w:ascii="Calibri" w:hAnsi="Calibri"/>
      <w:szCs w:val="22"/>
    </w:rPr>
  </w:style>
  <w:style w:type="paragraph" w:customStyle="1" w:styleId="144">
    <w:name w:val="修订2"/>
    <w:autoRedefine/>
    <w:semiHidden/>
    <w:qFormat/>
    <w:uiPriority w:val="99"/>
    <w:rPr>
      <w:rFonts w:ascii="Calibri" w:hAnsi="Calibri" w:eastAsia="宋体" w:cs="Times New Roman"/>
      <w:kern w:val="2"/>
      <w:sz w:val="21"/>
      <w:szCs w:val="22"/>
      <w:lang w:val="en-US" w:eastAsia="zh-CN" w:bidi="ar-SA"/>
    </w:rPr>
  </w:style>
  <w:style w:type="paragraph" w:customStyle="1" w:styleId="145">
    <w:name w:val="修订3"/>
    <w:autoRedefine/>
    <w:semiHidden/>
    <w:qFormat/>
    <w:uiPriority w:val="99"/>
    <w:rPr>
      <w:rFonts w:ascii="Calibri" w:hAnsi="Calibri" w:eastAsia="宋体" w:cs="Times New Roman"/>
      <w:kern w:val="2"/>
      <w:sz w:val="21"/>
      <w:szCs w:val="22"/>
      <w:lang w:val="en-US" w:eastAsia="zh-CN" w:bidi="ar-SA"/>
    </w:rPr>
  </w:style>
  <w:style w:type="paragraph" w:customStyle="1" w:styleId="146">
    <w:name w:val="修订4"/>
    <w:autoRedefine/>
    <w:semiHidden/>
    <w:qFormat/>
    <w:uiPriority w:val="99"/>
    <w:rPr>
      <w:rFonts w:ascii="Calibri" w:hAnsi="Calibri" w:eastAsia="宋体" w:cs="Times New Roman"/>
      <w:kern w:val="2"/>
      <w:sz w:val="21"/>
      <w:szCs w:val="22"/>
      <w:lang w:val="en-US" w:eastAsia="zh-CN" w:bidi="ar-SA"/>
    </w:rPr>
  </w:style>
  <w:style w:type="paragraph" w:customStyle="1" w:styleId="147">
    <w:name w:val="修订5"/>
    <w:autoRedefine/>
    <w:unhideWhenUsed/>
    <w:qFormat/>
    <w:uiPriority w:val="99"/>
    <w:rPr>
      <w:rFonts w:ascii="Calibri" w:hAnsi="Calibri" w:eastAsia="宋体" w:cs="Times New Roman"/>
      <w:kern w:val="2"/>
      <w:sz w:val="21"/>
      <w:szCs w:val="22"/>
      <w:lang w:val="en-US" w:eastAsia="zh-CN" w:bidi="ar-SA"/>
    </w:rPr>
  </w:style>
  <w:style w:type="paragraph" w:customStyle="1" w:styleId="148">
    <w:name w:val="修订6"/>
    <w:autoRedefine/>
    <w:unhideWhenUsed/>
    <w:qFormat/>
    <w:uiPriority w:val="99"/>
    <w:rPr>
      <w:rFonts w:ascii="Calibri" w:hAnsi="Calibri" w:eastAsia="宋体" w:cs="Times New Roman"/>
      <w:kern w:val="2"/>
      <w:sz w:val="21"/>
      <w:szCs w:val="22"/>
      <w:lang w:val="en-US" w:eastAsia="zh-CN" w:bidi="ar-SA"/>
    </w:rPr>
  </w:style>
  <w:style w:type="paragraph" w:customStyle="1" w:styleId="149">
    <w:name w:val="修订7"/>
    <w:autoRedefine/>
    <w:semiHidden/>
    <w:qFormat/>
    <w:uiPriority w:val="99"/>
    <w:rPr>
      <w:rFonts w:ascii="Calibri" w:hAnsi="Calibri" w:eastAsia="宋体" w:cs="Times New Roman"/>
      <w:kern w:val="2"/>
      <w:sz w:val="21"/>
      <w:szCs w:val="22"/>
      <w:lang w:val="en-US" w:eastAsia="zh-CN" w:bidi="ar-SA"/>
    </w:rPr>
  </w:style>
  <w:style w:type="paragraph" w:customStyle="1" w:styleId="150">
    <w:name w:val="_Style 33"/>
    <w:basedOn w:val="1"/>
    <w:autoRedefine/>
    <w:qFormat/>
    <w:uiPriority w:val="99"/>
    <w:pPr>
      <w:ind w:firstLine="420" w:firstLineChars="200"/>
    </w:pPr>
    <w:rPr>
      <w:rFonts w:ascii="Calibri" w:hAnsi="Calibri"/>
      <w:szCs w:val="22"/>
    </w:rPr>
  </w:style>
  <w:style w:type="paragraph" w:customStyle="1" w:styleId="151">
    <w:name w:val="修订11"/>
    <w:autoRedefine/>
    <w:qFormat/>
    <w:uiPriority w:val="0"/>
    <w:rPr>
      <w:rFonts w:ascii="Times New Roman" w:hAnsi="Times New Roman" w:eastAsia="宋体" w:cs="Times New Roman"/>
      <w:kern w:val="2"/>
      <w:sz w:val="21"/>
      <w:lang w:val="en-US" w:eastAsia="zh-CN" w:bidi="ar-SA"/>
    </w:rPr>
  </w:style>
  <w:style w:type="character" w:customStyle="1" w:styleId="152">
    <w:name w:val="未处理的提及3"/>
    <w:basedOn w:val="42"/>
    <w:autoRedefine/>
    <w:semiHidden/>
    <w:unhideWhenUsed/>
    <w:qFormat/>
    <w:uiPriority w:val="99"/>
    <w:rPr>
      <w:color w:val="605E5C"/>
      <w:shd w:val="clear" w:color="auto" w:fill="E1DFDD"/>
    </w:rPr>
  </w:style>
  <w:style w:type="character" w:customStyle="1" w:styleId="153">
    <w:name w:val="明显引用 字符"/>
    <w:basedOn w:val="42"/>
    <w:link w:val="51"/>
    <w:autoRedefine/>
    <w:qFormat/>
    <w:uiPriority w:val="0"/>
    <w:rPr>
      <w:i/>
      <w:kern w:val="2"/>
      <w:sz w:val="21"/>
      <w:szCs w:val="24"/>
    </w:rPr>
  </w:style>
  <w:style w:type="paragraph" w:customStyle="1" w:styleId="154">
    <w:name w:val="样式1"/>
    <w:basedOn w:val="15"/>
    <w:autoRedefine/>
    <w:qFormat/>
    <w:uiPriority w:val="0"/>
    <w:pPr>
      <w:spacing w:line="400" w:lineRule="exact"/>
      <w:ind w:firstLine="200" w:firstLineChars="200"/>
      <w:jc w:val="both"/>
    </w:pPr>
    <w:rPr>
      <w:rFonts w:ascii="Times New Roman" w:hAnsi="Times New Roman" w:cs="Times New Roman" w:eastAsiaTheme="minorEastAsia"/>
      <w:sz w:val="21"/>
      <w:szCs w:val="21"/>
      <w:lang w:eastAsia="zh-CN"/>
    </w:rPr>
  </w:style>
  <w:style w:type="table" w:customStyle="1" w:styleId="155">
    <w:name w:val="网格型2"/>
    <w:basedOn w:val="4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6">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157">
    <w:name w:val="未处理的提及4"/>
    <w:basedOn w:val="42"/>
    <w:autoRedefine/>
    <w:semiHidden/>
    <w:unhideWhenUsed/>
    <w:qFormat/>
    <w:uiPriority w:val="99"/>
    <w:rPr>
      <w:color w:val="605E5C"/>
      <w:shd w:val="clear" w:color="auto" w:fill="E1DFDD"/>
    </w:rPr>
  </w:style>
  <w:style w:type="paragraph" w:customStyle="1" w:styleId="158">
    <w:name w:val="修订8"/>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59">
    <w:name w:val="修订9"/>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60">
    <w:name w:val="修订10"/>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61">
    <w:name w:val="修订1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162">
    <w:name w:val="未处理的提及5"/>
    <w:basedOn w:val="42"/>
    <w:autoRedefine/>
    <w:semiHidden/>
    <w:unhideWhenUsed/>
    <w:qFormat/>
    <w:uiPriority w:val="99"/>
    <w:rPr>
      <w:color w:val="605E5C"/>
      <w:shd w:val="clear" w:color="auto" w:fill="E1DFDD"/>
    </w:rPr>
  </w:style>
  <w:style w:type="paragraph" w:customStyle="1" w:styleId="163">
    <w:name w:val="修订1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64">
    <w:name w:val="修订14"/>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165">
    <w:name w:val="font41"/>
    <w:basedOn w:val="42"/>
    <w:autoRedefine/>
    <w:qFormat/>
    <w:uiPriority w:val="0"/>
    <w:rPr>
      <w:rFonts w:hint="default" w:ascii="Arial" w:hAnsi="Arial" w:cs="Arial"/>
      <w:color w:val="000000"/>
      <w:sz w:val="20"/>
      <w:szCs w:val="20"/>
      <w:u w:val="none"/>
    </w:rPr>
  </w:style>
  <w:style w:type="character" w:customStyle="1" w:styleId="166">
    <w:name w:val="font31"/>
    <w:basedOn w:val="42"/>
    <w:autoRedefine/>
    <w:qFormat/>
    <w:uiPriority w:val="0"/>
    <w:rPr>
      <w:rFonts w:hint="eastAsia" w:ascii="宋体" w:hAnsi="宋体" w:eastAsia="宋体" w:cs="宋体"/>
      <w:color w:val="000000"/>
      <w:sz w:val="20"/>
      <w:szCs w:val="20"/>
      <w:u w:val="none"/>
    </w:rPr>
  </w:style>
  <w:style w:type="paragraph" w:customStyle="1" w:styleId="167">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4452C4-C43C-4D2F-AA7B-7800C4FF86BA}">
  <ds:schemaRefs/>
</ds:datastoreItem>
</file>

<file path=docProps/app.xml><?xml version="1.0" encoding="utf-8"?>
<Properties xmlns="http://schemas.openxmlformats.org/officeDocument/2006/extended-properties" xmlns:vt="http://schemas.openxmlformats.org/officeDocument/2006/docPropsVTypes">
  <Template>Normal</Template>
  <Pages>64</Pages>
  <Words>4552</Words>
  <Characters>5123</Characters>
  <Lines>204</Lines>
  <Paragraphs>57</Paragraphs>
  <TotalTime>15</TotalTime>
  <ScaleCrop>false</ScaleCrop>
  <LinksUpToDate>false</LinksUpToDate>
  <CharactersWithSpaces>5335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2023-10-25T07:34:00Z</dcterms:created>
  <dc:creator>1</dc:creator>
  <cp:lastModifiedBy> 大的</cp:lastModifiedBy>
  <cp:lastPrinted>2025-12-16T03:13:00Z</cp:lastPrinted>
  <dcterms:modified xsi:type="dcterms:W3CDTF">2025-12-23T00:12:36Z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215DD8310023458AB87032F50EEB2F8A_13</vt:lpwstr>
  </property>
  <property fmtid="{D5CDD505-2E9C-101B-9397-08002B2CF9AE}" pid="4" name="KSOTemplateDocerSaveRecord">
    <vt:lpwstr>eyJoZGlkIjoiMzRjZjg4MTliNjRjNjA0ZDliZTkxMTk0MTlkM2U4Y2IiLCJ1c2VySWQiOiI0MzQ3MjE5MTEifQ==</vt:lpwstr>
  </property>
</Properties>
</file>