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67CA">
      <w:pPr>
        <w:spacing w:line="360" w:lineRule="auto"/>
        <w:ind w:firstLine="4082" w:firstLineChars="567"/>
        <w:rPr>
          <w:rFonts w:ascii="宋体" w:hAnsi="宋体"/>
          <w:sz w:val="72"/>
          <w:szCs w:val="72"/>
        </w:rPr>
      </w:pPr>
      <w:bookmarkStart w:id="614" w:name="_GoBack"/>
      <w:bookmarkEnd w:id="614"/>
    </w:p>
    <w:p w14:paraId="28DCB55B">
      <w:pPr>
        <w:jc w:val="center"/>
        <w:rPr>
          <w:rFonts w:hint="eastAsia" w:ascii="黑体" w:hAnsi="黑体" w:eastAsia="黑体"/>
          <w:sz w:val="28"/>
          <w:szCs w:val="28"/>
          <w:lang w:val="en-US" w:eastAsia="zh-CN"/>
        </w:rPr>
      </w:pPr>
      <w:r>
        <w:rPr>
          <w:rFonts w:hint="eastAsia" w:ascii="黑体" w:hAnsi="黑体" w:eastAsia="黑体"/>
          <w:sz w:val="44"/>
          <w:lang w:eastAsia="zh-CN"/>
        </w:rPr>
        <w:t>河北交投绿色建材有限公司2026-2027年度经营生产用原材料供应商入库（补充入库）二次</w:t>
      </w:r>
    </w:p>
    <w:p w14:paraId="3E9BEF64">
      <w:pPr>
        <w:ind w:firstLine="2800" w:firstLineChars="1000"/>
        <w:rPr>
          <w:rFonts w:ascii="黑体" w:hAnsi="黑体" w:eastAsia="黑体"/>
          <w:sz w:val="28"/>
          <w:szCs w:val="28"/>
        </w:rPr>
      </w:pPr>
    </w:p>
    <w:p w14:paraId="4F60E835">
      <w:pPr>
        <w:rPr>
          <w:rFonts w:ascii="黑体" w:hAnsi="黑体" w:eastAsia="黑体"/>
          <w:b/>
          <w:sz w:val="36"/>
          <w:szCs w:val="36"/>
        </w:rPr>
      </w:pPr>
    </w:p>
    <w:p w14:paraId="4AED7EBF">
      <w:pPr>
        <w:pStyle w:val="39"/>
        <w:ind w:firstLine="480"/>
        <w:rPr>
          <w:rFonts w:ascii="黑体" w:hAnsi="黑体" w:eastAsia="黑体"/>
        </w:rPr>
      </w:pPr>
    </w:p>
    <w:p w14:paraId="43CA39F7">
      <w:pPr>
        <w:rPr>
          <w:rFonts w:ascii="黑体" w:hAnsi="黑体" w:eastAsia="黑体"/>
        </w:rPr>
      </w:pPr>
    </w:p>
    <w:p w14:paraId="0425FC66">
      <w:pPr>
        <w:pStyle w:val="15"/>
        <w:rPr>
          <w:rFonts w:ascii="黑体" w:hAnsi="黑体" w:eastAsia="黑体" w:cs="Times New Roman"/>
          <w:lang w:eastAsia="zh-CN"/>
        </w:rPr>
      </w:pPr>
    </w:p>
    <w:p w14:paraId="45A167A5">
      <w:pPr>
        <w:jc w:val="center"/>
        <w:rPr>
          <w:rFonts w:ascii="黑体" w:hAnsi="黑体" w:eastAsia="黑体"/>
          <w:sz w:val="56"/>
          <w:szCs w:val="36"/>
        </w:rPr>
      </w:pPr>
      <w:r>
        <w:rPr>
          <w:rFonts w:ascii="黑体" w:hAnsi="黑体" w:eastAsia="黑体"/>
          <w:sz w:val="56"/>
          <w:szCs w:val="36"/>
        </w:rPr>
        <w:t>框架协议采购文件</w:t>
      </w:r>
    </w:p>
    <w:p w14:paraId="7217F71B">
      <w:pPr>
        <w:pStyle w:val="79"/>
        <w:jc w:val="center"/>
        <w:rPr>
          <w:rFonts w:ascii="黑体" w:hAnsi="黑体" w:eastAsia="黑体"/>
          <w:b/>
          <w:bCs/>
          <w:kern w:val="28"/>
          <w:sz w:val="28"/>
          <w:szCs w:val="28"/>
        </w:rPr>
      </w:pPr>
    </w:p>
    <w:p w14:paraId="18AFD73B">
      <w:pPr>
        <w:spacing w:line="700" w:lineRule="exact"/>
        <w:jc w:val="center"/>
        <w:rPr>
          <w:rFonts w:hint="default" w:ascii="黑体" w:hAnsi="黑体" w:eastAsia="宋体"/>
          <w:b/>
          <w:bCs/>
          <w:sz w:val="30"/>
          <w:highlight w:val="none"/>
          <w:lang w:val="en-US" w:eastAsia="zh-CN"/>
        </w:rPr>
      </w:pPr>
      <w:r>
        <w:rPr>
          <w:rFonts w:hint="eastAsia" w:ascii="宋体" w:hAnsi="宋体" w:cs="宋体"/>
          <w:sz w:val="24"/>
          <w:highlight w:val="none"/>
        </w:rPr>
        <w:t>采购编号：XJTZB-202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174</w:t>
      </w:r>
    </w:p>
    <w:p w14:paraId="5711F612">
      <w:pPr>
        <w:spacing w:line="700" w:lineRule="exact"/>
        <w:rPr>
          <w:rFonts w:ascii="黑体" w:hAnsi="黑体" w:eastAsia="黑体"/>
          <w:b/>
          <w:bCs/>
          <w:sz w:val="30"/>
        </w:rPr>
      </w:pPr>
    </w:p>
    <w:p w14:paraId="10100B85">
      <w:pPr>
        <w:pStyle w:val="17"/>
        <w:ind w:left="0" w:firstLine="0"/>
        <w:rPr>
          <w:rFonts w:ascii="黑体" w:hAnsi="黑体" w:eastAsia="黑体"/>
        </w:rPr>
      </w:pPr>
    </w:p>
    <w:p w14:paraId="73B74379">
      <w:pPr>
        <w:pStyle w:val="17"/>
        <w:ind w:left="0" w:firstLine="0"/>
        <w:rPr>
          <w:rFonts w:ascii="黑体" w:hAnsi="黑体" w:eastAsia="黑体"/>
        </w:rPr>
      </w:pPr>
    </w:p>
    <w:p w14:paraId="681C0520">
      <w:pPr>
        <w:pStyle w:val="17"/>
        <w:ind w:left="0" w:firstLine="0"/>
        <w:rPr>
          <w:rFonts w:ascii="黑体" w:hAnsi="黑体" w:eastAsia="黑体"/>
        </w:rPr>
      </w:pPr>
    </w:p>
    <w:p w14:paraId="07E4D73E">
      <w:pPr>
        <w:pStyle w:val="17"/>
        <w:ind w:left="0" w:firstLine="0"/>
        <w:rPr>
          <w:rFonts w:ascii="黑体" w:hAnsi="黑体" w:eastAsia="黑体"/>
        </w:rPr>
      </w:pPr>
    </w:p>
    <w:p w14:paraId="48DB4452">
      <w:pPr>
        <w:pStyle w:val="17"/>
        <w:ind w:left="0" w:firstLine="0"/>
        <w:rPr>
          <w:rFonts w:ascii="黑体" w:hAnsi="黑体" w:eastAsia="黑体"/>
        </w:rPr>
      </w:pPr>
    </w:p>
    <w:p w14:paraId="48B3B4B8">
      <w:pPr>
        <w:pStyle w:val="17"/>
        <w:ind w:left="0" w:firstLine="0"/>
        <w:rPr>
          <w:rFonts w:ascii="黑体" w:hAnsi="黑体" w:eastAsia="黑体"/>
        </w:rPr>
      </w:pPr>
    </w:p>
    <w:p w14:paraId="35EC0366">
      <w:pPr>
        <w:pStyle w:val="17"/>
        <w:ind w:left="0" w:firstLine="0"/>
        <w:rPr>
          <w:rFonts w:ascii="黑体" w:hAnsi="黑体" w:eastAsia="黑体"/>
        </w:rPr>
      </w:pPr>
    </w:p>
    <w:p w14:paraId="2725EAF4">
      <w:pPr>
        <w:pStyle w:val="17"/>
        <w:ind w:left="0" w:firstLine="0"/>
        <w:rPr>
          <w:rFonts w:ascii="黑体" w:hAnsi="黑体" w:eastAsia="黑体"/>
        </w:rPr>
      </w:pPr>
    </w:p>
    <w:p w14:paraId="425DA6F6">
      <w:pPr>
        <w:jc w:val="center"/>
        <w:rPr>
          <w:rFonts w:ascii="黑体" w:hAnsi="黑体" w:eastAsia="黑体"/>
          <w:u w:val="single"/>
        </w:rPr>
      </w:pPr>
      <w:bookmarkStart w:id="0" w:name="_Toc323194961"/>
      <w:bookmarkStart w:id="1" w:name="_Toc327973437"/>
      <w:bookmarkStart w:id="2" w:name="_Toc325058107"/>
      <w:bookmarkStart w:id="3" w:name="_Toc320201553"/>
      <w:bookmarkStart w:id="4" w:name="_Toc320201939"/>
      <w:bookmarkStart w:id="5" w:name="_Toc320200097"/>
      <w:bookmarkStart w:id="6" w:name="_Toc325057844"/>
      <w:bookmarkStart w:id="7" w:name="_Toc320201745"/>
      <w:bookmarkStart w:id="8" w:name="_Toc365441052"/>
      <w:bookmarkStart w:id="9" w:name="_Toc320210815"/>
      <w:bookmarkStart w:id="10" w:name="_Toc320200989"/>
      <w:bookmarkStart w:id="11" w:name="_Toc339233557"/>
      <w:bookmarkStart w:id="12" w:name="_Toc323022469"/>
      <w:bookmarkStart w:id="13" w:name="_Toc320201124"/>
      <w:bookmarkStart w:id="14" w:name="_Toc365441066"/>
      <w:bookmarkStart w:id="15" w:name="_Toc327973217"/>
      <w:bookmarkStart w:id="16" w:name="_Toc320202323"/>
      <w:bookmarkStart w:id="17" w:name="_Toc339215420"/>
      <w:bookmarkStart w:id="18" w:name="_Toc331322144"/>
      <w:bookmarkStart w:id="19" w:name="_Toc343613061"/>
      <w:bookmarkStart w:id="20" w:name="_Toc322614128"/>
      <w:r>
        <w:rPr>
          <w:rFonts w:ascii="黑体" w:hAnsi="黑体" w:eastAsia="黑体"/>
          <w:sz w:val="28"/>
        </w:rPr>
        <w:t>采   购   人：</w:t>
      </w:r>
      <w:r>
        <w:rPr>
          <w:rFonts w:hint="eastAsia" w:ascii="黑体" w:hAnsi="黑体" w:eastAsia="黑体"/>
          <w:sz w:val="28"/>
          <w:u w:val="single"/>
        </w:rPr>
        <w:t>河北交投绿色建材有限公司</w:t>
      </w:r>
    </w:p>
    <w:p w14:paraId="26C8582F">
      <w:pPr>
        <w:spacing w:line="360" w:lineRule="auto"/>
        <w:jc w:val="center"/>
        <w:rPr>
          <w:rFonts w:ascii="黑体" w:hAnsi="黑体" w:eastAsia="黑体"/>
          <w:sz w:val="24"/>
        </w:rPr>
      </w:pPr>
    </w:p>
    <w:p w14:paraId="3C43CB9C">
      <w:pPr>
        <w:spacing w:line="360" w:lineRule="auto"/>
        <w:jc w:val="center"/>
        <w:rPr>
          <w:rFonts w:ascii="黑体" w:hAnsi="黑体" w:eastAsia="黑体"/>
          <w:sz w:val="24"/>
        </w:rPr>
      </w:pPr>
      <w:r>
        <w:rPr>
          <w:rFonts w:ascii="黑体" w:hAnsi="黑体" w:eastAsia="黑体"/>
          <w:sz w:val="28"/>
        </w:rPr>
        <w:t>采购代理机构：</w:t>
      </w:r>
      <w:r>
        <w:rPr>
          <w:rFonts w:hint="eastAsia" w:ascii="黑体" w:hAnsi="黑体" w:eastAsia="黑体"/>
          <w:sz w:val="28"/>
          <w:u w:val="single"/>
        </w:rPr>
        <w:t>河北雄安交投工程咨询有限公司</w:t>
      </w:r>
    </w:p>
    <w:p w14:paraId="0D5A7D3A">
      <w:pPr>
        <w:jc w:val="center"/>
        <w:rPr>
          <w:rFonts w:ascii="黑体" w:hAnsi="黑体" w:eastAsia="黑体"/>
          <w:sz w:val="28"/>
        </w:rPr>
      </w:pPr>
    </w:p>
    <w:p w14:paraId="79664CC1">
      <w:pPr>
        <w:jc w:val="center"/>
        <w:rPr>
          <w:rFonts w:ascii="黑体" w:hAnsi="黑体" w:eastAsia="黑体"/>
          <w:sz w:val="28"/>
        </w:rPr>
      </w:pPr>
      <w:r>
        <w:rPr>
          <w:rFonts w:ascii="黑体" w:hAnsi="黑体" w:eastAsia="黑体"/>
          <w:sz w:val="28"/>
        </w:rPr>
        <w:t>日期：</w:t>
      </w:r>
      <w:r>
        <w:rPr>
          <w:rFonts w:hint="eastAsia" w:ascii="黑体" w:hAnsi="黑体" w:eastAsia="黑体"/>
          <w:sz w:val="28"/>
          <w:u w:val="single"/>
        </w:rPr>
        <w:t>二零二</w:t>
      </w:r>
      <w:r>
        <w:rPr>
          <w:rFonts w:hint="eastAsia" w:ascii="黑体" w:hAnsi="黑体" w:eastAsia="黑体"/>
          <w:sz w:val="28"/>
          <w:u w:val="single"/>
          <w:lang w:val="en-US" w:eastAsia="zh-CN"/>
        </w:rPr>
        <w:t>五</w:t>
      </w:r>
      <w:r>
        <w:rPr>
          <w:rFonts w:ascii="黑体" w:hAnsi="黑体" w:eastAsia="黑体"/>
          <w:sz w:val="28"/>
        </w:rPr>
        <w:t>年</w:t>
      </w:r>
      <w:r>
        <w:rPr>
          <w:rFonts w:hint="eastAsia" w:ascii="黑体" w:hAnsi="黑体" w:eastAsia="黑体"/>
          <w:sz w:val="28"/>
          <w:u w:val="single"/>
          <w:lang w:val="en-US" w:eastAsia="zh-CN"/>
        </w:rPr>
        <w:t>十二</w:t>
      </w:r>
      <w:r>
        <w:rPr>
          <w:rFonts w:ascii="黑体" w:hAnsi="黑体" w:eastAsia="黑体"/>
          <w:sz w:val="28"/>
        </w:rPr>
        <w:t>月</w:t>
      </w:r>
    </w:p>
    <w:p w14:paraId="0230FE4B">
      <w:pPr>
        <w:jc w:val="center"/>
        <w:rPr>
          <w:rFonts w:ascii="宋体" w:hAnsi="宋体"/>
          <w:b/>
          <w:bCs/>
          <w:sz w:val="30"/>
          <w:szCs w:val="30"/>
        </w:rPr>
      </w:pPr>
      <w:r>
        <w:rPr>
          <w:rFonts w:ascii="宋体" w:hAnsi="宋体"/>
          <w:b/>
          <w:bCs/>
          <w:sz w:val="30"/>
          <w:szCs w:val="3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AAE10E1">
      <w:pPr>
        <w:jc w:val="center"/>
        <w:rPr>
          <w:rFonts w:ascii="宋体" w:hAnsi="宋体"/>
          <w:b/>
          <w:bCs/>
          <w:sz w:val="36"/>
          <w:szCs w:val="36"/>
        </w:rPr>
      </w:pPr>
      <w:bookmarkStart w:id="21" w:name="_Toc8483_WPSOffice_Type3"/>
      <w:r>
        <w:rPr>
          <w:rFonts w:ascii="宋体" w:hAnsi="宋体"/>
          <w:b/>
          <w:bCs/>
          <w:sz w:val="36"/>
          <w:szCs w:val="36"/>
        </w:rPr>
        <w:t>目  录</w:t>
      </w:r>
    </w:p>
    <w:bookmarkEnd w:id="21"/>
    <w:p w14:paraId="7A5FF12B">
      <w:pPr>
        <w:pStyle w:val="26"/>
        <w:tabs>
          <w:tab w:val="right" w:leader="dot" w:pos="8630"/>
        </w:tabs>
        <w:spacing w:beforeLines="50" w:afterLines="50" w:line="300" w:lineRule="exact"/>
        <w:rPr>
          <w:rFonts w:ascii="Times New Roman" w:hAnsi="Times New Roman" w:cs="Times New Roman"/>
          <w:b w:val="0"/>
          <w:bCs w:val="0"/>
          <w:caps w:val="0"/>
          <w:sz w:val="21"/>
          <w:szCs w:val="22"/>
          <w14:ligatures w14:val="standardContextual"/>
        </w:rPr>
      </w:pPr>
      <w:r>
        <w:rPr>
          <w:rFonts w:ascii="宋体" w:hAnsi="宋体" w:cs="Times New Roman"/>
        </w:rPr>
        <w:fldChar w:fldCharType="begin"/>
      </w:r>
      <w:r>
        <w:rPr>
          <w:rFonts w:ascii="宋体" w:hAnsi="宋体" w:cs="Times New Roman"/>
        </w:rPr>
        <w:instrText xml:space="preserve"> TOC \o "1-3" \h \z \u </w:instrText>
      </w:r>
      <w:r>
        <w:rPr>
          <w:rFonts w:ascii="宋体" w:hAnsi="宋体" w:cs="Times New Roman"/>
        </w:rPr>
        <w:fldChar w:fldCharType="separate"/>
      </w:r>
      <w:r>
        <w:fldChar w:fldCharType="begin"/>
      </w:r>
      <w:r>
        <w:instrText xml:space="preserve"> HYPERLINK \l "_Toc149140163" </w:instrText>
      </w:r>
      <w:r>
        <w:fldChar w:fldCharType="separate"/>
      </w:r>
      <w:r>
        <w:rPr>
          <w:rStyle w:val="46"/>
          <w:rFonts w:ascii="Times New Roman" w:hAnsi="Times New Roman"/>
          <w:b w:val="0"/>
          <w:bCs w:val="0"/>
        </w:rPr>
        <w:t>第一章 框架协议采购公告</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_Toc149140163 \h </w:instrText>
      </w:r>
      <w:r>
        <w:rPr>
          <w:rFonts w:ascii="Times New Roman" w:hAnsi="Times New Roman" w:cs="Times New Roman"/>
          <w:b w:val="0"/>
          <w:bCs w:val="0"/>
        </w:rPr>
        <w:fldChar w:fldCharType="separate"/>
      </w:r>
      <w:r>
        <w:rPr>
          <w:rFonts w:ascii="Times New Roman" w:hAnsi="Times New Roman" w:cs="Times New Roman"/>
          <w:b w:val="0"/>
          <w:bCs w:val="0"/>
        </w:rPr>
        <w:t>1</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42EBC468">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"_Toc149140164" </w:instrText>
      </w:r>
      <w:r>
        <w:fldChar w:fldCharType="separate"/>
      </w:r>
      <w:r>
        <w:rPr>
          <w:rStyle w:val="46"/>
          <w:rFonts w:ascii="Times New Roman" w:hAnsi="Times New Roman"/>
          <w:spacing w:val="1"/>
          <w:kern w:val="0"/>
        </w:rPr>
        <w:t>1.采购项目简介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_Toc149140164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29ED78FF">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"_Toc149140167" </w:instrText>
      </w:r>
      <w:r>
        <w:fldChar w:fldCharType="separate"/>
      </w:r>
      <w:r>
        <w:rPr>
          <w:rStyle w:val="46"/>
          <w:rFonts w:ascii="Times New Roman" w:hAnsi="Times New Roman"/>
          <w:spacing w:val="1"/>
          <w:kern w:val="0"/>
        </w:rPr>
        <w:t>2.采购范围及相关要求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_Toc149140167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04EA27A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"_Toc149140168" </w:instrText>
      </w:r>
      <w:r>
        <w:fldChar w:fldCharType="separate"/>
      </w:r>
      <w:r>
        <w:rPr>
          <w:rStyle w:val="46"/>
          <w:rFonts w:ascii="Times New Roman" w:hAnsi="Times New Roman"/>
          <w:spacing w:val="1"/>
          <w:kern w:val="0"/>
        </w:rPr>
        <w:t>3.供应商资格要求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_Toc149140168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152912E0">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"_Toc149140169" </w:instrText>
      </w:r>
      <w:r>
        <w:fldChar w:fldCharType="separate"/>
      </w:r>
      <w:r>
        <w:rPr>
          <w:rStyle w:val="46"/>
          <w:rFonts w:ascii="Times New Roman" w:hAnsi="Times New Roman"/>
          <w:spacing w:val="1"/>
          <w:kern w:val="0"/>
        </w:rPr>
        <w:t>4.采购文件的获取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_Toc149140169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14:paraId="1BFC04E0">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"_Toc149140170" </w:instrText>
      </w:r>
      <w:r>
        <w:fldChar w:fldCharType="separate"/>
      </w:r>
      <w:r>
        <w:rPr>
          <w:rStyle w:val="46"/>
          <w:rFonts w:ascii="Times New Roman" w:hAnsi="Times New Roman"/>
          <w:spacing w:val="1"/>
          <w:kern w:val="0"/>
        </w:rPr>
        <w:t>5.响应文件的递交及开启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_Toc149140170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42AD903D">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"_Toc149140171" </w:instrText>
      </w:r>
      <w:r>
        <w:fldChar w:fldCharType="separate"/>
      </w:r>
      <w:r>
        <w:rPr>
          <w:rStyle w:val="46"/>
          <w:rFonts w:ascii="Times New Roman" w:hAnsi="Times New Roman"/>
          <w:spacing w:val="1"/>
          <w:kern w:val="0"/>
        </w:rPr>
        <w:t>6.发布公告的媒介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_Toc149140171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3A2E639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"_Toc149140172" </w:instrText>
      </w:r>
      <w:r>
        <w:fldChar w:fldCharType="separate"/>
      </w:r>
      <w:r>
        <w:rPr>
          <w:rStyle w:val="46"/>
          <w:rFonts w:ascii="Times New Roman" w:hAnsi="Times New Roman"/>
          <w:spacing w:val="1"/>
          <w:kern w:val="0"/>
        </w:rPr>
        <w:t>7.其他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_Toc149140172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78BD8A8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"_Toc149140173" </w:instrText>
      </w:r>
      <w:r>
        <w:fldChar w:fldCharType="separate"/>
      </w:r>
      <w:r>
        <w:rPr>
          <w:rStyle w:val="46"/>
          <w:rFonts w:ascii="Times New Roman" w:hAnsi="Times New Roman"/>
          <w:spacing w:val="1"/>
          <w:kern w:val="0"/>
        </w:rPr>
        <w:t>8.联系方式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_Toc149140173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2D464F0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"_Toc149140174" </w:instrText>
      </w:r>
      <w:r>
        <w:fldChar w:fldCharType="separate"/>
      </w:r>
      <w:r>
        <w:rPr>
          <w:rStyle w:val="46"/>
          <w:rFonts w:ascii="Times New Roman" w:hAnsi="Times New Roman"/>
          <w:spacing w:val="1"/>
          <w:kern w:val="0"/>
        </w:rPr>
        <w:t>9.河北交投招标与采购服务平台使用说明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_Toc149140174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0B0BBB0F">
      <w:pPr>
        <w:pStyle w:val="26"/>
        <w:tabs>
          <w:tab w:val="right" w:leader="dot" w:pos="8630"/>
        </w:tabs>
        <w:spacing w:beforeLines="50" w:afterLines="50" w:line="300" w:lineRule="exact"/>
        <w:rPr>
          <w:rFonts w:ascii="Times New Roman" w:hAnsi="Times New Roman" w:cs="Times New Roman"/>
          <w:b w:val="0"/>
          <w:bCs w:val="0"/>
          <w:caps w:val="0"/>
          <w:sz w:val="21"/>
          <w:szCs w:val="22"/>
          <w14:ligatures w14:val="standardContextual"/>
        </w:rPr>
      </w:pPr>
      <w:r>
        <w:fldChar w:fldCharType="begin"/>
      </w:r>
      <w:r>
        <w:instrText xml:space="preserve"> HYPERLINK \l "_Toc149140187" </w:instrText>
      </w:r>
      <w:r>
        <w:fldChar w:fldCharType="separate"/>
      </w:r>
      <w:r>
        <w:rPr>
          <w:rStyle w:val="46"/>
          <w:rFonts w:ascii="Times New Roman" w:hAnsi="Times New Roman"/>
          <w:b w:val="0"/>
          <w:bCs w:val="0"/>
        </w:rPr>
        <w:t>第二章 供应商须知</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_Toc149140187 \h </w:instrText>
      </w:r>
      <w:r>
        <w:rPr>
          <w:rFonts w:ascii="Times New Roman" w:hAnsi="Times New Roman" w:cs="Times New Roman"/>
          <w:b w:val="0"/>
          <w:bCs w:val="0"/>
        </w:rPr>
        <w:fldChar w:fldCharType="separate"/>
      </w:r>
      <w:r>
        <w:rPr>
          <w:rFonts w:ascii="Times New Roman" w:hAnsi="Times New Roman" w:cs="Times New Roman"/>
          <w:b w:val="0"/>
          <w:bCs w:val="0"/>
        </w:rPr>
        <w:t>7</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2F049DC3">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"_Toc149140190" </w:instrText>
      </w:r>
      <w:r>
        <w:fldChar w:fldCharType="separate"/>
      </w:r>
      <w:r>
        <w:rPr>
          <w:rStyle w:val="46"/>
          <w:rFonts w:ascii="Times New Roman" w:hAnsi="Times New Roman"/>
        </w:rPr>
        <w:t>1.总则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_Toc149140190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4A8A29B2">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"_Toc149140202" </w:instrText>
      </w:r>
      <w:r>
        <w:fldChar w:fldCharType="separate"/>
      </w:r>
      <w:r>
        <w:rPr>
          <w:rStyle w:val="46"/>
          <w:rFonts w:ascii="Times New Roman" w:hAnsi="Times New Roman"/>
        </w:rPr>
        <w:t>2.采购</w:t>
      </w:r>
      <w:r>
        <w:rPr>
          <w:rStyle w:val="46"/>
          <w:rFonts w:ascii="Times New Roman" w:hAnsi="Times New Roman"/>
          <w:spacing w:val="1"/>
          <w:kern w:val="0"/>
        </w:rPr>
        <w:t>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_Toc149140202 \h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14:paraId="199186E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"_Toc149140205" </w:instrText>
      </w:r>
      <w:r>
        <w:fldChar w:fldCharType="separate"/>
      </w:r>
      <w:r>
        <w:rPr>
          <w:rStyle w:val="46"/>
          <w:rFonts w:ascii="Times New Roman" w:hAnsi="Times New Roman"/>
        </w:rPr>
        <w:t>3.响应</w:t>
      </w:r>
      <w:r>
        <w:rPr>
          <w:rStyle w:val="46"/>
          <w:rFonts w:ascii="Times New Roman" w:hAnsi="Times New Roman"/>
          <w:spacing w:val="1"/>
          <w:kern w:val="0"/>
        </w:rPr>
        <w:t>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_Toc149140205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14:paraId="3EAA72F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"_Toc149140213" </w:instrText>
      </w:r>
      <w:r>
        <w:fldChar w:fldCharType="separate"/>
      </w:r>
      <w:r>
        <w:rPr>
          <w:rStyle w:val="46"/>
          <w:rFonts w:ascii="Times New Roman" w:hAnsi="Times New Roman"/>
        </w:rPr>
        <w:t>4.响应</w:t>
      </w:r>
      <w:r>
        <w:rPr>
          <w:rStyle w:val="46"/>
          <w:rFonts w:ascii="Times New Roman" w:hAnsi="Times New Roman"/>
          <w:spacing w:val="1"/>
          <w:kern w:val="0"/>
        </w:rPr>
        <w:t>文件</w:t>
      </w:r>
      <w:r>
        <w:rPr>
          <w:rStyle w:val="46"/>
          <w:rFonts w:ascii="Times New Roman" w:hAnsi="Times New Roman"/>
        </w:rPr>
        <w:t>的递交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_Toc149140213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14:paraId="46022A07">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"_Toc149140217" </w:instrText>
      </w:r>
      <w:r>
        <w:fldChar w:fldCharType="separate"/>
      </w:r>
      <w:r>
        <w:rPr>
          <w:rStyle w:val="46"/>
          <w:rFonts w:ascii="Times New Roman" w:hAnsi="Times New Roman"/>
        </w:rPr>
        <w:t>5.开启响应文件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_Toc149140217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14:paraId="4F226035">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"_Toc149140222" </w:instrText>
      </w:r>
      <w:r>
        <w:fldChar w:fldCharType="separate"/>
      </w:r>
      <w:r>
        <w:rPr>
          <w:rStyle w:val="46"/>
          <w:rFonts w:ascii="Times New Roman" w:hAnsi="Times New Roman"/>
        </w:rPr>
        <w:t>6.评审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_Toc149140222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14:paraId="219F2348">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"_Toc149140225" </w:instrText>
      </w:r>
      <w:r>
        <w:fldChar w:fldCharType="separate"/>
      </w:r>
      <w:r>
        <w:rPr>
          <w:rStyle w:val="46"/>
          <w:rFonts w:ascii="Times New Roman" w:hAnsi="Times New Roman"/>
        </w:rPr>
        <w:t>7.框架</w:t>
      </w:r>
      <w:r>
        <w:rPr>
          <w:rStyle w:val="46"/>
          <w:rFonts w:ascii="Times New Roman" w:hAnsi="Times New Roman"/>
          <w:spacing w:val="1"/>
          <w:kern w:val="0"/>
        </w:rPr>
        <w:t>协议</w:t>
      </w:r>
      <w:r>
        <w:rPr>
          <w:rStyle w:val="46"/>
          <w:rFonts w:ascii="Times New Roman" w:hAnsi="Times New Roman"/>
        </w:rPr>
        <w:t>的订立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_Toc149140225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14:paraId="496C0953">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"_Toc149140235" </w:instrText>
      </w:r>
      <w:r>
        <w:fldChar w:fldCharType="separate"/>
      </w:r>
      <w:r>
        <w:rPr>
          <w:rStyle w:val="46"/>
          <w:rFonts w:ascii="Times New Roman" w:hAnsi="Times New Roman"/>
        </w:rPr>
        <w:t>8.异议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_Toc149140235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14:paraId="17AD6537">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"_Toc149140238" </w:instrText>
      </w:r>
      <w:r>
        <w:fldChar w:fldCharType="separate"/>
      </w:r>
      <w:r>
        <w:rPr>
          <w:rStyle w:val="46"/>
          <w:rFonts w:ascii="Times New Roman" w:hAnsi="Times New Roman"/>
        </w:rPr>
        <w:t>9.纪律</w:t>
      </w:r>
      <w:r>
        <w:rPr>
          <w:rStyle w:val="46"/>
          <w:rFonts w:ascii="Times New Roman" w:hAnsi="Times New Roman"/>
          <w:spacing w:val="1"/>
          <w:kern w:val="0"/>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_Toc149140238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14:paraId="00DE7542">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"_Toc149140243" </w:instrText>
      </w:r>
      <w:r>
        <w:fldChar w:fldCharType="separate"/>
      </w:r>
      <w:r>
        <w:rPr>
          <w:rStyle w:val="46"/>
          <w:rFonts w:ascii="Times New Roman" w:hAnsi="Times New Roman"/>
        </w:rPr>
        <w:t>10.需要</w:t>
      </w:r>
      <w:r>
        <w:rPr>
          <w:rStyle w:val="46"/>
          <w:rFonts w:ascii="Times New Roman" w:hAnsi="Times New Roman"/>
          <w:spacing w:val="1"/>
          <w:kern w:val="0"/>
        </w:rPr>
        <w:t>补充</w:t>
      </w:r>
      <w:r>
        <w:rPr>
          <w:rStyle w:val="46"/>
          <w:rFonts w:ascii="Times New Roman" w:hAnsi="Times New Roman"/>
        </w:rPr>
        <w:t>的其他内容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_Toc149140243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14:paraId="6738933E">
      <w:pPr>
        <w:pStyle w:val="26"/>
        <w:tabs>
          <w:tab w:val="right" w:leader="dot" w:pos="8630"/>
        </w:tabs>
        <w:spacing w:beforeLines="50" w:afterLines="50" w:line="300" w:lineRule="exact"/>
        <w:rPr>
          <w:rFonts w:ascii="Times New Roman" w:hAnsi="Times New Roman" w:cs="Times New Roman"/>
          <w:b w:val="0"/>
          <w:bCs w:val="0"/>
          <w:caps w:val="0"/>
          <w:sz w:val="21"/>
          <w:szCs w:val="22"/>
          <w14:ligatures w14:val="standardContextual"/>
        </w:rPr>
      </w:pPr>
      <w:r>
        <w:fldChar w:fldCharType="begin"/>
      </w:r>
      <w:r>
        <w:instrText xml:space="preserve"> HYPERLINK \l "_Toc149140250" </w:instrText>
      </w:r>
      <w:r>
        <w:fldChar w:fldCharType="separate"/>
      </w:r>
      <w:r>
        <w:rPr>
          <w:rStyle w:val="46"/>
          <w:rFonts w:ascii="Times New Roman" w:hAnsi="Times New Roman"/>
          <w:b w:val="0"/>
          <w:bCs w:val="0"/>
        </w:rPr>
        <w:t>第三章 评审办法</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_Toc149140250 \h </w:instrText>
      </w:r>
      <w:r>
        <w:rPr>
          <w:rFonts w:ascii="Times New Roman" w:hAnsi="Times New Roman" w:cs="Times New Roman"/>
          <w:b w:val="0"/>
          <w:bCs w:val="0"/>
        </w:rPr>
        <w:fldChar w:fldCharType="separate"/>
      </w:r>
      <w:r>
        <w:rPr>
          <w:rFonts w:ascii="Times New Roman" w:hAnsi="Times New Roman" w:cs="Times New Roman"/>
          <w:b w:val="0"/>
          <w:bCs w:val="0"/>
        </w:rPr>
        <w:t>28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C9C02AD">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"_Toc149140253" </w:instrText>
      </w:r>
      <w:r>
        <w:fldChar w:fldCharType="separate"/>
      </w:r>
      <w:r>
        <w:rPr>
          <w:rStyle w:val="46"/>
          <w:rFonts w:ascii="Times New Roman" w:hAnsi="Times New Roman"/>
        </w:rPr>
        <w:t>1.评审</w:t>
      </w:r>
      <w:r>
        <w:rPr>
          <w:rStyle w:val="46"/>
          <w:rFonts w:ascii="Times New Roman" w:hAnsi="Times New Roman"/>
          <w:spacing w:val="1"/>
          <w:kern w:val="0"/>
        </w:rPr>
        <w:t>方法</w:t>
      </w:r>
      <w:r>
        <w:rPr>
          <w:rStyle w:val="46"/>
          <w:rFonts w:ascii="Times New Roman" w:hAnsi="Times New Roman"/>
        </w:rPr>
        <w:t>（综合评分法）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_Toc149140253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45A6E987">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"_Toc149140254" </w:instrText>
      </w:r>
      <w:r>
        <w:fldChar w:fldCharType="separate"/>
      </w:r>
      <w:r>
        <w:rPr>
          <w:rStyle w:val="46"/>
          <w:rFonts w:ascii="Times New Roman" w:hAnsi="Times New Roman"/>
        </w:rPr>
        <w:t>2.初步评审标准和程序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_Toc149140254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2A4CA209">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"_Toc149140258" </w:instrText>
      </w:r>
      <w:r>
        <w:fldChar w:fldCharType="separate"/>
      </w:r>
      <w:r>
        <w:rPr>
          <w:rStyle w:val="46"/>
          <w:rFonts w:ascii="Times New Roman" w:hAnsi="Times New Roman"/>
        </w:rPr>
        <w:t>3.详细</w:t>
      </w:r>
      <w:r>
        <w:rPr>
          <w:rStyle w:val="46"/>
          <w:rFonts w:ascii="Times New Roman" w:hAnsi="Times New Roman"/>
          <w:spacing w:val="1"/>
          <w:kern w:val="0"/>
        </w:rPr>
        <w:t>评审</w:t>
      </w:r>
      <w:r>
        <w:rPr>
          <w:rStyle w:val="46"/>
          <w:rFonts w:ascii="Times New Roman" w:hAnsi="Times New Roman"/>
        </w:rPr>
        <w:t>标准和程序（综合评分法）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_Toc149140258 \h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fldChar w:fldCharType="end"/>
      </w:r>
    </w:p>
    <w:p w14:paraId="50AC4470">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"_Toc149140259" </w:instrText>
      </w:r>
      <w:r>
        <w:fldChar w:fldCharType="separate"/>
      </w:r>
      <w:r>
        <w:rPr>
          <w:rStyle w:val="46"/>
          <w:rFonts w:ascii="Times New Roman" w:hAnsi="Times New Roman"/>
        </w:rPr>
        <w:t>4.评审结果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_Toc149140259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14:paraId="255F70DC">
      <w:pPr>
        <w:pStyle w:val="26"/>
        <w:tabs>
          <w:tab w:val="right" w:leader="dot" w:pos="8630"/>
        </w:tabs>
        <w:spacing w:beforeLines="50" w:afterLines="50" w:line="300" w:lineRule="exact"/>
        <w:jc w:val="both"/>
        <w:rPr>
          <w:rFonts w:ascii="Times New Roman" w:hAnsi="Times New Roman" w:cs="Times New Roman"/>
          <w:b w:val="0"/>
          <w:bCs w:val="0"/>
          <w:caps w:val="0"/>
          <w:sz w:val="21"/>
          <w:szCs w:val="22"/>
          <w14:ligatures w14:val="standardContextual"/>
        </w:rPr>
      </w:pPr>
      <w:r>
        <w:fldChar w:fldCharType="begin"/>
      </w:r>
      <w:r>
        <w:instrText xml:space="preserve"> HYPERLINK \l "_Toc149140267" </w:instrText>
      </w:r>
      <w:r>
        <w:fldChar w:fldCharType="separate"/>
      </w:r>
      <w:r>
        <w:rPr>
          <w:rStyle w:val="46"/>
          <w:rFonts w:ascii="Times New Roman" w:hAnsi="Times New Roman"/>
          <w:b w:val="0"/>
          <w:bCs w:val="0"/>
        </w:rPr>
        <w:t>第四章 框架协议格式</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_Toc149140267 \h </w:instrText>
      </w:r>
      <w:r>
        <w:rPr>
          <w:rFonts w:ascii="Times New Roman" w:hAnsi="Times New Roman" w:cs="Times New Roman"/>
          <w:b w:val="0"/>
          <w:bCs w:val="0"/>
        </w:rPr>
        <w:fldChar w:fldCharType="separate"/>
      </w:r>
      <w:r>
        <w:rPr>
          <w:rFonts w:ascii="Times New Roman" w:hAnsi="Times New Roman" w:cs="Times New Roman"/>
          <w:b w:val="0"/>
          <w:bCs w:val="0"/>
        </w:rPr>
        <w:t>36</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019ED37B">
      <w:pPr>
        <w:pStyle w:val="26"/>
        <w:tabs>
          <w:tab w:val="right" w:leader="dot" w:pos="8630"/>
        </w:tabs>
        <w:spacing w:beforeLines="50" w:afterLines="50" w:line="300" w:lineRule="exact"/>
        <w:jc w:val="both"/>
        <w:rPr>
          <w:rFonts w:ascii="Times New Roman" w:hAnsi="Times New Roman" w:cs="Times New Roman"/>
          <w:b w:val="0"/>
          <w:bCs w:val="0"/>
          <w:caps w:val="0"/>
          <w:sz w:val="21"/>
          <w:szCs w:val="22"/>
          <w14:ligatures w14:val="standardContextual"/>
        </w:rPr>
      </w:pPr>
      <w:r>
        <w:fldChar w:fldCharType="begin"/>
      </w:r>
      <w:r>
        <w:instrText xml:space="preserve"> HYPERLINK \l "_Toc149140268" </w:instrText>
      </w:r>
      <w:r>
        <w:fldChar w:fldCharType="separate"/>
      </w:r>
      <w:r>
        <w:rPr>
          <w:rStyle w:val="46"/>
          <w:rFonts w:ascii="Times New Roman" w:hAnsi="Times New Roman"/>
          <w:b w:val="0"/>
          <w:bCs w:val="0"/>
        </w:rPr>
        <w:t>第五章 采购需求</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_Toc149140268 \h </w:instrText>
      </w:r>
      <w:r>
        <w:rPr>
          <w:rFonts w:ascii="Times New Roman" w:hAnsi="Times New Roman" w:cs="Times New Roman"/>
          <w:b w:val="0"/>
          <w:bCs w:val="0"/>
        </w:rPr>
        <w:fldChar w:fldCharType="separate"/>
      </w:r>
      <w:r>
        <w:rPr>
          <w:rFonts w:ascii="Times New Roman" w:hAnsi="Times New Roman" w:cs="Times New Roman"/>
          <w:b w:val="0"/>
          <w:bCs w:val="0"/>
        </w:rPr>
        <w:t>40</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3EAF075">
      <w:pPr>
        <w:pStyle w:val="26"/>
        <w:tabs>
          <w:tab w:val="right" w:leader="dot" w:pos="8630"/>
        </w:tabs>
        <w:spacing w:beforeLines="50" w:afterLines="50" w:line="300" w:lineRule="exact"/>
        <w:jc w:val="both"/>
        <w:rPr>
          <w:rFonts w:ascii="Times New Roman" w:hAnsi="Times New Roman" w:cs="Times New Roman"/>
          <w:b w:val="0"/>
          <w:bCs w:val="0"/>
          <w:caps w:val="0"/>
          <w:sz w:val="21"/>
          <w:szCs w:val="22"/>
          <w14:ligatures w14:val="standardContextual"/>
        </w:rPr>
      </w:pPr>
      <w:r>
        <w:fldChar w:fldCharType="begin"/>
      </w:r>
      <w:r>
        <w:instrText xml:space="preserve"> HYPERLINK \l "_Toc149140270" </w:instrText>
      </w:r>
      <w:r>
        <w:fldChar w:fldCharType="separate"/>
      </w:r>
      <w:r>
        <w:rPr>
          <w:rStyle w:val="46"/>
          <w:rFonts w:ascii="Times New Roman" w:hAnsi="Times New Roman"/>
          <w:b w:val="0"/>
          <w:bCs w:val="0"/>
        </w:rPr>
        <w:t>第六章 响应文件格式</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_Toc149140270 \h </w:instrText>
      </w:r>
      <w:r>
        <w:rPr>
          <w:rFonts w:ascii="Times New Roman" w:hAnsi="Times New Roman" w:cs="Times New Roman"/>
          <w:b w:val="0"/>
          <w:bCs w:val="0"/>
        </w:rPr>
        <w:fldChar w:fldCharType="separate"/>
      </w:r>
      <w:r>
        <w:rPr>
          <w:rFonts w:ascii="Times New Roman" w:hAnsi="Times New Roman" w:cs="Times New Roman"/>
          <w:b w:val="0"/>
          <w:bCs w:val="0"/>
        </w:rPr>
        <w:t>78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67687182">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"_Toc149140271" </w:instrText>
      </w:r>
      <w:r>
        <w:fldChar w:fldCharType="separate"/>
      </w:r>
      <w:r>
        <w:rPr>
          <w:rStyle w:val="46"/>
          <w:rFonts w:ascii="Times New Roman" w:hAnsi="Times New Roman"/>
        </w:rPr>
        <w:t>一、</w:t>
      </w:r>
      <w:r>
        <w:rPr>
          <w:rStyle w:val="46"/>
          <w:rFonts w:ascii="Times New Roman" w:hAnsi="Times New Roman"/>
          <w:spacing w:val="1"/>
          <w:kern w:val="0"/>
        </w:rPr>
        <w:t>响应</w:t>
      </w:r>
      <w:r>
        <w:rPr>
          <w:rStyle w:val="46"/>
          <w:rFonts w:ascii="Times New Roman" w:hAnsi="Times New Roman"/>
        </w:rPr>
        <w:t>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_Toc149140271 \h </w:instrText>
      </w:r>
      <w:r>
        <w:rPr>
          <w:rFonts w:ascii="Times New Roman" w:hAnsi="Times New Roman" w:cs="Times New Roman"/>
        </w:rPr>
        <w:fldChar w:fldCharType="separate"/>
      </w:r>
      <w:r>
        <w:rPr>
          <w:rFonts w:ascii="Times New Roman" w:hAnsi="Times New Roman" w:cs="Times New Roman"/>
        </w:rPr>
        <w:t>81</w:t>
      </w:r>
      <w:r>
        <w:rPr>
          <w:rFonts w:ascii="Times New Roman" w:hAnsi="Times New Roman" w:cs="Times New Roman"/>
        </w:rPr>
        <w:fldChar w:fldCharType="end"/>
      </w:r>
      <w:r>
        <w:rPr>
          <w:rFonts w:ascii="Times New Roman" w:hAnsi="Times New Roman" w:cs="Times New Roman"/>
        </w:rPr>
        <w:fldChar w:fldCharType="end"/>
      </w:r>
    </w:p>
    <w:p w14:paraId="4F2C3548">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"_Toc149140272" </w:instrText>
      </w:r>
      <w:r>
        <w:fldChar w:fldCharType="separate"/>
      </w:r>
      <w:r>
        <w:rPr>
          <w:rStyle w:val="46"/>
          <w:rFonts w:ascii="Times New Roman" w:hAnsi="Times New Roman"/>
        </w:rPr>
        <w:t>二、授权</w:t>
      </w:r>
      <w:r>
        <w:rPr>
          <w:rStyle w:val="46"/>
          <w:rFonts w:ascii="Times New Roman" w:hAnsi="Times New Roman"/>
          <w:spacing w:val="1"/>
          <w:kern w:val="0"/>
        </w:rPr>
        <w:t>委托书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_Toc149140272 \h </w:instrText>
      </w:r>
      <w:r>
        <w:rPr>
          <w:rFonts w:ascii="Times New Roman" w:hAnsi="Times New Roman" w:cs="Times New Roman"/>
        </w:rPr>
        <w:fldChar w:fldCharType="separate"/>
      </w:r>
      <w:r>
        <w:rPr>
          <w:rFonts w:ascii="Times New Roman" w:hAnsi="Times New Roman" w:cs="Times New Roman"/>
        </w:rPr>
        <w:t>82</w:t>
      </w:r>
      <w:r>
        <w:rPr>
          <w:rFonts w:ascii="Times New Roman" w:hAnsi="Times New Roman" w:cs="Times New Roman"/>
        </w:rPr>
        <w:fldChar w:fldCharType="end"/>
      </w:r>
      <w:r>
        <w:rPr>
          <w:rFonts w:ascii="Times New Roman" w:hAnsi="Times New Roman" w:cs="Times New Roman"/>
        </w:rPr>
        <w:fldChar w:fldCharType="end"/>
      </w:r>
    </w:p>
    <w:p w14:paraId="6C32C93E">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"_Toc149140273" </w:instrText>
      </w:r>
      <w:r>
        <w:fldChar w:fldCharType="separate"/>
      </w:r>
      <w:r>
        <w:rPr>
          <w:rStyle w:val="46"/>
          <w:rFonts w:ascii="Times New Roman" w:hAnsi="Times New Roman"/>
        </w:rPr>
        <w:t>三、</w:t>
      </w:r>
      <w:r>
        <w:rPr>
          <w:rStyle w:val="46"/>
          <w:rFonts w:ascii="Times New Roman" w:hAnsi="Times New Roman"/>
          <w:spacing w:val="1"/>
          <w:kern w:val="0"/>
        </w:rPr>
        <w:t>联合体</w:t>
      </w:r>
      <w:r>
        <w:rPr>
          <w:rStyle w:val="46"/>
          <w:rFonts w:ascii="Times New Roman" w:hAnsi="Times New Roman"/>
        </w:rPr>
        <w:t>协议书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_Toc149140273 \h </w:instrText>
      </w:r>
      <w:r>
        <w:rPr>
          <w:rFonts w:ascii="Times New Roman" w:hAnsi="Times New Roman" w:cs="Times New Roman"/>
        </w:rPr>
        <w:fldChar w:fldCharType="separate"/>
      </w:r>
      <w:r>
        <w:rPr>
          <w:rFonts w:ascii="Times New Roman" w:hAnsi="Times New Roman" w:cs="Times New Roman"/>
        </w:rPr>
        <w:t>83</w:t>
      </w:r>
      <w:r>
        <w:rPr>
          <w:rFonts w:ascii="Times New Roman" w:hAnsi="Times New Roman" w:cs="Times New Roman"/>
        </w:rPr>
        <w:fldChar w:fldCharType="end"/>
      </w:r>
      <w:r>
        <w:rPr>
          <w:rFonts w:ascii="Times New Roman" w:hAnsi="Times New Roman" w:cs="Times New Roman"/>
        </w:rPr>
        <w:fldChar w:fldCharType="end"/>
      </w:r>
    </w:p>
    <w:p w14:paraId="05A0C674">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"_Toc149140274" </w:instrText>
      </w:r>
      <w:r>
        <w:fldChar w:fldCharType="separate"/>
      </w:r>
      <w:r>
        <w:rPr>
          <w:rStyle w:val="46"/>
          <w:rFonts w:ascii="Times New Roman" w:hAnsi="Times New Roman"/>
        </w:rPr>
        <w:t>四、响应</w:t>
      </w:r>
      <w:r>
        <w:rPr>
          <w:rStyle w:val="46"/>
          <w:rFonts w:ascii="Times New Roman" w:hAnsi="Times New Roman"/>
          <w:spacing w:val="1"/>
          <w:kern w:val="0"/>
        </w:rPr>
        <w:t>保证金</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_Toc149140274 \h </w:instrText>
      </w:r>
      <w:r>
        <w:rPr>
          <w:rFonts w:ascii="Times New Roman" w:hAnsi="Times New Roman" w:cs="Times New Roman"/>
        </w:rPr>
        <w:fldChar w:fldCharType="separate"/>
      </w:r>
      <w:r>
        <w:rPr>
          <w:rFonts w:ascii="Times New Roman" w:hAnsi="Times New Roman" w:cs="Times New Roman"/>
        </w:rPr>
        <w:t>84</w:t>
      </w:r>
      <w:r>
        <w:rPr>
          <w:rFonts w:ascii="Times New Roman" w:hAnsi="Times New Roman" w:cs="Times New Roman"/>
        </w:rPr>
        <w:fldChar w:fldCharType="end"/>
      </w:r>
      <w:r>
        <w:rPr>
          <w:rFonts w:ascii="Times New Roman" w:hAnsi="Times New Roman" w:cs="Times New Roman"/>
        </w:rPr>
        <w:fldChar w:fldCharType="end"/>
      </w:r>
    </w:p>
    <w:p w14:paraId="62031444">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"_Toc149140275" </w:instrText>
      </w:r>
      <w:r>
        <w:fldChar w:fldCharType="separate"/>
      </w:r>
      <w:r>
        <w:rPr>
          <w:rStyle w:val="46"/>
          <w:rFonts w:ascii="Times New Roman" w:hAnsi="Times New Roman"/>
        </w:rPr>
        <w:t>五、商务和技术偏差表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_Toc149140275 \h </w:instrText>
      </w:r>
      <w:r>
        <w:rPr>
          <w:rFonts w:ascii="Times New Roman" w:hAnsi="Times New Roman" w:cs="Times New Roman"/>
        </w:rPr>
        <w:fldChar w:fldCharType="separate"/>
      </w:r>
      <w:r>
        <w:rPr>
          <w:rFonts w:ascii="Times New Roman" w:hAnsi="Times New Roman" w:cs="Times New Roman"/>
        </w:rPr>
        <w:t>85</w:t>
      </w:r>
      <w:r>
        <w:rPr>
          <w:rFonts w:ascii="Times New Roman" w:hAnsi="Times New Roman" w:cs="Times New Roman"/>
        </w:rPr>
        <w:fldChar w:fldCharType="end"/>
      </w:r>
      <w:r>
        <w:rPr>
          <w:rFonts w:ascii="Times New Roman" w:hAnsi="Times New Roman" w:cs="Times New Roman"/>
        </w:rPr>
        <w:fldChar w:fldCharType="end"/>
      </w:r>
    </w:p>
    <w:p w14:paraId="42184C1B">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"_Toc149140285" </w:instrText>
      </w:r>
      <w:r>
        <w:fldChar w:fldCharType="separate"/>
      </w:r>
      <w:r>
        <w:rPr>
          <w:rStyle w:val="46"/>
          <w:rFonts w:hint="eastAsia" w:ascii="Times New Roman" w:hAnsi="Times New Roman"/>
        </w:rPr>
        <w:t>六</w:t>
      </w:r>
      <w:r>
        <w:rPr>
          <w:rStyle w:val="46"/>
          <w:rFonts w:ascii="Times New Roman" w:hAnsi="Times New Roman"/>
        </w:rPr>
        <w:t>、资格</w:t>
      </w:r>
      <w:r>
        <w:rPr>
          <w:rStyle w:val="46"/>
          <w:rFonts w:ascii="Times New Roman" w:hAnsi="Times New Roman"/>
          <w:spacing w:val="1"/>
          <w:kern w:val="0"/>
        </w:rPr>
        <w:t>审查</w:t>
      </w:r>
      <w:r>
        <w:rPr>
          <w:rStyle w:val="46"/>
          <w:rFonts w:ascii="Times New Roman" w:hAnsi="Times New Roman"/>
        </w:rPr>
        <w:t>资料</w:t>
      </w:r>
      <w:r>
        <w:rPr>
          <w:rFonts w:ascii="Times New Roman" w:hAnsi="Times New Roman" w:cs="Times New Roman"/>
        </w:rPr>
        <w:tab/>
      </w:r>
      <w:r>
        <w:rPr>
          <w:rFonts w:hint="eastAsia" w:ascii="Times New Roman" w:hAnsi="Times New Roman" w:cs="Times New Roman"/>
          <w:lang w:val="en-US" w:eastAsia="zh-CN"/>
        </w:rPr>
        <w:t>8</w:t>
      </w:r>
      <w:r>
        <w:rPr>
          <w:rFonts w:hint="eastAsia" w:ascii="Times New Roman" w:hAnsi="Times New Roman" w:cs="Times New Roman"/>
        </w:rPr>
        <w:fldChar w:fldCharType="end"/>
      </w:r>
      <w:r>
        <w:rPr>
          <w:rFonts w:hint="eastAsia" w:ascii="Times New Roman" w:hAnsi="Times New Roman" w:cs="Times New Roman"/>
          <w:lang w:val="en-US" w:eastAsia="zh-CN"/>
        </w:rPr>
        <w:t>6</w:t>
      </w:r>
    </w:p>
    <w:p w14:paraId="7B1A4872">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"_Toc149140296" </w:instrText>
      </w:r>
      <w:r>
        <w:fldChar w:fldCharType="separate"/>
      </w:r>
      <w:r>
        <w:rPr>
          <w:rStyle w:val="46"/>
          <w:rFonts w:hint="eastAsia" w:ascii="Times New Roman" w:hAnsi="Times New Roman"/>
        </w:rPr>
        <w:t>七</w:t>
      </w:r>
      <w:r>
        <w:rPr>
          <w:rStyle w:val="46"/>
          <w:rFonts w:ascii="Times New Roman" w:hAnsi="Times New Roman"/>
        </w:rPr>
        <w:t>、响应方案</w:t>
      </w:r>
      <w:r>
        <w:rPr>
          <w:rFonts w:ascii="Times New Roman" w:hAnsi="Times New Roman" w:cs="Times New Roman"/>
        </w:rPr>
        <w:tab/>
      </w:r>
      <w:r>
        <w:rPr>
          <w:rFonts w:hint="eastAsia" w:ascii="Times New Roman" w:hAnsi="Times New Roman" w:cs="Times New Roman"/>
          <w:lang w:val="en-US" w:eastAsia="zh-CN"/>
        </w:rPr>
        <w:t>8</w:t>
      </w:r>
      <w:r>
        <w:rPr>
          <w:rFonts w:hint="eastAsia" w:ascii="Times New Roman" w:hAnsi="Times New Roman" w:cs="Times New Roman"/>
        </w:rPr>
        <w:fldChar w:fldCharType="end"/>
      </w:r>
      <w:r>
        <w:rPr>
          <w:rFonts w:hint="eastAsia" w:ascii="Times New Roman" w:hAnsi="Times New Roman" w:cs="Times New Roman"/>
          <w:lang w:val="en-US" w:eastAsia="zh-CN"/>
        </w:rPr>
        <w:t>8</w:t>
      </w:r>
    </w:p>
    <w:p w14:paraId="14977AF0">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"_Toc149140301" </w:instrText>
      </w:r>
      <w:r>
        <w:fldChar w:fldCharType="separate"/>
      </w:r>
      <w:r>
        <w:rPr>
          <w:rStyle w:val="46"/>
          <w:rFonts w:hint="eastAsia" w:ascii="Times New Roman" w:hAnsi="Times New Roman"/>
        </w:rPr>
        <w:t>八</w:t>
      </w:r>
      <w:r>
        <w:rPr>
          <w:rStyle w:val="46"/>
          <w:rFonts w:ascii="Times New Roman" w:hAnsi="Times New Roman"/>
        </w:rPr>
        <w:t>、</w:t>
      </w:r>
      <w:r>
        <w:rPr>
          <w:rStyle w:val="46"/>
          <w:rFonts w:ascii="Times New Roman" w:hAnsi="Times New Roman"/>
          <w:spacing w:val="1"/>
          <w:kern w:val="0"/>
        </w:rPr>
        <w:t>承诺</w:t>
      </w:r>
      <w:r>
        <w:rPr>
          <w:rStyle w:val="46"/>
          <w:rFonts w:ascii="Times New Roman" w:hAnsi="Times New Roman"/>
        </w:rPr>
        <w:t>函</w:t>
      </w:r>
      <w:r>
        <w:rPr>
          <w:rFonts w:ascii="Times New Roman" w:hAnsi="Times New Roman" w:cs="Times New Roman"/>
        </w:rPr>
        <w:tab/>
      </w:r>
      <w:r>
        <w:rPr>
          <w:rFonts w:hint="eastAsia" w:ascii="Times New Roman" w:hAnsi="Times New Roman" w:cs="Times New Roman"/>
          <w:lang w:val="en-US" w:eastAsia="zh-CN"/>
        </w:rPr>
        <w:t>8</w:t>
      </w:r>
      <w:r>
        <w:rPr>
          <w:rFonts w:hint="eastAsia" w:ascii="Times New Roman" w:hAnsi="Times New Roman" w:cs="Times New Roman"/>
        </w:rPr>
        <w:fldChar w:fldCharType="end"/>
      </w:r>
      <w:r>
        <w:rPr>
          <w:rFonts w:hint="eastAsia" w:ascii="Times New Roman" w:hAnsi="Times New Roman" w:cs="Times New Roman"/>
        </w:rPr>
        <w:t>9</w:t>
      </w:r>
    </w:p>
    <w:p w14:paraId="23D60C67">
      <w:pPr>
        <w:pStyle w:val="33"/>
        <w:tabs>
          <w:tab w:val="right" w:leader="dot" w:pos="8630"/>
        </w:tabs>
        <w:spacing w:line="300" w:lineRule="exact"/>
        <w:ind w:left="420" w:leftChars="200"/>
        <w:rPr>
          <w:rFonts w:hint="eastAsia" w:ascii="Times New Roman" w:hAnsi="Times New Roman" w:cs="Times New Roman"/>
        </w:rPr>
      </w:pPr>
      <w:r>
        <w:fldChar w:fldCharType="begin"/>
      </w:r>
      <w:r>
        <w:instrText xml:space="preserve"> HYPERLINK \l "_Toc149140302" </w:instrText>
      </w:r>
      <w:r>
        <w:fldChar w:fldCharType="separate"/>
      </w:r>
      <w:r>
        <w:rPr>
          <w:rStyle w:val="46"/>
          <w:rFonts w:hint="eastAsia" w:ascii="Times New Roman" w:hAnsi="Times New Roman"/>
        </w:rPr>
        <w:t>九</w:t>
      </w:r>
      <w:r>
        <w:rPr>
          <w:rStyle w:val="46"/>
          <w:rFonts w:ascii="Times New Roman" w:hAnsi="Times New Roman"/>
        </w:rPr>
        <w:t>、</w:t>
      </w:r>
      <w:r>
        <w:rPr>
          <w:rStyle w:val="46"/>
          <w:rFonts w:hint="eastAsia" w:ascii="Times New Roman" w:hAnsi="Times New Roman"/>
          <w:lang w:val="en-US" w:eastAsia="zh-CN"/>
        </w:rPr>
        <w:t>资金授信承诺书</w:t>
      </w:r>
      <w:r>
        <w:rPr>
          <w:rFonts w:ascii="Times New Roman" w:hAnsi="Times New Roman" w:cs="Times New Roman"/>
        </w:rPr>
        <w:tab/>
      </w:r>
      <w:r>
        <w:rPr>
          <w:rFonts w:hint="eastAsia" w:ascii="Times New Roman" w:hAnsi="Times New Roman" w:cs="Times New Roman"/>
          <w:lang w:val="en-US" w:eastAsia="zh-CN"/>
        </w:rPr>
        <w:t>9</w:t>
      </w:r>
      <w:r>
        <w:rPr>
          <w:rFonts w:hint="eastAsia" w:ascii="Times New Roman" w:hAnsi="Times New Roman" w:cs="Times New Roman"/>
        </w:rPr>
        <w:fldChar w:fldCharType="end"/>
      </w:r>
      <w:r>
        <w:rPr>
          <w:rFonts w:hint="eastAsia" w:ascii="Times New Roman" w:hAnsi="Times New Roman" w:cs="Times New Roman"/>
        </w:rPr>
        <w:t>0</w:t>
      </w:r>
    </w:p>
    <w:p w14:paraId="3D47ACA6">
      <w:pPr>
        <w:pStyle w:val="33"/>
        <w:tabs>
          <w:tab w:val="right" w:leader="dot" w:pos="8630"/>
        </w:tabs>
        <w:spacing w:line="300" w:lineRule="exact"/>
        <w:ind w:left="420" w:leftChars="200"/>
        <w:rPr>
          <w:rFonts w:hint="eastAsia" w:eastAsia="宋体"/>
          <w:lang w:val="en-US" w:eastAsia="zh-CN"/>
        </w:rPr>
      </w:pPr>
      <w:r>
        <w:rPr>
          <w:rFonts w:ascii="宋体" w:hAnsi="宋体" w:eastAsia="宋体"/>
          <w:sz w:val="23"/>
          <w:szCs w:val="23"/>
        </w:rPr>
        <w:fldChar w:fldCharType="end"/>
      </w:r>
      <w:bookmarkStart w:id="22" w:name="_第一章__询比采购公告"/>
      <w:bookmarkStart w:id="23" w:name="_Toc48146147"/>
      <w:bookmarkStart w:id="24" w:name="_Hlk138876902"/>
      <w:r>
        <w:rPr>
          <w:rFonts w:ascii="Times New Roman" w:hAnsi="Times New Roman" w:cs="Times New Roman"/>
        </w:rPr>
        <w:fldChar w:fldCharType="begin"/>
      </w:r>
      <w:r>
        <w:rPr>
          <w:rFonts w:ascii="Times New Roman" w:hAnsi="Times New Roman" w:cs="Times New Roman"/>
        </w:rPr>
        <w:instrText xml:space="preserve"> HYPERLINK \l "_Toc149140302" </w:instrText>
      </w:r>
      <w:r>
        <w:rPr>
          <w:rFonts w:ascii="Times New Roman" w:hAnsi="Times New Roman" w:cs="Times New Roman"/>
        </w:rPr>
        <w:fldChar w:fldCharType="separate"/>
      </w:r>
      <w:r>
        <w:rPr>
          <w:rFonts w:hint="eastAsia" w:ascii="Times New Roman" w:hAnsi="Times New Roman" w:cs="Times New Roman"/>
          <w:lang w:val="en-US" w:eastAsia="zh-CN"/>
        </w:rPr>
        <w:t>十</w:t>
      </w:r>
      <w:r>
        <w:rPr>
          <w:rFonts w:ascii="Times New Roman" w:hAnsi="Times New Roman" w:cs="Times New Roman"/>
        </w:rPr>
        <w:t>、</w:t>
      </w:r>
      <w:r>
        <w:rPr>
          <w:rFonts w:hint="eastAsia" w:ascii="Times New Roman" w:hAnsi="Times New Roman" w:cs="Times New Roman"/>
          <w:lang w:val="en-US" w:eastAsia="zh-CN"/>
        </w:rPr>
        <w:t>质量承诺书</w:t>
      </w:r>
      <w:r>
        <w:rPr>
          <w:rFonts w:ascii="Times New Roman" w:hAnsi="Times New Roman" w:cs="Times New Roman"/>
        </w:rPr>
        <w:tab/>
      </w:r>
      <w:r>
        <w:rPr>
          <w:rFonts w:hint="eastAsia" w:ascii="Times New Roman" w:hAnsi="Times New Roman" w:cs="Times New Roman"/>
          <w:lang w:val="en-US" w:eastAsia="zh-CN"/>
        </w:rPr>
        <w:t>9</w:t>
      </w:r>
      <w:r>
        <w:rPr>
          <w:rFonts w:hint="eastAsia" w:ascii="Times New Roman" w:hAnsi="Times New Roman" w:cs="Times New Roman"/>
        </w:rPr>
        <w:fldChar w:fldCharType="end"/>
      </w:r>
      <w:r>
        <w:rPr>
          <w:rFonts w:hint="eastAsia" w:ascii="Times New Roman" w:hAnsi="Times New Roman" w:cs="Times New Roman"/>
          <w:lang w:val="en-US" w:eastAsia="zh-CN"/>
        </w:rPr>
        <w:t>2</w:t>
      </w:r>
    </w:p>
    <w:p w14:paraId="0BCF5559">
      <w:pPr>
        <w:pStyle w:val="33"/>
        <w:tabs>
          <w:tab w:val="right" w:leader="dot" w:pos="8630"/>
        </w:tabs>
        <w:spacing w:line="300" w:lineRule="exact"/>
        <w:ind w:left="420" w:leftChars="200"/>
        <w:rPr>
          <w:rFonts w:hint="eastAsia" w:eastAsia="宋体"/>
          <w:lang w:eastAsia="zh-CN"/>
        </w:rPr>
      </w:pPr>
      <w:r>
        <w:fldChar w:fldCharType="begin"/>
      </w:r>
      <w:r>
        <w:instrText xml:space="preserve"> HYPERLINK \l "_Toc149140302" </w:instrText>
      </w:r>
      <w:r>
        <w:fldChar w:fldCharType="separate"/>
      </w:r>
      <w:r>
        <w:rPr>
          <w:rFonts w:hint="eastAsia"/>
          <w:lang w:val="en-US" w:eastAsia="zh-CN"/>
        </w:rPr>
        <w:t>十一</w:t>
      </w:r>
      <w:r>
        <w:t>、</w:t>
      </w:r>
      <w:r>
        <w:rPr>
          <w:rFonts w:hint="eastAsia"/>
          <w:lang w:val="en-US" w:eastAsia="zh-CN"/>
        </w:rPr>
        <w:t>经销权或代理权证明资料</w:t>
      </w:r>
      <w:r>
        <w:tab/>
      </w:r>
      <w:r>
        <w:rPr>
          <w:rFonts w:hint="eastAsia"/>
          <w:lang w:val="en-US" w:eastAsia="zh-CN"/>
        </w:rPr>
        <w:t>9</w:t>
      </w:r>
      <w:r>
        <w:rPr>
          <w:rFonts w:hint="eastAsia"/>
        </w:rPr>
        <w:fldChar w:fldCharType="end"/>
      </w:r>
      <w:r>
        <w:rPr>
          <w:rFonts w:hint="eastAsia"/>
          <w:lang w:val="en-US" w:eastAsia="zh-CN"/>
        </w:rPr>
        <w:t>3</w:t>
      </w:r>
    </w:p>
    <w:p w14:paraId="56709C65">
      <w:pPr>
        <w:pStyle w:val="33"/>
        <w:tabs>
          <w:tab w:val="right" w:leader="dot" w:pos="8630"/>
        </w:tabs>
        <w:spacing w:line="300" w:lineRule="exact"/>
        <w:ind w:left="420" w:leftChars="200"/>
        <w:rPr>
          <w:rFonts w:hint="eastAsia" w:eastAsia="宋体"/>
          <w:lang w:val="en-US" w:eastAsia="zh-CN"/>
        </w:rPr>
      </w:pPr>
      <w:r>
        <w:fldChar w:fldCharType="begin"/>
      </w:r>
      <w:r>
        <w:instrText xml:space="preserve"> HYPERLINK \l "_Toc149140302" </w:instrText>
      </w:r>
      <w:r>
        <w:fldChar w:fldCharType="separate"/>
      </w:r>
      <w:r>
        <w:rPr>
          <w:rFonts w:hint="eastAsia"/>
          <w:lang w:val="en-US" w:eastAsia="zh-CN"/>
        </w:rPr>
        <w:t>十二</w:t>
      </w:r>
      <w:r>
        <w:t>、</w:t>
      </w:r>
      <w:r>
        <w:rPr>
          <w:rFonts w:hint="eastAsia"/>
          <w:lang w:val="en-US" w:eastAsia="zh-CN"/>
        </w:rPr>
        <w:t>其他资料</w:t>
      </w:r>
      <w:r>
        <w:tab/>
      </w:r>
      <w:r>
        <w:rPr>
          <w:rFonts w:hint="eastAsia"/>
          <w:lang w:val="en-US" w:eastAsia="zh-CN"/>
        </w:rPr>
        <w:t>9</w:t>
      </w:r>
      <w:r>
        <w:rPr>
          <w:rFonts w:hint="eastAsia"/>
        </w:rPr>
        <w:fldChar w:fldCharType="end"/>
      </w:r>
      <w:r>
        <w:rPr>
          <w:rFonts w:hint="eastAsia"/>
          <w:lang w:val="en-US" w:eastAsia="zh-CN"/>
        </w:rPr>
        <w:t>4</w:t>
      </w:r>
    </w:p>
    <w:p w14:paraId="4E0D966A">
      <w:pPr>
        <w:pStyle w:val="33"/>
        <w:tabs>
          <w:tab w:val="right" w:leader="dot" w:pos="8630"/>
        </w:tabs>
        <w:spacing w:line="300" w:lineRule="exact"/>
        <w:ind w:left="420" w:leftChars="200"/>
        <w:sectPr>
          <w:headerReference r:id="rId3" w:type="default"/>
          <w:footerReference r:id="rId4" w:type="default"/>
          <w:footnotePr>
            <w:numFmt w:val="decimalEnclosedCircleChinese"/>
            <w:numRestart w:val="eachPage"/>
          </w:footnotePr>
          <w:type w:val="continuous"/>
          <w:pgSz w:w="11906" w:h="16838"/>
          <w:pgMar w:top="1440" w:right="1800" w:bottom="1134" w:left="1800" w:header="720" w:footer="720" w:gutter="0"/>
          <w:pgBorders>
            <w:top w:val="none" w:sz="0" w:space="0"/>
            <w:left w:val="none" w:sz="0" w:space="0"/>
            <w:bottom w:val="none" w:sz="0" w:space="0"/>
            <w:right w:val="none" w:sz="0" w:space="0"/>
          </w:pgBorders>
          <w:pgNumType w:fmt="decimal"/>
          <w:cols w:space="720" w:num="1"/>
          <w:docGrid w:linePitch="286" w:charSpace="0"/>
        </w:sectPr>
      </w:pPr>
    </w:p>
    <w:p w14:paraId="7D465C7A">
      <w:pPr>
        <w:pStyle w:val="108"/>
        <w:rPr>
          <w:rFonts w:ascii="宋体" w:hAnsi="宋体" w:eastAsia="宋体"/>
        </w:rPr>
      </w:pPr>
    </w:p>
    <w:p w14:paraId="7F65D412">
      <w:pPr>
        <w:pStyle w:val="108"/>
        <w:rPr>
          <w:rFonts w:ascii="宋体" w:hAnsi="宋体" w:eastAsia="宋体"/>
        </w:rPr>
      </w:pPr>
    </w:p>
    <w:p w14:paraId="197CBD49">
      <w:pPr>
        <w:pStyle w:val="108"/>
        <w:rPr>
          <w:rFonts w:ascii="宋体" w:hAnsi="宋体" w:eastAsia="宋体"/>
        </w:rPr>
      </w:pPr>
    </w:p>
    <w:p w14:paraId="58BE34B0">
      <w:pPr>
        <w:pStyle w:val="108"/>
        <w:rPr>
          <w:rFonts w:ascii="宋体" w:hAnsi="宋体" w:eastAsia="宋体"/>
        </w:rPr>
      </w:pPr>
    </w:p>
    <w:p w14:paraId="23ED2804">
      <w:pPr>
        <w:pStyle w:val="108"/>
        <w:rPr>
          <w:rFonts w:ascii="宋体" w:hAnsi="宋体" w:eastAsia="宋体"/>
        </w:rPr>
      </w:pPr>
    </w:p>
    <w:p w14:paraId="7819C423">
      <w:pPr>
        <w:pStyle w:val="108"/>
        <w:rPr>
          <w:rFonts w:ascii="宋体" w:hAnsi="宋体" w:eastAsia="宋体"/>
        </w:rPr>
      </w:pPr>
    </w:p>
    <w:p w14:paraId="594A901C">
      <w:pPr>
        <w:pStyle w:val="108"/>
        <w:rPr>
          <w:rFonts w:ascii="宋体" w:hAnsi="宋体" w:eastAsia="宋体"/>
        </w:rPr>
      </w:pPr>
    </w:p>
    <w:p w14:paraId="49E27EBA">
      <w:pPr>
        <w:pStyle w:val="108"/>
        <w:rPr>
          <w:rFonts w:ascii="宋体" w:hAnsi="宋体" w:eastAsia="宋体"/>
        </w:rPr>
      </w:pPr>
    </w:p>
    <w:p w14:paraId="31C0F29B">
      <w:pPr>
        <w:pStyle w:val="108"/>
        <w:rPr>
          <w:rFonts w:ascii="宋体" w:hAnsi="宋体" w:eastAsia="宋体"/>
        </w:rPr>
      </w:pPr>
    </w:p>
    <w:p w14:paraId="066D56A4">
      <w:pPr>
        <w:pStyle w:val="108"/>
        <w:rPr>
          <w:rFonts w:ascii="宋体" w:hAnsi="宋体" w:eastAsia="宋体"/>
        </w:rPr>
      </w:pPr>
    </w:p>
    <w:p w14:paraId="1E0832AC">
      <w:pPr>
        <w:pStyle w:val="108"/>
        <w:rPr>
          <w:rFonts w:ascii="宋体" w:hAnsi="宋体" w:eastAsia="宋体"/>
        </w:rPr>
      </w:pPr>
    </w:p>
    <w:p w14:paraId="3BF0D690">
      <w:pPr>
        <w:pStyle w:val="108"/>
        <w:rPr>
          <w:rFonts w:ascii="宋体" w:hAnsi="宋体" w:eastAsia="宋体"/>
        </w:rPr>
      </w:pPr>
    </w:p>
    <w:p w14:paraId="1A84A440">
      <w:pPr>
        <w:pStyle w:val="108"/>
        <w:rPr>
          <w:rFonts w:ascii="宋体" w:hAnsi="宋体" w:eastAsia="宋体"/>
        </w:rPr>
      </w:pPr>
    </w:p>
    <w:p w14:paraId="625B0789">
      <w:pPr>
        <w:pStyle w:val="108"/>
        <w:rPr>
          <w:rFonts w:ascii="宋体" w:hAnsi="宋体" w:eastAsia="宋体"/>
        </w:rPr>
      </w:pPr>
    </w:p>
    <w:p w14:paraId="7CE7BAF7">
      <w:pPr>
        <w:pStyle w:val="108"/>
        <w:rPr>
          <w:rFonts w:ascii="宋体" w:hAnsi="宋体" w:eastAsia="宋体"/>
        </w:rPr>
      </w:pPr>
    </w:p>
    <w:p w14:paraId="737674BE">
      <w:pPr>
        <w:pStyle w:val="108"/>
        <w:rPr>
          <w:rFonts w:ascii="宋体" w:hAnsi="宋体" w:eastAsia="宋体"/>
        </w:rPr>
      </w:pPr>
    </w:p>
    <w:p w14:paraId="572B00F0">
      <w:pPr>
        <w:pStyle w:val="108"/>
        <w:rPr>
          <w:rFonts w:ascii="宋体" w:hAnsi="宋体" w:eastAsia="宋体"/>
        </w:rPr>
      </w:pPr>
    </w:p>
    <w:p w14:paraId="705282F4">
      <w:pPr>
        <w:pStyle w:val="108"/>
        <w:rPr>
          <w:rFonts w:ascii="宋体" w:hAnsi="宋体" w:eastAsia="宋体"/>
        </w:rPr>
      </w:pPr>
    </w:p>
    <w:bookmarkEnd w:id="22"/>
    <w:bookmarkEnd w:id="23"/>
    <w:bookmarkEnd w:id="24"/>
    <w:p w14:paraId="6A63D813">
      <w:pPr>
        <w:numPr>
          <w:ilvl w:val="0"/>
          <w:numId w:val="1"/>
        </w:numPr>
        <w:tabs>
          <w:tab w:val="right" w:leader="dot" w:pos="8296"/>
        </w:tabs>
        <w:spacing w:line="520" w:lineRule="exact"/>
        <w:jc w:val="center"/>
        <w:outlineLvl w:val="0"/>
        <w:rPr>
          <w:rFonts w:ascii="宋体" w:hAnsi="宋体"/>
          <w:b/>
          <w:bCs/>
          <w:sz w:val="44"/>
          <w:szCs w:val="44"/>
        </w:rPr>
      </w:pPr>
      <w:bookmarkStart w:id="25" w:name="_Toc118805072"/>
      <w:bookmarkStart w:id="26" w:name="_Toc118805826"/>
      <w:bookmarkStart w:id="27" w:name="_Toc138604596"/>
      <w:bookmarkStart w:id="28" w:name="_Toc6153"/>
      <w:bookmarkStart w:id="29" w:name="_Toc17497"/>
      <w:bookmarkStart w:id="30" w:name="_Toc26457"/>
      <w:bookmarkStart w:id="31" w:name="_Toc118806197"/>
      <w:bookmarkStart w:id="32" w:name="_Toc149140163"/>
      <w:bookmarkStart w:id="33" w:name="_Toc18968"/>
      <w:bookmarkStart w:id="34" w:name="_Toc3947_WPSOffice_Level1"/>
      <w:bookmarkStart w:id="35" w:name="_Toc12671"/>
      <w:bookmarkStart w:id="36" w:name="_Toc118805449"/>
      <w:bookmarkStart w:id="37" w:name="_Toc21553"/>
      <w:r>
        <w:rPr>
          <w:rFonts w:ascii="宋体" w:hAnsi="宋体"/>
          <w:b/>
          <w:bCs/>
          <w:sz w:val="44"/>
          <w:szCs w:val="44"/>
        </w:rPr>
        <w:t>框架协议采购公告</w:t>
      </w:r>
      <w:bookmarkEnd w:id="25"/>
      <w:bookmarkEnd w:id="26"/>
      <w:bookmarkEnd w:id="27"/>
      <w:bookmarkEnd w:id="28"/>
      <w:bookmarkEnd w:id="29"/>
      <w:bookmarkEnd w:id="30"/>
      <w:bookmarkEnd w:id="31"/>
      <w:bookmarkEnd w:id="32"/>
      <w:bookmarkEnd w:id="33"/>
      <w:bookmarkEnd w:id="34"/>
      <w:bookmarkEnd w:id="35"/>
      <w:bookmarkEnd w:id="36"/>
      <w:bookmarkEnd w:id="37"/>
    </w:p>
    <w:p w14:paraId="1CDCE1A6">
      <w:pPr>
        <w:pStyle w:val="15"/>
        <w:spacing w:line="360" w:lineRule="auto"/>
        <w:ind w:firstLine="480" w:firstLineChars="200"/>
        <w:rPr>
          <w:rFonts w:cs="Times New Roman"/>
          <w:sz w:val="24"/>
          <w:szCs w:val="24"/>
          <w:lang w:eastAsia="zh-CN"/>
        </w:rPr>
      </w:pPr>
    </w:p>
    <w:p w14:paraId="146F19ED">
      <w:pPr>
        <w:pStyle w:val="15"/>
        <w:spacing w:line="360" w:lineRule="auto"/>
        <w:ind w:firstLine="480" w:firstLineChars="200"/>
        <w:rPr>
          <w:rFonts w:cs="Times New Roman"/>
          <w:sz w:val="24"/>
          <w:szCs w:val="24"/>
          <w:lang w:eastAsia="zh-CN"/>
        </w:rPr>
      </w:pPr>
    </w:p>
    <w:p w14:paraId="0085E8B2">
      <w:pPr>
        <w:pStyle w:val="15"/>
        <w:spacing w:line="360" w:lineRule="auto"/>
        <w:ind w:firstLine="480" w:firstLineChars="200"/>
        <w:rPr>
          <w:rFonts w:cs="Times New Roman"/>
          <w:sz w:val="24"/>
          <w:szCs w:val="24"/>
          <w:lang w:eastAsia="zh-CN"/>
        </w:rPr>
      </w:pPr>
    </w:p>
    <w:p w14:paraId="67ECA7E5">
      <w:pPr>
        <w:pStyle w:val="15"/>
        <w:spacing w:line="360" w:lineRule="auto"/>
        <w:ind w:firstLine="480" w:firstLineChars="200"/>
        <w:rPr>
          <w:rFonts w:cs="Times New Roman"/>
          <w:sz w:val="24"/>
          <w:szCs w:val="24"/>
          <w:lang w:eastAsia="zh-CN"/>
        </w:rPr>
      </w:pPr>
    </w:p>
    <w:p w14:paraId="58124BEF">
      <w:pPr>
        <w:rPr>
          <w:rFonts w:ascii="宋体" w:hAnsi="宋体"/>
          <w:sz w:val="32"/>
        </w:rPr>
      </w:pPr>
    </w:p>
    <w:p w14:paraId="11997D63">
      <w:pPr>
        <w:rPr>
          <w:rFonts w:ascii="宋体" w:hAnsi="宋体"/>
          <w:sz w:val="32"/>
        </w:rPr>
      </w:pPr>
    </w:p>
    <w:p w14:paraId="12A91693">
      <w:pPr>
        <w:jc w:val="center"/>
        <w:rPr>
          <w:rFonts w:ascii="宋体" w:hAnsi="宋体"/>
          <w:sz w:val="32"/>
        </w:rPr>
      </w:pPr>
    </w:p>
    <w:p w14:paraId="55721347">
      <w:pPr>
        <w:rPr>
          <w:rFonts w:ascii="宋体" w:hAnsi="宋体"/>
          <w:sz w:val="32"/>
        </w:rPr>
      </w:pPr>
    </w:p>
    <w:p w14:paraId="0571E6B2">
      <w:pPr>
        <w:rPr>
          <w:rFonts w:ascii="宋体" w:hAnsi="宋体"/>
          <w:sz w:val="32"/>
        </w:rPr>
      </w:pPr>
    </w:p>
    <w:p w14:paraId="0E29259F">
      <w:pPr>
        <w:rPr>
          <w:rFonts w:ascii="宋体" w:hAnsi="宋体"/>
          <w:sz w:val="32"/>
        </w:rPr>
      </w:pPr>
    </w:p>
    <w:p w14:paraId="37C44C45">
      <w:pPr>
        <w:spacing w:line="440" w:lineRule="exact"/>
        <w:jc w:val="center"/>
        <w:rPr>
          <w:rFonts w:ascii="宋体" w:hAnsi="宋体"/>
          <w:sz w:val="28"/>
          <w:szCs w:val="28"/>
        </w:rPr>
      </w:pPr>
      <w:r>
        <w:rPr>
          <w:rFonts w:ascii="宋体" w:hAnsi="宋体"/>
          <w:sz w:val="32"/>
        </w:rPr>
        <w:br w:type="page"/>
      </w:r>
      <w:bookmarkStart w:id="38" w:name="OLE_LINK1"/>
      <w:r>
        <w:rPr>
          <w:rFonts w:hint="eastAsia" w:ascii="黑体" w:hAnsi="黑体" w:eastAsia="黑体"/>
          <w:sz w:val="28"/>
          <w:szCs w:val="28"/>
          <w:lang w:eastAsia="zh-CN"/>
        </w:rPr>
        <w:t>河北交投绿色建材有限公司2026-2027年度经营生产用原材料供应商入库（补充入库）二次</w:t>
      </w:r>
      <w:r>
        <w:rPr>
          <w:rFonts w:ascii="黑体" w:hAnsi="黑体" w:eastAsia="黑体"/>
          <w:sz w:val="28"/>
          <w:szCs w:val="28"/>
        </w:rPr>
        <w:t>框架协议采购公告</w:t>
      </w:r>
    </w:p>
    <w:p w14:paraId="26650B71">
      <w:pPr>
        <w:spacing w:line="400" w:lineRule="exact"/>
        <w:ind w:firstLine="420" w:firstLineChars="200"/>
        <w:rPr>
          <w:rFonts w:ascii="宋体" w:hAnsi="宋体"/>
        </w:rPr>
      </w:pPr>
      <w:bookmarkStart w:id="39" w:name="_Hlk138876962"/>
    </w:p>
    <w:bookmarkEnd w:id="39"/>
    <w:p w14:paraId="747451D2">
      <w:pPr>
        <w:spacing w:line="400" w:lineRule="exact"/>
        <w:ind w:firstLine="420" w:firstLineChars="200"/>
        <w:rPr>
          <w:rFonts w:ascii="宋体" w:hAnsi="宋体"/>
          <w:szCs w:val="21"/>
        </w:rPr>
      </w:pPr>
      <w:r>
        <w:rPr>
          <w:rFonts w:hint="eastAsia" w:ascii="宋体" w:hAnsi="宋体"/>
          <w:szCs w:val="21"/>
          <w:u w:val="single"/>
          <w:lang w:eastAsia="zh-CN"/>
        </w:rPr>
        <w:t>河北交投绿色建材有限公司2026-2027年度经营生产用原材料供应商入库（补充入库）二次</w:t>
      </w:r>
      <w:r>
        <w:rPr>
          <w:rFonts w:ascii="宋体" w:hAnsi="宋体"/>
          <w:szCs w:val="21"/>
        </w:rPr>
        <w:t>（项目名称）已具备采购条件，现公开邀请供应商参加框架协议采购活动。评审办法采用：</w:t>
      </w:r>
      <w:r>
        <w:rPr>
          <w:rFonts w:ascii="宋体" w:hAnsi="宋体"/>
          <w:szCs w:val="21"/>
          <w:u w:val="single"/>
        </w:rPr>
        <w:t xml:space="preserve"> </w:t>
      </w:r>
      <w:r>
        <w:rPr>
          <w:rFonts w:hint="eastAsia" w:ascii="宋体" w:hAnsi="宋体"/>
          <w:szCs w:val="21"/>
          <w:u w:val="single"/>
        </w:rPr>
        <w:t>综合评分法</w:t>
      </w:r>
      <w:r>
        <w:rPr>
          <w:rFonts w:ascii="宋体" w:hAnsi="宋体"/>
          <w:szCs w:val="21"/>
          <w:u w:val="single"/>
        </w:rPr>
        <w:t xml:space="preserve"> </w:t>
      </w:r>
    </w:p>
    <w:p w14:paraId="4E673865">
      <w:pPr>
        <w:widowControl/>
        <w:spacing w:before="260" w:after="260"/>
        <w:outlineLvl w:val="1"/>
        <w:rPr>
          <w:rFonts w:eastAsia="黑体"/>
          <w:b/>
          <w:spacing w:val="1"/>
          <w:kern w:val="0"/>
          <w:sz w:val="28"/>
          <w:szCs w:val="28"/>
        </w:rPr>
      </w:pPr>
      <w:bookmarkStart w:id="40" w:name="_Toc149140164"/>
      <w:r>
        <w:rPr>
          <w:rFonts w:eastAsia="黑体"/>
          <w:b/>
          <w:spacing w:val="1"/>
          <w:kern w:val="0"/>
          <w:sz w:val="28"/>
          <w:szCs w:val="28"/>
        </w:rPr>
        <w:t>1. 采购项目简介</w:t>
      </w:r>
      <w:bookmarkEnd w:id="40"/>
    </w:p>
    <w:p w14:paraId="020FE01F">
      <w:pPr>
        <w:spacing w:line="400" w:lineRule="exact"/>
        <w:ind w:firstLine="422" w:firstLineChars="200"/>
        <w:rPr>
          <w:rFonts w:hint="eastAsia" w:ascii="宋体" w:hAnsi="宋体" w:eastAsia="宋体"/>
          <w:szCs w:val="21"/>
          <w:lang w:eastAsia="zh-CN"/>
        </w:rPr>
      </w:pPr>
      <w:r>
        <w:rPr>
          <w:b/>
          <w:bCs/>
        </w:rPr>
        <w:t>1</w:t>
      </w:r>
      <w:r>
        <w:rPr>
          <w:rFonts w:ascii="宋体" w:hAnsi="宋体"/>
          <w:b/>
          <w:bCs/>
        </w:rPr>
        <w:t>.</w:t>
      </w:r>
      <w:r>
        <w:rPr>
          <w:b/>
          <w:bCs/>
        </w:rPr>
        <w:t>1</w:t>
      </w:r>
      <w:r>
        <w:rPr>
          <w:rFonts w:ascii="宋体" w:hAnsi="宋体"/>
          <w:szCs w:val="21"/>
        </w:rPr>
        <w:tab/>
      </w:r>
      <w:r>
        <w:rPr>
          <w:rFonts w:ascii="宋体" w:hAnsi="宋体"/>
          <w:szCs w:val="21"/>
        </w:rPr>
        <w:t>采购项目名称：</w:t>
      </w:r>
      <w:r>
        <w:rPr>
          <w:rFonts w:hint="eastAsia" w:ascii="宋体" w:hAnsi="宋体"/>
          <w:szCs w:val="21"/>
          <w:u w:val="single"/>
          <w:lang w:eastAsia="zh-CN"/>
        </w:rPr>
        <w:t>河北交投绿色建材有限公司2026-2027年度经营生产用原材料供应商入库（补充入库）二次</w:t>
      </w:r>
    </w:p>
    <w:p w14:paraId="720E3C60">
      <w:pPr>
        <w:spacing w:line="400" w:lineRule="exact"/>
        <w:ind w:firstLine="422" w:firstLineChars="200"/>
        <w:rPr>
          <w:rFonts w:ascii="宋体" w:hAnsi="宋体"/>
          <w:szCs w:val="21"/>
        </w:rPr>
      </w:pPr>
      <w:r>
        <w:rPr>
          <w:b/>
          <w:bCs/>
        </w:rPr>
        <w:t>1</w:t>
      </w:r>
      <w:r>
        <w:rPr>
          <w:rFonts w:ascii="宋体" w:hAnsi="宋体"/>
          <w:b/>
          <w:bCs/>
        </w:rPr>
        <w:t>.</w:t>
      </w:r>
      <w:r>
        <w:rPr>
          <w:b/>
          <w:bCs/>
        </w:rPr>
        <w:t>2</w:t>
      </w:r>
      <w:r>
        <w:rPr>
          <w:rFonts w:ascii="宋体" w:hAnsi="宋体"/>
          <w:szCs w:val="21"/>
        </w:rPr>
        <w:tab/>
      </w:r>
      <w:r>
        <w:rPr>
          <w:rFonts w:ascii="宋体" w:hAnsi="宋体"/>
          <w:szCs w:val="21"/>
        </w:rPr>
        <w:t>采购人：</w:t>
      </w:r>
      <w:r>
        <w:rPr>
          <w:rFonts w:hint="eastAsia" w:eastAsiaTheme="minorEastAsia"/>
          <w:szCs w:val="21"/>
          <w:u w:val="single"/>
        </w:rPr>
        <w:t>河北交投绿色建材有限公司</w:t>
      </w:r>
    </w:p>
    <w:p w14:paraId="23673EDD">
      <w:pPr>
        <w:spacing w:line="400" w:lineRule="exact"/>
        <w:ind w:firstLine="422" w:firstLineChars="200"/>
        <w:rPr>
          <w:rFonts w:ascii="宋体" w:hAnsi="宋体"/>
          <w:szCs w:val="21"/>
        </w:rPr>
      </w:pPr>
      <w:r>
        <w:rPr>
          <w:b/>
          <w:bCs/>
        </w:rPr>
        <w:t>1</w:t>
      </w:r>
      <w:r>
        <w:rPr>
          <w:rFonts w:ascii="宋体" w:hAnsi="宋体"/>
          <w:b/>
          <w:bCs/>
        </w:rPr>
        <w:t>.</w:t>
      </w:r>
      <w:r>
        <w:rPr>
          <w:b/>
          <w:bCs/>
        </w:rPr>
        <w:t>3</w:t>
      </w:r>
      <w:r>
        <w:rPr>
          <w:rFonts w:ascii="宋体" w:hAnsi="宋体"/>
          <w:szCs w:val="21"/>
        </w:rPr>
        <w:tab/>
      </w:r>
      <w:r>
        <w:rPr>
          <w:rFonts w:ascii="宋体" w:hAnsi="宋体"/>
          <w:szCs w:val="21"/>
        </w:rPr>
        <w:t>采购代理机构：</w:t>
      </w:r>
      <w:r>
        <w:rPr>
          <w:rFonts w:hint="eastAsia" w:eastAsiaTheme="minorEastAsia"/>
          <w:szCs w:val="21"/>
          <w:u w:val="single"/>
        </w:rPr>
        <w:t>河北雄安交投工程咨询有限公司</w:t>
      </w:r>
    </w:p>
    <w:p w14:paraId="63B061A3">
      <w:pPr>
        <w:spacing w:line="400" w:lineRule="exact"/>
        <w:ind w:firstLine="422" w:firstLineChars="200"/>
        <w:rPr>
          <w:rFonts w:hint="eastAsia" w:ascii="宋体" w:hAnsi="宋体" w:eastAsia="宋体"/>
          <w:szCs w:val="21"/>
          <w:u w:val="single"/>
          <w:lang w:eastAsia="zh-CN"/>
        </w:rPr>
      </w:pPr>
      <w:r>
        <w:rPr>
          <w:b/>
          <w:bCs/>
        </w:rPr>
        <w:t>1</w:t>
      </w:r>
      <w:r>
        <w:rPr>
          <w:rFonts w:ascii="宋体" w:hAnsi="宋体"/>
          <w:b/>
          <w:bCs/>
        </w:rPr>
        <w:t>.</w:t>
      </w:r>
      <w:r>
        <w:rPr>
          <w:b/>
          <w:bCs/>
        </w:rPr>
        <w:t>4</w:t>
      </w:r>
      <w:r>
        <w:rPr>
          <w:rFonts w:ascii="宋体" w:hAnsi="宋体"/>
          <w:szCs w:val="21"/>
        </w:rPr>
        <w:t xml:space="preserve"> 采购项目概况：</w:t>
      </w:r>
      <w:r>
        <w:rPr>
          <w:rFonts w:hint="eastAsia" w:eastAsiaTheme="minorEastAsia"/>
          <w:szCs w:val="21"/>
          <w:u w:val="single"/>
          <w:lang w:eastAsia="zh-CN"/>
        </w:rPr>
        <w:t>为满足公司运营生产经营生产用原材料的使用，现通过框架协议的采购方式建立供应商库，以减少中间流通环节，降低采购成本。</w:t>
      </w:r>
    </w:p>
    <w:p w14:paraId="3DB35047">
      <w:pPr>
        <w:widowControl/>
        <w:spacing w:before="260" w:after="260"/>
        <w:outlineLvl w:val="1"/>
        <w:rPr>
          <w:rFonts w:eastAsia="黑体"/>
          <w:b/>
          <w:spacing w:val="1"/>
          <w:kern w:val="0"/>
          <w:sz w:val="28"/>
          <w:szCs w:val="28"/>
        </w:rPr>
      </w:pPr>
      <w:bookmarkStart w:id="41" w:name="_Toc118806201"/>
      <w:bookmarkStart w:id="42" w:name="_Toc9210"/>
      <w:bookmarkStart w:id="43" w:name="_Toc118806941"/>
      <w:bookmarkStart w:id="44" w:name="_Toc7764"/>
      <w:bookmarkStart w:id="45" w:name="_Toc24107"/>
      <w:bookmarkStart w:id="46" w:name="_Toc149140167"/>
      <w:bookmarkStart w:id="47" w:name="_Toc10095"/>
      <w:bookmarkStart w:id="48" w:name="_Toc3135"/>
      <w:bookmarkStart w:id="49" w:name="_Toc118805076"/>
      <w:bookmarkStart w:id="50" w:name="_Toc118805453"/>
      <w:bookmarkStart w:id="51" w:name="_Toc8483_WPSOffice_Level3"/>
      <w:bookmarkStart w:id="52" w:name="_Toc26240"/>
      <w:bookmarkStart w:id="53" w:name="_Toc118805830"/>
      <w:r>
        <w:rPr>
          <w:rFonts w:eastAsia="黑体"/>
          <w:b/>
          <w:spacing w:val="1"/>
          <w:kern w:val="0"/>
          <w:sz w:val="28"/>
          <w:szCs w:val="28"/>
        </w:rPr>
        <w:t>2. 采购范围及相关要求</w:t>
      </w:r>
      <w:bookmarkEnd w:id="41"/>
      <w:bookmarkEnd w:id="42"/>
      <w:bookmarkEnd w:id="43"/>
      <w:bookmarkEnd w:id="44"/>
      <w:bookmarkEnd w:id="45"/>
      <w:bookmarkEnd w:id="46"/>
      <w:bookmarkEnd w:id="47"/>
      <w:bookmarkEnd w:id="48"/>
      <w:bookmarkEnd w:id="49"/>
      <w:bookmarkEnd w:id="50"/>
      <w:bookmarkEnd w:id="51"/>
      <w:bookmarkEnd w:id="52"/>
      <w:bookmarkEnd w:id="53"/>
    </w:p>
    <w:p w14:paraId="566EB652">
      <w:pPr>
        <w:pageBreakBefore w:val="0"/>
        <w:widowControl w:val="0"/>
        <w:kinsoku/>
        <w:wordWrap/>
        <w:overflowPunct/>
        <w:topLinePunct w:val="0"/>
        <w:autoSpaceDE/>
        <w:autoSpaceDN/>
        <w:bidi w:val="0"/>
        <w:adjustRightInd/>
        <w:snapToGrid/>
        <w:spacing w:line="400" w:lineRule="exact"/>
        <w:ind w:firstLine="422" w:firstLineChars="200"/>
        <w:textAlignment w:val="auto"/>
      </w:pPr>
      <w:r>
        <w:rPr>
          <w:b/>
          <w:bCs/>
        </w:rPr>
        <w:t>2</w:t>
      </w:r>
      <w:r>
        <w:rPr>
          <w:rFonts w:ascii="宋体" w:hAnsi="宋体"/>
          <w:b/>
          <w:bCs/>
        </w:rPr>
        <w:t>.</w:t>
      </w:r>
      <w:r>
        <w:rPr>
          <w:b/>
          <w:bCs/>
        </w:rPr>
        <w:t>1</w:t>
      </w:r>
      <w:r>
        <w:rPr>
          <w:rFonts w:ascii="宋体" w:hAnsi="宋体"/>
        </w:rPr>
        <w:t xml:space="preserve"> 采购范围：</w:t>
      </w:r>
      <w:r>
        <w:rPr>
          <w:rFonts w:hint="eastAsia" w:ascii="宋体" w:hAnsi="宋体"/>
          <w:u w:val="single"/>
        </w:rPr>
        <w:t>本次采购为</w:t>
      </w:r>
      <w:r>
        <w:rPr>
          <w:rFonts w:hint="eastAsia" w:ascii="宋体" w:hAnsi="宋体"/>
          <w:szCs w:val="21"/>
          <w:u w:val="single"/>
          <w:lang w:eastAsia="zh-CN"/>
        </w:rPr>
        <w:t>河北交投绿色建材有限公司2026-2027年度经营生产用原材料供应商入库（补充入库）二次</w:t>
      </w:r>
      <w:r>
        <w:rPr>
          <w:rFonts w:hint="eastAsia" w:ascii="宋体" w:hAnsi="宋体"/>
          <w:szCs w:val="21"/>
          <w:u w:val="single"/>
        </w:rPr>
        <w:t>，详见</w:t>
      </w:r>
      <w:r>
        <w:rPr>
          <w:rFonts w:hint="eastAsia" w:ascii="宋体" w:hAnsi="宋体"/>
          <w:szCs w:val="21"/>
          <w:u w:val="single"/>
          <w:lang w:val="en-US" w:eastAsia="zh-CN"/>
        </w:rPr>
        <w:t>附件：</w:t>
      </w:r>
      <w:r>
        <w:rPr>
          <w:rFonts w:hint="eastAsia" w:ascii="宋体" w:hAnsi="宋体"/>
          <w:szCs w:val="21"/>
          <w:u w:val="single"/>
        </w:rPr>
        <w:t>物资采购清单</w:t>
      </w:r>
      <w:r>
        <w:rPr>
          <w:rFonts w:ascii="宋体" w:hAnsi="宋体"/>
        </w:rPr>
        <w:t>。</w:t>
      </w:r>
    </w:p>
    <w:p w14:paraId="56DE2DDA">
      <w:pPr>
        <w:spacing w:line="400" w:lineRule="exact"/>
        <w:ind w:firstLine="422" w:firstLineChars="200"/>
        <w:rPr>
          <w:rFonts w:ascii="宋体" w:hAnsi="宋体"/>
          <w:highlight w:val="none"/>
        </w:rPr>
      </w:pPr>
      <w:r>
        <w:rPr>
          <w:b/>
          <w:bCs/>
        </w:rPr>
        <w:t>2</w:t>
      </w:r>
      <w:r>
        <w:rPr>
          <w:rFonts w:ascii="宋体" w:hAnsi="宋体"/>
          <w:b/>
          <w:bCs/>
        </w:rPr>
        <w:t>.</w:t>
      </w:r>
      <w:r>
        <w:rPr>
          <w:b/>
          <w:bCs/>
        </w:rPr>
        <w:t>2</w:t>
      </w:r>
      <w:r>
        <w:rPr>
          <w:rFonts w:ascii="宋体" w:hAnsi="宋体"/>
          <w:b/>
          <w:bCs/>
        </w:rPr>
        <w:t xml:space="preserve"> </w:t>
      </w:r>
      <w:r>
        <w:rPr>
          <w:rFonts w:ascii="宋体" w:hAnsi="宋体"/>
        </w:rPr>
        <w:t>标段划分：</w:t>
      </w:r>
      <w:r>
        <w:rPr>
          <w:rFonts w:hint="eastAsia" w:ascii="宋体" w:hAnsi="宋体"/>
          <w:u w:val="single"/>
        </w:rPr>
        <w:t>本项目共</w:t>
      </w:r>
      <w:r>
        <w:rPr>
          <w:rFonts w:hint="eastAsia"/>
          <w:u w:val="single"/>
          <w:lang w:val="en-US" w:eastAsia="zh-CN"/>
        </w:rPr>
        <w:t>1</w:t>
      </w:r>
      <w:r>
        <w:rPr>
          <w:rFonts w:hint="eastAsia"/>
          <w:u w:val="single"/>
        </w:rPr>
        <w:t>个标段：</w:t>
      </w:r>
      <w:r>
        <w:rPr>
          <w:rFonts w:hint="eastAsia"/>
          <w:highlight w:val="none"/>
          <w:u w:val="single"/>
        </w:rPr>
        <w:t>为</w:t>
      </w:r>
      <w:r>
        <w:rPr>
          <w:rFonts w:hint="eastAsia"/>
          <w:highlight w:val="none"/>
          <w:u w:val="single"/>
          <w:lang w:val="en-US" w:eastAsia="zh-CN"/>
        </w:rPr>
        <w:t>粉煤灰</w:t>
      </w:r>
      <w:r>
        <w:rPr>
          <w:rFonts w:hint="eastAsia"/>
          <w:highlight w:val="none"/>
          <w:u w:val="single"/>
        </w:rPr>
        <w:t>供应商</w:t>
      </w:r>
    </w:p>
    <w:p w14:paraId="0E6866D6">
      <w:pPr>
        <w:spacing w:line="400" w:lineRule="exact"/>
        <w:ind w:firstLine="422" w:firstLineChars="200"/>
        <w:rPr>
          <w:rFonts w:hint="eastAsia" w:ascii="宋体" w:hAnsi="宋体"/>
          <w:highlight w:val="none"/>
        </w:rPr>
      </w:pPr>
      <w:r>
        <w:rPr>
          <w:b/>
          <w:bCs/>
          <w:highlight w:val="none"/>
        </w:rPr>
        <w:t>2</w:t>
      </w:r>
      <w:r>
        <w:rPr>
          <w:rFonts w:ascii="宋体" w:hAnsi="宋体"/>
          <w:b/>
          <w:bCs/>
          <w:highlight w:val="none"/>
        </w:rPr>
        <w:t>.</w:t>
      </w:r>
      <w:r>
        <w:rPr>
          <w:b/>
          <w:bCs/>
          <w:highlight w:val="none"/>
        </w:rPr>
        <w:t>3</w:t>
      </w:r>
      <w:r>
        <w:rPr>
          <w:rFonts w:ascii="宋体" w:hAnsi="宋体"/>
          <w:b/>
          <w:bCs/>
          <w:highlight w:val="none"/>
        </w:rPr>
        <w:t xml:space="preserve"> </w:t>
      </w:r>
      <w:r>
        <w:rPr>
          <w:rFonts w:ascii="宋体" w:hAnsi="宋体"/>
          <w:highlight w:val="none"/>
        </w:rPr>
        <w:t>入围供应商</w:t>
      </w:r>
      <w:r>
        <w:rPr>
          <w:rFonts w:ascii="宋体" w:hAnsi="宋体"/>
          <w:szCs w:val="21"/>
          <w:highlight w:val="none"/>
        </w:rPr>
        <w:t>数</w:t>
      </w:r>
      <w:r>
        <w:rPr>
          <w:rFonts w:ascii="宋体" w:hAnsi="宋体"/>
          <w:highlight w:val="none"/>
        </w:rPr>
        <w:t>量：</w:t>
      </w:r>
      <w:r>
        <w:rPr>
          <w:rFonts w:hint="eastAsia" w:ascii="宋体" w:hAnsi="宋体"/>
          <w:highlight w:val="none"/>
          <w:u w:val="single"/>
        </w:rPr>
        <w:t>1-</w:t>
      </w:r>
      <w:r>
        <w:rPr>
          <w:rFonts w:hint="eastAsia" w:ascii="宋体" w:hAnsi="宋体"/>
          <w:highlight w:val="none"/>
          <w:u w:val="single"/>
          <w:lang w:val="en-US" w:eastAsia="zh-CN"/>
        </w:rPr>
        <w:t>8</w:t>
      </w:r>
      <w:r>
        <w:rPr>
          <w:rFonts w:hint="eastAsia" w:ascii="宋体" w:hAnsi="宋体"/>
          <w:highlight w:val="none"/>
        </w:rPr>
        <w:t>家</w:t>
      </w:r>
    </w:p>
    <w:p w14:paraId="5B74D697">
      <w:pPr>
        <w:spacing w:line="400" w:lineRule="exact"/>
        <w:ind w:firstLine="422" w:firstLineChars="200"/>
        <w:rPr>
          <w:rFonts w:ascii="宋体" w:hAnsi="宋体"/>
          <w:highlight w:val="none"/>
        </w:rPr>
      </w:pPr>
      <w:r>
        <w:rPr>
          <w:b/>
          <w:bCs/>
          <w:highlight w:val="none"/>
        </w:rPr>
        <w:t>2</w:t>
      </w:r>
      <w:r>
        <w:rPr>
          <w:rFonts w:ascii="宋体" w:hAnsi="宋体"/>
          <w:b/>
          <w:bCs/>
          <w:highlight w:val="none"/>
        </w:rPr>
        <w:t>.</w:t>
      </w:r>
      <w:r>
        <w:rPr>
          <w:b/>
          <w:bCs/>
          <w:highlight w:val="none"/>
        </w:rPr>
        <w:t>4</w:t>
      </w:r>
      <w:r>
        <w:rPr>
          <w:rFonts w:ascii="宋体" w:hAnsi="宋体"/>
          <w:highlight w:val="none"/>
        </w:rPr>
        <w:t xml:space="preserve"> </w:t>
      </w:r>
      <w:r>
        <w:rPr>
          <w:rFonts w:hint="eastAsia"/>
          <w:highlight w:val="none"/>
        </w:rPr>
        <w:t>供货期限</w:t>
      </w:r>
      <w:r>
        <w:rPr>
          <w:rFonts w:ascii="宋体" w:hAnsi="宋体"/>
          <w:highlight w:val="none"/>
        </w:rPr>
        <w:t>：</w:t>
      </w:r>
      <w:r>
        <w:rPr>
          <w:rFonts w:hint="eastAsia" w:ascii="宋体" w:hAnsi="宋体"/>
          <w:highlight w:val="none"/>
          <w:u w:val="single"/>
        </w:rPr>
        <w:t>自合同签订之日起至202</w:t>
      </w:r>
      <w:r>
        <w:rPr>
          <w:rFonts w:hint="eastAsia" w:ascii="宋体" w:hAnsi="宋体"/>
          <w:highlight w:val="none"/>
          <w:u w:val="single"/>
          <w:lang w:val="en-US" w:eastAsia="zh-CN"/>
        </w:rPr>
        <w:t>7</w:t>
      </w:r>
      <w:r>
        <w:rPr>
          <w:rFonts w:hint="eastAsia" w:ascii="宋体" w:hAnsi="宋体"/>
          <w:highlight w:val="none"/>
          <w:u w:val="single"/>
        </w:rPr>
        <w:t>年</w:t>
      </w:r>
      <w:r>
        <w:rPr>
          <w:rFonts w:hint="eastAsia" w:ascii="宋体" w:hAnsi="宋体"/>
          <w:highlight w:val="none"/>
          <w:u w:val="single"/>
          <w:lang w:val="en-US" w:eastAsia="zh-CN"/>
        </w:rPr>
        <w:t>12</w:t>
      </w:r>
      <w:r>
        <w:rPr>
          <w:rFonts w:hint="eastAsia" w:ascii="宋体" w:hAnsi="宋体"/>
          <w:highlight w:val="none"/>
          <w:u w:val="single"/>
        </w:rPr>
        <w:t>月</w:t>
      </w:r>
      <w:r>
        <w:rPr>
          <w:rFonts w:hint="eastAsia" w:ascii="宋体" w:hAnsi="宋体"/>
          <w:highlight w:val="none"/>
          <w:u w:val="single"/>
          <w:lang w:val="en-US" w:eastAsia="zh-CN"/>
        </w:rPr>
        <w:t>31</w:t>
      </w:r>
      <w:r>
        <w:rPr>
          <w:rFonts w:hint="eastAsia" w:ascii="宋体" w:hAnsi="宋体"/>
          <w:highlight w:val="none"/>
          <w:u w:val="single"/>
        </w:rPr>
        <w:t>日</w:t>
      </w:r>
      <w:r>
        <w:rPr>
          <w:rFonts w:ascii="宋体" w:hAnsi="宋体"/>
          <w:highlight w:val="none"/>
        </w:rPr>
        <w:t>。</w:t>
      </w:r>
    </w:p>
    <w:p w14:paraId="47D77A1E">
      <w:pPr>
        <w:spacing w:line="400" w:lineRule="exact"/>
        <w:ind w:firstLine="422" w:firstLineChars="200"/>
        <w:rPr>
          <w:rFonts w:ascii="宋体" w:hAnsi="宋体"/>
        </w:rPr>
      </w:pPr>
      <w:r>
        <w:rPr>
          <w:b/>
          <w:bCs/>
        </w:rPr>
        <w:t>2</w:t>
      </w:r>
      <w:r>
        <w:rPr>
          <w:rFonts w:ascii="宋体" w:hAnsi="宋体"/>
          <w:b/>
          <w:bCs/>
        </w:rPr>
        <w:t>.</w:t>
      </w:r>
      <w:r>
        <w:rPr>
          <w:b/>
          <w:bCs/>
        </w:rPr>
        <w:t>5</w:t>
      </w:r>
      <w:r>
        <w:rPr>
          <w:rFonts w:ascii="宋体" w:hAnsi="宋体"/>
        </w:rPr>
        <w:t xml:space="preserve"> </w:t>
      </w:r>
      <w:r>
        <w:rPr>
          <w:rFonts w:hint="eastAsia" w:ascii="宋体" w:hAnsi="宋体"/>
        </w:rPr>
        <w:t>供货地点</w:t>
      </w:r>
      <w:r>
        <w:rPr>
          <w:rFonts w:ascii="宋体" w:hAnsi="宋体"/>
        </w:rPr>
        <w:t>：</w:t>
      </w:r>
      <w:r>
        <w:rPr>
          <w:rFonts w:hint="eastAsia"/>
          <w:u w:val="single"/>
        </w:rPr>
        <w:t>采购人指定地点</w:t>
      </w:r>
      <w:r>
        <w:rPr>
          <w:rFonts w:ascii="宋体" w:hAnsi="宋体"/>
        </w:rPr>
        <w:t>。</w:t>
      </w:r>
    </w:p>
    <w:p w14:paraId="35551C5A">
      <w:pPr>
        <w:spacing w:line="400" w:lineRule="exact"/>
        <w:ind w:firstLine="422" w:firstLineChars="200"/>
        <w:rPr>
          <w:rFonts w:ascii="宋体" w:hAnsi="宋体"/>
        </w:rPr>
      </w:pPr>
      <w:r>
        <w:rPr>
          <w:b/>
          <w:bCs/>
        </w:rPr>
        <w:t>2</w:t>
      </w:r>
      <w:r>
        <w:rPr>
          <w:rFonts w:ascii="宋体" w:hAnsi="宋体"/>
          <w:b/>
          <w:bCs/>
        </w:rPr>
        <w:t>.</w:t>
      </w:r>
      <w:r>
        <w:rPr>
          <w:b/>
          <w:bCs/>
        </w:rPr>
        <w:t>6</w:t>
      </w:r>
      <w:r>
        <w:rPr>
          <w:rFonts w:hint="eastAsia"/>
          <w:b/>
          <w:bCs/>
        </w:rPr>
        <w:t xml:space="preserve"> </w:t>
      </w:r>
      <w:r>
        <w:rPr>
          <w:rFonts w:hint="eastAsia"/>
        </w:rPr>
        <w:t>质量标准</w:t>
      </w:r>
      <w:r>
        <w:rPr>
          <w:rFonts w:ascii="宋体" w:hAnsi="宋体"/>
        </w:rPr>
        <w:t>：</w:t>
      </w:r>
      <w:r>
        <w:rPr>
          <w:rFonts w:hint="eastAsia"/>
          <w:u w:val="single"/>
        </w:rPr>
        <w:t>合格</w:t>
      </w:r>
      <w:r>
        <w:rPr>
          <w:rFonts w:ascii="宋体" w:hAnsi="宋体"/>
        </w:rPr>
        <w:t>。</w:t>
      </w:r>
    </w:p>
    <w:p w14:paraId="03BB96A8">
      <w:pPr>
        <w:widowControl/>
        <w:spacing w:before="260" w:after="260"/>
        <w:outlineLvl w:val="1"/>
        <w:rPr>
          <w:rFonts w:eastAsia="黑体"/>
          <w:b/>
          <w:spacing w:val="1"/>
          <w:kern w:val="0"/>
          <w:sz w:val="28"/>
          <w:szCs w:val="28"/>
        </w:rPr>
      </w:pPr>
      <w:bookmarkStart w:id="54" w:name="_Toc17603_WPSOffice_Level3"/>
      <w:bookmarkStart w:id="55" w:name="_Toc118805831"/>
      <w:bookmarkStart w:id="56" w:name="_Toc77"/>
      <w:bookmarkStart w:id="57" w:name="_Toc1988"/>
      <w:bookmarkStart w:id="58" w:name="_Toc118806942"/>
      <w:bookmarkStart w:id="59" w:name="_Toc149140168"/>
      <w:bookmarkStart w:id="60" w:name="_Toc1169"/>
      <w:bookmarkStart w:id="61" w:name="_Toc118806202"/>
      <w:bookmarkStart w:id="62" w:name="_Toc118805077"/>
      <w:bookmarkStart w:id="63" w:name="_Toc7070"/>
      <w:bookmarkStart w:id="64" w:name="_Toc118805454"/>
      <w:bookmarkStart w:id="65" w:name="_Toc8523"/>
      <w:bookmarkStart w:id="66" w:name="_Toc31415"/>
      <w:r>
        <w:rPr>
          <w:rFonts w:eastAsia="黑体"/>
          <w:b/>
          <w:spacing w:val="1"/>
          <w:kern w:val="0"/>
          <w:sz w:val="28"/>
          <w:szCs w:val="28"/>
        </w:rPr>
        <w:t>3. 供应商资格要求</w:t>
      </w:r>
      <w:bookmarkEnd w:id="54"/>
      <w:bookmarkEnd w:id="55"/>
      <w:bookmarkEnd w:id="56"/>
      <w:bookmarkEnd w:id="57"/>
      <w:bookmarkEnd w:id="58"/>
      <w:bookmarkEnd w:id="59"/>
      <w:bookmarkEnd w:id="60"/>
      <w:bookmarkEnd w:id="61"/>
      <w:bookmarkEnd w:id="62"/>
      <w:bookmarkEnd w:id="63"/>
      <w:bookmarkEnd w:id="64"/>
      <w:bookmarkEnd w:id="65"/>
      <w:bookmarkEnd w:id="66"/>
    </w:p>
    <w:p w14:paraId="32573CE1">
      <w:pPr>
        <w:spacing w:line="400" w:lineRule="exact"/>
        <w:ind w:firstLine="422" w:firstLineChars="200"/>
        <w:rPr>
          <w:rFonts w:ascii="宋体" w:hAnsi="宋体"/>
        </w:rPr>
      </w:pPr>
      <w:bookmarkStart w:id="67" w:name="_Hlk138877132"/>
      <w:r>
        <w:rPr>
          <w:b/>
          <w:bCs/>
        </w:rPr>
        <w:t>3</w:t>
      </w:r>
      <w:r>
        <w:rPr>
          <w:rFonts w:ascii="宋体" w:hAnsi="宋体"/>
          <w:b/>
          <w:bCs/>
        </w:rPr>
        <w:t>.</w:t>
      </w:r>
      <w:r>
        <w:rPr>
          <w:b/>
          <w:bCs/>
        </w:rPr>
        <w:t>1</w:t>
      </w:r>
      <w:r>
        <w:rPr>
          <w:rFonts w:ascii="宋体" w:hAnsi="宋体"/>
          <w:b/>
          <w:bCs/>
        </w:rPr>
        <w:t xml:space="preserve"> </w:t>
      </w:r>
      <w:r>
        <w:rPr>
          <w:rFonts w:ascii="宋体" w:hAnsi="宋体"/>
        </w:rPr>
        <w:t>供应商应依法设立且满足如下要求：</w:t>
      </w:r>
    </w:p>
    <w:p w14:paraId="77BE0173">
      <w:pPr>
        <w:spacing w:line="400" w:lineRule="exact"/>
        <w:ind w:firstLine="420" w:firstLineChars="200"/>
        <w:rPr>
          <w:rFonts w:ascii="宋体" w:hAnsi="宋体"/>
          <w:color w:val="auto"/>
          <w:highlight w:val="none"/>
        </w:rPr>
      </w:pPr>
      <w:r>
        <w:rPr>
          <w:rFonts w:ascii="宋体" w:hAnsi="宋体"/>
          <w:highlight w:val="none"/>
        </w:rPr>
        <w:t>（</w:t>
      </w:r>
      <w:r>
        <w:rPr>
          <w:highlight w:val="none"/>
        </w:rPr>
        <w:t>1</w:t>
      </w:r>
      <w:r>
        <w:rPr>
          <w:rFonts w:ascii="宋体" w:hAnsi="宋体"/>
          <w:highlight w:val="none"/>
        </w:rPr>
        <w:t>）资质要求：</w:t>
      </w:r>
      <w:r>
        <w:rPr>
          <w:rFonts w:hint="eastAsia"/>
          <w:highlight w:val="none"/>
          <w:u w:val="single"/>
        </w:rPr>
        <w:t>要求供应商具有独立企业法人资格，具有工商行政管理部门颁发的在有效期内的营业执照，并具有本项目相应</w:t>
      </w:r>
      <w:r>
        <w:rPr>
          <w:rFonts w:hint="eastAsia"/>
          <w:highlight w:val="none"/>
          <w:u w:val="single"/>
          <w:lang w:val="en-US" w:eastAsia="zh-CN"/>
        </w:rPr>
        <w:t>产品</w:t>
      </w:r>
      <w:r>
        <w:rPr>
          <w:rFonts w:hint="eastAsia"/>
          <w:highlight w:val="none"/>
          <w:u w:val="single"/>
        </w:rPr>
        <w:t>的</w:t>
      </w:r>
      <w:r>
        <w:rPr>
          <w:rFonts w:hint="eastAsia"/>
          <w:highlight w:val="none"/>
          <w:u w:val="single"/>
          <w:lang w:val="en-US" w:eastAsia="zh-CN"/>
        </w:rPr>
        <w:t>供货</w:t>
      </w:r>
      <w:r>
        <w:rPr>
          <w:rFonts w:hint="eastAsia"/>
          <w:highlight w:val="none"/>
          <w:u w:val="single"/>
        </w:rPr>
        <w:t>能力；</w:t>
      </w:r>
      <w:r>
        <w:rPr>
          <w:rFonts w:hint="eastAsia" w:ascii="宋体" w:hAnsi="宋体"/>
          <w:highlight w:val="none"/>
          <w:u w:val="single"/>
          <w:lang w:val="en-US" w:eastAsia="zh-CN"/>
        </w:rPr>
        <w:t>提供</w:t>
      </w:r>
      <w:r>
        <w:rPr>
          <w:rFonts w:hint="eastAsia" w:ascii="宋体" w:hAnsi="宋体"/>
          <w:highlight w:val="none"/>
          <w:u w:val="single"/>
          <w:lang w:eastAsia="zh-CN"/>
        </w:rPr>
        <w:t>基本账户开户许可证复印件或基本存款账户信息；</w:t>
      </w:r>
      <w:r>
        <w:rPr>
          <w:rFonts w:hint="eastAsia"/>
          <w:color w:val="auto"/>
          <w:highlight w:val="none"/>
          <w:u w:val="single"/>
          <w:lang w:val="en-US" w:eastAsia="zh-CN"/>
        </w:rPr>
        <w:t>具有</w:t>
      </w:r>
      <w:r>
        <w:rPr>
          <w:rFonts w:hint="eastAsia"/>
          <w:highlight w:val="none"/>
          <w:u w:val="single"/>
          <w:lang w:val="en-US" w:eastAsia="zh-CN"/>
        </w:rPr>
        <w:t>粉煤灰</w:t>
      </w:r>
      <w:r>
        <w:rPr>
          <w:rFonts w:hint="eastAsia"/>
          <w:color w:val="auto"/>
          <w:highlight w:val="none"/>
          <w:u w:val="single"/>
        </w:rPr>
        <w:t>的经销权</w:t>
      </w:r>
      <w:r>
        <w:rPr>
          <w:rFonts w:hint="eastAsia"/>
          <w:color w:val="auto"/>
          <w:highlight w:val="none"/>
          <w:u w:val="single"/>
          <w:lang w:val="en-US" w:eastAsia="zh-CN"/>
        </w:rPr>
        <w:t>或</w:t>
      </w:r>
      <w:r>
        <w:rPr>
          <w:rFonts w:hint="eastAsia"/>
          <w:color w:val="auto"/>
          <w:highlight w:val="none"/>
          <w:u w:val="single"/>
        </w:rPr>
        <w:t>代理权</w:t>
      </w:r>
      <w:r>
        <w:rPr>
          <w:rFonts w:ascii="宋体" w:hAnsi="宋体"/>
          <w:color w:val="auto"/>
          <w:highlight w:val="none"/>
        </w:rPr>
        <w:t>。</w:t>
      </w:r>
    </w:p>
    <w:p w14:paraId="03C58B08">
      <w:pPr>
        <w:spacing w:line="400" w:lineRule="exact"/>
        <w:ind w:firstLine="420" w:firstLineChars="200"/>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u w:val="single"/>
        </w:rPr>
        <w:t>如投标人为生产商，须具有在有效期内的质量管理体系认证证书，所投包件产品必须具有2年内（自202</w:t>
      </w:r>
      <w:r>
        <w:rPr>
          <w:rFonts w:hint="eastAsia" w:cs="Times New Roman"/>
          <w:highlight w:val="none"/>
          <w:u w:val="single"/>
          <w:lang w:val="en-US" w:eastAsia="zh-CN"/>
        </w:rPr>
        <w:t>3</w:t>
      </w:r>
      <w:r>
        <w:rPr>
          <w:rFonts w:hint="eastAsia" w:ascii="Times New Roman" w:hAnsi="Times New Roman" w:eastAsia="宋体" w:cs="Times New Roman"/>
          <w:highlight w:val="none"/>
          <w:u w:val="single"/>
        </w:rPr>
        <w:t>年12月1日至今）的第三方检测单位出具的产品质量合格检测报告。</w:t>
      </w:r>
    </w:p>
    <w:p w14:paraId="55DB4E70">
      <w:pPr>
        <w:spacing w:line="400" w:lineRule="exact"/>
        <w:ind w:firstLine="420" w:firstLineChars="200"/>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u w:val="single"/>
        </w:rPr>
        <w:t>如投标人为代理经销商，须提供生产商出具的授权书和授权生产商在有效期内的质量管理体系认证证书，所投包件产品必须具有2年内（自202</w:t>
      </w:r>
      <w:r>
        <w:rPr>
          <w:rFonts w:hint="eastAsia" w:cs="Times New Roman"/>
          <w:highlight w:val="none"/>
          <w:u w:val="single"/>
          <w:lang w:val="en-US" w:eastAsia="zh-CN"/>
        </w:rPr>
        <w:t>3</w:t>
      </w:r>
      <w:r>
        <w:rPr>
          <w:rFonts w:hint="eastAsia" w:ascii="Times New Roman" w:hAnsi="Times New Roman" w:eastAsia="宋体" w:cs="Times New Roman"/>
          <w:highlight w:val="none"/>
          <w:u w:val="single"/>
        </w:rPr>
        <w:t>年12月1日至今）的第三方检测单位出具的产品质量合格检测报告。（注：授权生产商业绩视同代理经销商的业绩）</w:t>
      </w:r>
    </w:p>
    <w:p w14:paraId="656137EB">
      <w:pPr>
        <w:numPr>
          <w:ilvl w:val="0"/>
          <w:numId w:val="2"/>
        </w:numPr>
        <w:spacing w:line="400" w:lineRule="exact"/>
        <w:ind w:firstLine="420" w:firstLineChars="200"/>
        <w:rPr>
          <w:rFonts w:ascii="宋体" w:hAnsi="宋体"/>
          <w:color w:val="auto"/>
          <w:highlight w:val="none"/>
        </w:rPr>
      </w:pPr>
      <w:r>
        <w:rPr>
          <w:rFonts w:ascii="宋体" w:hAnsi="宋体"/>
          <w:color w:val="auto"/>
          <w:highlight w:val="none"/>
        </w:rPr>
        <w:t>业绩要求：</w:t>
      </w:r>
    </w:p>
    <w:tbl>
      <w:tblPr>
        <w:tblStyle w:val="107"/>
        <w:tblW w:w="8033"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5570"/>
      </w:tblGrid>
      <w:tr w14:paraId="1B4DB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463" w:type="dxa"/>
            <w:vAlign w:val="top"/>
          </w:tcPr>
          <w:p w14:paraId="351FEC61">
            <w:pPr>
              <w:pStyle w:val="167"/>
              <w:spacing w:before="193" w:line="219" w:lineRule="auto"/>
              <w:ind w:left="756"/>
              <w:rPr>
                <w:sz w:val="21"/>
                <w:szCs w:val="21"/>
                <w:highlight w:val="none"/>
              </w:rPr>
            </w:pPr>
            <w:r>
              <w:rPr>
                <w:spacing w:val="-2"/>
                <w:sz w:val="21"/>
                <w:szCs w:val="21"/>
                <w:highlight w:val="none"/>
              </w:rPr>
              <w:t>材料名称</w:t>
            </w:r>
          </w:p>
        </w:tc>
        <w:tc>
          <w:tcPr>
            <w:tcW w:w="5570" w:type="dxa"/>
            <w:vAlign w:val="top"/>
          </w:tcPr>
          <w:p w14:paraId="713C9EE6">
            <w:pPr>
              <w:pStyle w:val="167"/>
              <w:spacing w:before="40" w:line="224" w:lineRule="auto"/>
              <w:ind w:left="544" w:right="18" w:hanging="518"/>
              <w:rPr>
                <w:sz w:val="21"/>
                <w:szCs w:val="21"/>
                <w:highlight w:val="none"/>
              </w:rPr>
            </w:pPr>
            <w:r>
              <w:rPr>
                <w:spacing w:val="-1"/>
                <w:sz w:val="21"/>
                <w:szCs w:val="21"/>
                <w:highlight w:val="none"/>
              </w:rPr>
              <w:t>投标人近3年（自202</w:t>
            </w:r>
            <w:r>
              <w:rPr>
                <w:rFonts w:hint="eastAsia"/>
                <w:spacing w:val="-1"/>
                <w:sz w:val="21"/>
                <w:szCs w:val="21"/>
                <w:highlight w:val="none"/>
                <w:lang w:val="en-US" w:eastAsia="zh-CN"/>
              </w:rPr>
              <w:t>2</w:t>
            </w:r>
            <w:r>
              <w:rPr>
                <w:spacing w:val="-1"/>
                <w:sz w:val="21"/>
                <w:szCs w:val="21"/>
                <w:highlight w:val="none"/>
              </w:rPr>
              <w:t>年1</w:t>
            </w:r>
            <w:r>
              <w:rPr>
                <w:rFonts w:hint="eastAsia"/>
                <w:spacing w:val="-1"/>
                <w:sz w:val="21"/>
                <w:szCs w:val="21"/>
                <w:highlight w:val="none"/>
                <w:lang w:val="en-US" w:eastAsia="zh-CN"/>
              </w:rPr>
              <w:t>2</w:t>
            </w:r>
            <w:r>
              <w:rPr>
                <w:spacing w:val="-1"/>
                <w:sz w:val="21"/>
                <w:szCs w:val="21"/>
                <w:highlight w:val="none"/>
              </w:rPr>
              <w:t>月1日起，以合同签订</w:t>
            </w:r>
            <w:r>
              <w:rPr>
                <w:spacing w:val="-3"/>
                <w:sz w:val="21"/>
                <w:szCs w:val="21"/>
                <w:highlight w:val="none"/>
              </w:rPr>
              <w:t>日期为准）累计销售经营生产用原材料</w:t>
            </w:r>
          </w:p>
        </w:tc>
      </w:tr>
      <w:tr w14:paraId="0663D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463" w:type="dxa"/>
            <w:vAlign w:val="top"/>
          </w:tcPr>
          <w:p w14:paraId="5C19D76E">
            <w:pPr>
              <w:pStyle w:val="167"/>
              <w:spacing w:before="34" w:line="198" w:lineRule="auto"/>
              <w:ind w:left="875"/>
              <w:rPr>
                <w:sz w:val="21"/>
                <w:szCs w:val="21"/>
                <w:highlight w:val="none"/>
              </w:rPr>
            </w:pPr>
            <w:r>
              <w:rPr>
                <w:spacing w:val="-2"/>
                <w:sz w:val="21"/>
                <w:szCs w:val="21"/>
                <w:highlight w:val="none"/>
              </w:rPr>
              <w:t>粉煤灰</w:t>
            </w:r>
          </w:p>
        </w:tc>
        <w:tc>
          <w:tcPr>
            <w:tcW w:w="5570" w:type="dxa"/>
            <w:vAlign w:val="top"/>
          </w:tcPr>
          <w:p w14:paraId="61BE4A77">
            <w:pPr>
              <w:pStyle w:val="167"/>
              <w:spacing w:before="34" w:line="198" w:lineRule="auto"/>
              <w:ind w:left="1407"/>
              <w:rPr>
                <w:sz w:val="21"/>
                <w:szCs w:val="21"/>
                <w:highlight w:val="none"/>
              </w:rPr>
            </w:pPr>
            <w:r>
              <w:rPr>
                <w:spacing w:val="-9"/>
                <w:sz w:val="21"/>
                <w:szCs w:val="21"/>
                <w:highlight w:val="none"/>
              </w:rPr>
              <w:t>不低于</w:t>
            </w:r>
            <w:r>
              <w:rPr>
                <w:spacing w:val="5"/>
                <w:sz w:val="21"/>
                <w:szCs w:val="21"/>
                <w:highlight w:val="none"/>
              </w:rPr>
              <w:t xml:space="preserve"> </w:t>
            </w:r>
            <w:r>
              <w:rPr>
                <w:spacing w:val="5"/>
                <w:sz w:val="21"/>
                <w:szCs w:val="21"/>
                <w:highlight w:val="none"/>
                <w:u w:val="single"/>
              </w:rPr>
              <w:t xml:space="preserve">  </w:t>
            </w:r>
            <w:r>
              <w:rPr>
                <w:rFonts w:hint="eastAsia"/>
                <w:spacing w:val="-9"/>
                <w:sz w:val="21"/>
                <w:szCs w:val="21"/>
                <w:highlight w:val="none"/>
                <w:u w:val="single"/>
                <w:lang w:val="en-US" w:eastAsia="zh-CN"/>
              </w:rPr>
              <w:t>3</w:t>
            </w:r>
            <w:r>
              <w:rPr>
                <w:spacing w:val="5"/>
                <w:sz w:val="21"/>
                <w:szCs w:val="21"/>
                <w:highlight w:val="none"/>
                <w:u w:val="single"/>
              </w:rPr>
              <w:t xml:space="preserve">  </w:t>
            </w:r>
            <w:r>
              <w:rPr>
                <w:spacing w:val="-9"/>
                <w:sz w:val="21"/>
                <w:szCs w:val="21"/>
                <w:highlight w:val="none"/>
              </w:rPr>
              <w:t>万吨。</w:t>
            </w:r>
          </w:p>
        </w:tc>
      </w:tr>
    </w:tbl>
    <w:p w14:paraId="700833B2">
      <w:pPr>
        <w:numPr>
          <w:ilvl w:val="0"/>
          <w:numId w:val="0"/>
        </w:numPr>
        <w:spacing w:line="400" w:lineRule="exact"/>
        <w:rPr>
          <w:rFonts w:ascii="宋体" w:hAnsi="宋体"/>
          <w:color w:val="auto"/>
          <w:highlight w:val="none"/>
        </w:rPr>
      </w:pPr>
    </w:p>
    <w:p w14:paraId="581DB868">
      <w:pPr>
        <w:spacing w:line="400" w:lineRule="exact"/>
        <w:ind w:firstLine="420" w:firstLineChars="200"/>
        <w:rPr>
          <w:highlight w:val="none"/>
          <w:u w:val="single"/>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信誉要求：</w:t>
      </w:r>
      <w:r>
        <w:rPr>
          <w:rFonts w:hint="eastAsia"/>
          <w:highlight w:val="none"/>
          <w:u w:val="single"/>
        </w:rPr>
        <w:t>近三年（自</w:t>
      </w:r>
      <w:r>
        <w:rPr>
          <w:rFonts w:hint="eastAsia"/>
          <w:highlight w:val="none"/>
          <w:u w:val="single"/>
          <w:lang w:eastAsia="zh-CN"/>
        </w:rPr>
        <w:t>2022年</w:t>
      </w:r>
      <w:r>
        <w:rPr>
          <w:rFonts w:hint="eastAsia"/>
          <w:highlight w:val="none"/>
          <w:u w:val="single"/>
          <w:lang w:val="en-US" w:eastAsia="zh-CN"/>
        </w:rPr>
        <w:t>12月</w:t>
      </w:r>
      <w:r>
        <w:rPr>
          <w:rFonts w:hint="eastAsia"/>
          <w:highlight w:val="none"/>
          <w:u w:val="single"/>
        </w:rPr>
        <w:t>1日起至今）没有在国家企业信用信息公示系统（http://www.gsxt.gov.cn/）中被列入严重违法失信企业名单、在“信用中国”网站（http://www.creditchina.gov.cn/）中被列入失信被执行人名单、企业经营异常名录、税收违法黑名单。</w:t>
      </w:r>
    </w:p>
    <w:p w14:paraId="0719443E">
      <w:pPr>
        <w:spacing w:line="400" w:lineRule="exact"/>
        <w:ind w:firstLine="420" w:firstLineChars="200"/>
        <w:rPr>
          <w:rFonts w:ascii="宋体" w:hAnsi="宋体"/>
          <w:color w:val="000000" w:themeColor="text1"/>
          <w:highlight w:val="none"/>
          <w14:textFill>
            <w14:solidFill>
              <w14:schemeClr w14:val="tx1"/>
            </w14:solidFill>
          </w14:textFill>
        </w:rPr>
      </w:pPr>
      <w:r>
        <w:rPr>
          <w:rFonts w:hint="eastAsia"/>
          <w:highlight w:val="none"/>
          <w:u w:val="single"/>
        </w:rPr>
        <w:t>近三年（自</w:t>
      </w:r>
      <w:r>
        <w:rPr>
          <w:rFonts w:hint="eastAsia"/>
          <w:highlight w:val="none"/>
          <w:u w:val="single"/>
          <w:lang w:eastAsia="zh-CN"/>
        </w:rPr>
        <w:t>2022年</w:t>
      </w:r>
      <w:r>
        <w:rPr>
          <w:rFonts w:hint="eastAsia"/>
          <w:highlight w:val="none"/>
          <w:u w:val="single"/>
          <w:lang w:val="en-US" w:eastAsia="zh-CN"/>
        </w:rPr>
        <w:t>12月</w:t>
      </w:r>
      <w:r>
        <w:rPr>
          <w:rFonts w:hint="eastAsia"/>
          <w:highlight w:val="none"/>
          <w:u w:val="single"/>
        </w:rPr>
        <w:t>1日起至今）没有发生合同诈骗案例、无严重违约等不良记录，没有处于财产被接管、冻结、破产状态。供应商过去1年（</w:t>
      </w:r>
      <w:r>
        <w:rPr>
          <w:rFonts w:hint="eastAsia"/>
          <w:highlight w:val="none"/>
          <w:u w:val="single"/>
          <w:lang w:eastAsia="zh-CN"/>
        </w:rPr>
        <w:t>2024年</w:t>
      </w:r>
      <w:r>
        <w:rPr>
          <w:rFonts w:hint="eastAsia"/>
          <w:highlight w:val="none"/>
          <w:u w:val="single"/>
          <w:lang w:val="en-US" w:eastAsia="zh-CN"/>
        </w:rPr>
        <w:t>12月</w:t>
      </w:r>
      <w:r>
        <w:rPr>
          <w:rFonts w:hint="eastAsia"/>
          <w:highlight w:val="none"/>
          <w:u w:val="single"/>
        </w:rPr>
        <w:t>1日至今）中不曾因违约而被驱逐或因供应商自身的原因而使合同被解除。</w:t>
      </w:r>
    </w:p>
    <w:p w14:paraId="122DFAF5">
      <w:pPr>
        <w:numPr>
          <w:ilvl w:val="0"/>
          <w:numId w:val="0"/>
        </w:numPr>
        <w:spacing w:line="400" w:lineRule="exact"/>
        <w:ind w:firstLine="420" w:firstLineChars="200"/>
        <w:rPr>
          <w:rFonts w:hint="eastAsia"/>
          <w:highlight w:val="none"/>
          <w:u w:val="singl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ascii="宋体" w:hAnsi="宋体"/>
          <w:highlight w:val="none"/>
        </w:rPr>
        <w:t>其他要求：</w:t>
      </w:r>
      <w:r>
        <w:rPr>
          <w:rFonts w:hint="eastAsia" w:ascii="宋体" w:hAnsi="宋体"/>
          <w:color w:val="000000" w:themeColor="text1"/>
          <w:highlight w:val="none"/>
          <w:u w:val="single"/>
          <w:lang w:val="en-US" w:eastAsia="zh-CN"/>
          <w14:textFill>
            <w14:solidFill>
              <w14:schemeClr w14:val="tx1"/>
            </w14:solidFill>
          </w14:textFill>
        </w:rPr>
        <w:t>至少具有6辆罐车（国6及以上）。</w:t>
      </w:r>
    </w:p>
    <w:bookmarkEnd w:id="67"/>
    <w:p w14:paraId="09465F29">
      <w:pPr>
        <w:spacing w:line="400" w:lineRule="exact"/>
        <w:ind w:firstLine="422" w:firstLineChars="200"/>
        <w:rPr>
          <w:rFonts w:ascii="宋体" w:hAnsi="宋体"/>
          <w:szCs w:val="21"/>
        </w:rPr>
      </w:pPr>
      <w:bookmarkStart w:id="68" w:name="_Hlk138877146"/>
      <w:r>
        <w:rPr>
          <w:b/>
          <w:bCs/>
          <w:szCs w:val="21"/>
        </w:rPr>
        <w:t>3</w:t>
      </w:r>
      <w:r>
        <w:rPr>
          <w:rFonts w:ascii="宋体" w:hAnsi="宋体"/>
          <w:b/>
          <w:bCs/>
          <w:szCs w:val="21"/>
        </w:rPr>
        <w:t>.</w:t>
      </w:r>
      <w:r>
        <w:rPr>
          <w:b/>
          <w:bCs/>
          <w:szCs w:val="21"/>
        </w:rPr>
        <w:t>2</w:t>
      </w:r>
      <w:r>
        <w:rPr>
          <w:rFonts w:ascii="宋体" w:hAnsi="宋体"/>
          <w:b/>
          <w:bCs/>
          <w:szCs w:val="21"/>
        </w:rPr>
        <w:t xml:space="preserve"> </w:t>
      </w:r>
      <w:r>
        <w:rPr>
          <w:rFonts w:ascii="宋体" w:hAnsi="宋体"/>
          <w:szCs w:val="21"/>
        </w:rPr>
        <w:t>供应商不得存在下列情形之一：</w:t>
      </w:r>
    </w:p>
    <w:p w14:paraId="10727E66">
      <w:pPr>
        <w:spacing w:line="400" w:lineRule="exact"/>
        <w:ind w:firstLine="424"/>
        <w:rPr>
          <w:rFonts w:ascii="宋体" w:hAnsi="宋体"/>
          <w:spacing w:val="1"/>
          <w:szCs w:val="21"/>
        </w:rPr>
      </w:pPr>
      <w:bookmarkStart w:id="69" w:name="_Hlk139376623"/>
      <w:bookmarkStart w:id="70" w:name="_Hlk139377979"/>
      <w:bookmarkStart w:id="71" w:name="_Hlk138872522"/>
      <w:r>
        <w:rPr>
          <w:rFonts w:ascii="宋体" w:hAnsi="宋体"/>
          <w:spacing w:val="1"/>
          <w:szCs w:val="21"/>
        </w:rPr>
        <w:t>（</w:t>
      </w:r>
      <w:r>
        <w:rPr>
          <w:spacing w:val="1"/>
          <w:szCs w:val="21"/>
        </w:rPr>
        <w:t>1</w:t>
      </w:r>
      <w:r>
        <w:rPr>
          <w:rFonts w:ascii="宋体" w:hAnsi="宋体"/>
          <w:spacing w:val="1"/>
          <w:szCs w:val="21"/>
        </w:rPr>
        <w:t>）为采购人不具有独立法人资格的附属机构（单位）；</w:t>
      </w:r>
    </w:p>
    <w:p w14:paraId="19D9AD64">
      <w:pPr>
        <w:spacing w:line="400" w:lineRule="exact"/>
        <w:ind w:firstLine="424"/>
        <w:rPr>
          <w:rFonts w:ascii="宋体" w:hAnsi="宋体"/>
          <w:spacing w:val="1"/>
          <w:szCs w:val="21"/>
        </w:rPr>
      </w:pPr>
      <w:r>
        <w:rPr>
          <w:rFonts w:ascii="宋体" w:hAnsi="宋体"/>
          <w:spacing w:val="1"/>
          <w:szCs w:val="21"/>
        </w:rPr>
        <w:t>（</w:t>
      </w:r>
      <w:r>
        <w:rPr>
          <w:spacing w:val="1"/>
          <w:szCs w:val="21"/>
        </w:rPr>
        <w:t>2</w:t>
      </w:r>
      <w:r>
        <w:rPr>
          <w:rFonts w:ascii="宋体" w:hAnsi="宋体"/>
          <w:spacing w:val="1"/>
          <w:szCs w:val="21"/>
        </w:rPr>
        <w:t>）与</w:t>
      </w:r>
      <w:r>
        <w:rPr>
          <w:rFonts w:ascii="宋体" w:hAnsi="宋体"/>
        </w:rPr>
        <w:t>采购</w:t>
      </w:r>
      <w:r>
        <w:rPr>
          <w:rFonts w:ascii="宋体" w:hAnsi="宋体"/>
          <w:spacing w:val="1"/>
          <w:szCs w:val="21"/>
        </w:rPr>
        <w:t>人</w:t>
      </w:r>
      <w:r>
        <w:rPr>
          <w:rFonts w:ascii="宋体" w:hAnsi="宋体"/>
          <w:kern w:val="0"/>
          <w:szCs w:val="21"/>
        </w:rPr>
        <w:t>存在</w:t>
      </w:r>
      <w:r>
        <w:rPr>
          <w:rFonts w:ascii="宋体" w:hAnsi="宋体"/>
          <w:spacing w:val="1"/>
          <w:szCs w:val="21"/>
        </w:rPr>
        <w:t>利害关系且影响采购公正性；</w:t>
      </w:r>
    </w:p>
    <w:p w14:paraId="59E77E80">
      <w:pPr>
        <w:spacing w:line="400" w:lineRule="exact"/>
        <w:ind w:firstLine="424"/>
        <w:rPr>
          <w:rFonts w:ascii="宋体" w:hAnsi="宋体"/>
          <w:spacing w:val="1"/>
          <w:szCs w:val="21"/>
        </w:rPr>
      </w:pPr>
      <w:r>
        <w:rPr>
          <w:rFonts w:ascii="宋体" w:hAnsi="宋体"/>
          <w:spacing w:val="1"/>
          <w:szCs w:val="21"/>
        </w:rPr>
        <w:t>（</w:t>
      </w:r>
      <w:r>
        <w:rPr>
          <w:spacing w:val="1"/>
          <w:szCs w:val="21"/>
        </w:rPr>
        <w:t>3</w:t>
      </w:r>
      <w:r>
        <w:rPr>
          <w:rFonts w:ascii="宋体" w:hAnsi="宋体"/>
          <w:spacing w:val="1"/>
          <w:szCs w:val="21"/>
        </w:rPr>
        <w:t>）供应商</w:t>
      </w:r>
      <w:r>
        <w:rPr>
          <w:rFonts w:ascii="宋体" w:hAnsi="宋体"/>
          <w:kern w:val="0"/>
          <w:szCs w:val="21"/>
        </w:rPr>
        <w:t>单位</w:t>
      </w:r>
      <w:r>
        <w:rPr>
          <w:rFonts w:ascii="宋体" w:hAnsi="宋体"/>
          <w:spacing w:val="1"/>
          <w:szCs w:val="21"/>
        </w:rPr>
        <w:t>负责人与同一标段或者未划分标段的同一采购项目的其他供应商的单位负责人为同一人；</w:t>
      </w:r>
    </w:p>
    <w:p w14:paraId="527F15A5">
      <w:pPr>
        <w:spacing w:line="400" w:lineRule="exact"/>
        <w:ind w:firstLine="424"/>
        <w:rPr>
          <w:rFonts w:ascii="宋体" w:hAnsi="宋体"/>
          <w:spacing w:val="1"/>
          <w:szCs w:val="21"/>
        </w:rPr>
      </w:pPr>
      <w:r>
        <w:rPr>
          <w:rFonts w:ascii="宋体" w:hAnsi="宋体"/>
          <w:spacing w:val="1"/>
          <w:szCs w:val="21"/>
        </w:rPr>
        <w:t>（</w:t>
      </w:r>
      <w:r>
        <w:rPr>
          <w:spacing w:val="1"/>
          <w:szCs w:val="21"/>
        </w:rPr>
        <w:t>4</w:t>
      </w:r>
      <w:r>
        <w:rPr>
          <w:rFonts w:ascii="宋体" w:hAnsi="宋体"/>
          <w:spacing w:val="1"/>
          <w:szCs w:val="21"/>
        </w:rPr>
        <w:t>）与同一标段或者未划分标段的同一采购项目的其他供应商存在控股、管理关系；</w:t>
      </w:r>
    </w:p>
    <w:p w14:paraId="3C1B9277">
      <w:pPr>
        <w:spacing w:line="400" w:lineRule="exact"/>
        <w:ind w:firstLine="424"/>
        <w:rPr>
          <w:rFonts w:ascii="宋体" w:hAnsi="宋体"/>
          <w:spacing w:val="1"/>
          <w:szCs w:val="21"/>
        </w:rPr>
      </w:pPr>
      <w:r>
        <w:rPr>
          <w:rFonts w:ascii="宋体" w:hAnsi="宋体"/>
          <w:spacing w:val="1"/>
          <w:szCs w:val="21"/>
        </w:rPr>
        <w:t>（</w:t>
      </w:r>
      <w:r>
        <w:rPr>
          <w:spacing w:val="1"/>
          <w:szCs w:val="21"/>
        </w:rPr>
        <w:t>5</w:t>
      </w:r>
      <w:r>
        <w:rPr>
          <w:rFonts w:ascii="宋体" w:hAnsi="宋体"/>
          <w:spacing w:val="1"/>
          <w:szCs w:val="21"/>
        </w:rPr>
        <w:t>）被责令停业，暂扣或者吊销执照或许可证，或吊销资质证书；</w:t>
      </w:r>
    </w:p>
    <w:p w14:paraId="65B3E578">
      <w:pPr>
        <w:spacing w:line="400" w:lineRule="exact"/>
        <w:ind w:firstLine="424"/>
        <w:rPr>
          <w:rFonts w:ascii="宋体" w:hAnsi="宋体"/>
          <w:spacing w:val="1"/>
          <w:szCs w:val="21"/>
        </w:rPr>
      </w:pPr>
      <w:r>
        <w:rPr>
          <w:rFonts w:ascii="宋体" w:hAnsi="宋体"/>
          <w:spacing w:val="1"/>
          <w:szCs w:val="21"/>
        </w:rPr>
        <w:t>（</w:t>
      </w:r>
      <w:r>
        <w:rPr>
          <w:spacing w:val="1"/>
          <w:szCs w:val="21"/>
        </w:rPr>
        <w:t>6</w:t>
      </w:r>
      <w:r>
        <w:rPr>
          <w:rFonts w:ascii="宋体" w:hAnsi="宋体"/>
          <w:spacing w:val="1"/>
          <w:szCs w:val="21"/>
        </w:rPr>
        <w:t>）进入清算程序，或被宣告破产，或其他丧失履约能力的情形；</w:t>
      </w:r>
    </w:p>
    <w:p w14:paraId="22EF6F74">
      <w:pPr>
        <w:spacing w:line="400" w:lineRule="exact"/>
        <w:ind w:firstLine="424"/>
        <w:rPr>
          <w:rFonts w:ascii="宋体" w:hAnsi="宋体"/>
          <w:spacing w:val="1"/>
          <w:szCs w:val="21"/>
        </w:rPr>
      </w:pPr>
      <w:r>
        <w:rPr>
          <w:rFonts w:ascii="宋体" w:hAnsi="宋体"/>
          <w:spacing w:val="1"/>
          <w:szCs w:val="21"/>
        </w:rPr>
        <w:t>（</w:t>
      </w:r>
      <w:r>
        <w:rPr>
          <w:spacing w:val="1"/>
          <w:szCs w:val="21"/>
        </w:rPr>
        <w:t>7</w:t>
      </w:r>
      <w:r>
        <w:rPr>
          <w:rFonts w:ascii="宋体" w:hAnsi="宋体"/>
          <w:spacing w:val="1"/>
          <w:szCs w:val="21"/>
        </w:rPr>
        <w:t>）被市场监督</w:t>
      </w:r>
      <w:r>
        <w:rPr>
          <w:rFonts w:hint="eastAsia" w:ascii="宋体" w:hAnsi="宋体"/>
          <w:spacing w:val="1"/>
          <w:szCs w:val="21"/>
        </w:rPr>
        <w:t>行业主管</w:t>
      </w:r>
      <w:r>
        <w:rPr>
          <w:rFonts w:ascii="宋体" w:hAnsi="宋体"/>
          <w:spacing w:val="1"/>
          <w:szCs w:val="21"/>
        </w:rPr>
        <w:t>部门在国家企业信用信息公示系统（</w:t>
      </w:r>
      <w:r>
        <w:rPr>
          <w:spacing w:val="1"/>
          <w:szCs w:val="21"/>
        </w:rPr>
        <w:t>http</w:t>
      </w:r>
      <w:r>
        <w:rPr>
          <w:rFonts w:ascii="宋体" w:hAnsi="宋体"/>
          <w:spacing w:val="1"/>
          <w:szCs w:val="21"/>
        </w:rPr>
        <w:t>：//</w:t>
      </w:r>
      <w:r>
        <w:rPr>
          <w:spacing w:val="1"/>
          <w:szCs w:val="21"/>
        </w:rPr>
        <w:t>www</w:t>
      </w:r>
      <w:r>
        <w:rPr>
          <w:rFonts w:ascii="宋体" w:hAnsi="宋体"/>
          <w:spacing w:val="1"/>
          <w:szCs w:val="21"/>
        </w:rPr>
        <w:t>.</w:t>
      </w:r>
      <w:r>
        <w:rPr>
          <w:spacing w:val="1"/>
          <w:szCs w:val="21"/>
        </w:rPr>
        <w:t>gsxt</w:t>
      </w:r>
      <w:r>
        <w:rPr>
          <w:rFonts w:ascii="宋体" w:hAnsi="宋体"/>
          <w:spacing w:val="1"/>
          <w:szCs w:val="21"/>
        </w:rPr>
        <w:t>.</w:t>
      </w:r>
      <w:r>
        <w:rPr>
          <w:spacing w:val="1"/>
          <w:szCs w:val="21"/>
        </w:rPr>
        <w:t>gov</w:t>
      </w:r>
      <w:r>
        <w:rPr>
          <w:rFonts w:ascii="宋体" w:hAnsi="宋体"/>
          <w:spacing w:val="1"/>
          <w:szCs w:val="21"/>
        </w:rPr>
        <w:t>.</w:t>
      </w:r>
      <w:r>
        <w:rPr>
          <w:spacing w:val="1"/>
          <w:szCs w:val="21"/>
        </w:rPr>
        <w:t>cn</w:t>
      </w:r>
      <w:r>
        <w:rPr>
          <w:rFonts w:ascii="宋体" w:hAnsi="宋体"/>
          <w:spacing w:val="1"/>
          <w:szCs w:val="21"/>
        </w:rPr>
        <w:t>/）中列入严重违法失信企业名单；</w:t>
      </w:r>
    </w:p>
    <w:p w14:paraId="01476A26">
      <w:pPr>
        <w:spacing w:line="400" w:lineRule="exact"/>
        <w:ind w:firstLine="424"/>
        <w:rPr>
          <w:rFonts w:ascii="宋体" w:hAnsi="宋体"/>
          <w:spacing w:val="1"/>
          <w:szCs w:val="21"/>
        </w:rPr>
      </w:pPr>
      <w:bookmarkStart w:id="72" w:name="_Hlk148686513"/>
      <w:r>
        <w:rPr>
          <w:rFonts w:ascii="宋体" w:hAnsi="宋体"/>
          <w:spacing w:val="1"/>
          <w:szCs w:val="21"/>
        </w:rPr>
        <w:t>（</w:t>
      </w:r>
      <w:r>
        <w:rPr>
          <w:spacing w:val="1"/>
          <w:szCs w:val="21"/>
        </w:rPr>
        <w:t>8</w:t>
      </w:r>
      <w:r>
        <w:rPr>
          <w:rFonts w:ascii="宋体" w:hAnsi="宋体"/>
          <w:spacing w:val="1"/>
          <w:szCs w:val="21"/>
        </w:rPr>
        <w:t>）在</w:t>
      </w:r>
      <w:r>
        <w:rPr>
          <w:rFonts w:ascii="宋体" w:hAnsi="宋体"/>
        </w:rPr>
        <w:t>“信用中国”</w:t>
      </w:r>
      <w:r>
        <w:rPr>
          <w:rFonts w:ascii="宋体" w:hAnsi="宋体"/>
          <w:spacing w:val="1"/>
          <w:szCs w:val="21"/>
        </w:rPr>
        <w:t>网站（</w:t>
      </w:r>
      <w:r>
        <w:rPr>
          <w:spacing w:val="1"/>
          <w:szCs w:val="21"/>
        </w:rPr>
        <w:t>www</w:t>
      </w:r>
      <w:r>
        <w:rPr>
          <w:rFonts w:ascii="宋体" w:hAnsi="宋体"/>
          <w:spacing w:val="1"/>
          <w:szCs w:val="21"/>
        </w:rPr>
        <w:t>.</w:t>
      </w:r>
      <w:r>
        <w:rPr>
          <w:spacing w:val="1"/>
          <w:szCs w:val="21"/>
        </w:rPr>
        <w:t>creditchina</w:t>
      </w:r>
      <w:r>
        <w:rPr>
          <w:rFonts w:ascii="宋体" w:hAnsi="宋体"/>
          <w:spacing w:val="1"/>
          <w:szCs w:val="21"/>
        </w:rPr>
        <w:t>.</w:t>
      </w:r>
      <w:r>
        <w:rPr>
          <w:spacing w:val="1"/>
          <w:szCs w:val="21"/>
        </w:rPr>
        <w:t>gov</w:t>
      </w:r>
      <w:r>
        <w:rPr>
          <w:rFonts w:ascii="宋体" w:hAnsi="宋体"/>
          <w:spacing w:val="1"/>
          <w:szCs w:val="21"/>
        </w:rPr>
        <w:t>.</w:t>
      </w:r>
      <w:r>
        <w:rPr>
          <w:spacing w:val="1"/>
          <w:szCs w:val="21"/>
        </w:rPr>
        <w:t>cn</w:t>
      </w:r>
      <w:r>
        <w:rPr>
          <w:rFonts w:ascii="宋体" w:hAnsi="宋体"/>
          <w:spacing w:val="1"/>
          <w:szCs w:val="21"/>
        </w:rPr>
        <w:t>）中列入失信被执行人名单、企业经营异常名录、重大税收违法失信主体、政府采购严重违法失信名单；</w:t>
      </w:r>
    </w:p>
    <w:p w14:paraId="5E64B116">
      <w:pPr>
        <w:spacing w:line="400" w:lineRule="exact"/>
        <w:ind w:firstLine="420"/>
        <w:rPr>
          <w:rFonts w:ascii="宋体" w:hAnsi="宋体"/>
        </w:rPr>
      </w:pPr>
      <w:r>
        <w:rPr>
          <w:rFonts w:ascii="宋体" w:hAnsi="宋体"/>
        </w:rPr>
        <w:t>（</w:t>
      </w:r>
      <w:r>
        <w:rPr>
          <w:rFonts w:hint="eastAsia"/>
        </w:rPr>
        <w:t>9</w:t>
      </w:r>
      <w:r>
        <w:rPr>
          <w:rFonts w:ascii="宋体" w:hAnsi="宋体"/>
        </w:rPr>
        <w:t>）为本标段电子招标投标交易平台的运营机构或与该机构有控股或者管理关系可能影响招标公正性的单位；</w:t>
      </w:r>
    </w:p>
    <w:p w14:paraId="085E27E3">
      <w:pPr>
        <w:spacing w:line="400" w:lineRule="exact"/>
        <w:ind w:firstLine="420"/>
        <w:rPr>
          <w:rFonts w:ascii="宋体" w:hAnsi="宋体"/>
          <w:szCs w:val="21"/>
        </w:rPr>
      </w:pPr>
      <w:r>
        <w:rPr>
          <w:rFonts w:ascii="宋体" w:hAnsi="宋体"/>
          <w:szCs w:val="21"/>
        </w:rPr>
        <w:t>（</w:t>
      </w:r>
      <w:r>
        <w:rPr>
          <w:rFonts w:hint="eastAsia"/>
          <w:szCs w:val="21"/>
        </w:rPr>
        <w:t>10</w:t>
      </w:r>
      <w:r>
        <w:rPr>
          <w:rFonts w:ascii="宋体" w:hAnsi="宋体"/>
          <w:szCs w:val="21"/>
        </w:rPr>
        <w:t>）其他：</w:t>
      </w:r>
      <w:r>
        <w:rPr>
          <w:rFonts w:hint="eastAsia" w:ascii="宋体" w:hAnsi="宋体"/>
          <w:szCs w:val="21"/>
          <w:u w:val="single"/>
        </w:rPr>
        <w:t>法律法规规定的其他情形</w:t>
      </w:r>
      <w:r>
        <w:rPr>
          <w:rFonts w:ascii="宋体" w:hAnsi="宋体"/>
          <w:szCs w:val="21"/>
        </w:rPr>
        <w:t>。</w:t>
      </w:r>
    </w:p>
    <w:bookmarkEnd w:id="69"/>
    <w:bookmarkEnd w:id="70"/>
    <w:bookmarkEnd w:id="71"/>
    <w:bookmarkEnd w:id="72"/>
    <w:p w14:paraId="1B408E4F">
      <w:pPr>
        <w:spacing w:line="400" w:lineRule="exact"/>
        <w:ind w:firstLine="422" w:firstLineChars="200"/>
        <w:jc w:val="left"/>
        <w:rPr>
          <w:rFonts w:ascii="宋体" w:hAnsi="宋体"/>
        </w:rPr>
      </w:pPr>
      <w:r>
        <w:rPr>
          <w:b/>
          <w:bCs/>
        </w:rPr>
        <w:t>3</w:t>
      </w:r>
      <w:r>
        <w:rPr>
          <w:rFonts w:ascii="宋体" w:hAnsi="宋体"/>
          <w:b/>
          <w:bCs/>
        </w:rPr>
        <w:t>.</w:t>
      </w:r>
      <w:r>
        <w:rPr>
          <w:b/>
          <w:bCs/>
        </w:rPr>
        <w:t>3</w:t>
      </w:r>
      <w:r>
        <w:rPr>
          <w:rFonts w:ascii="宋体" w:hAnsi="宋体"/>
        </w:rPr>
        <w:t xml:space="preserve"> 本次采购</w:t>
      </w:r>
      <w:r>
        <w:rPr>
          <w:rFonts w:ascii="宋体" w:hAnsi="宋体"/>
          <w:u w:val="single"/>
        </w:rPr>
        <w:t xml:space="preserve"> </w:t>
      </w:r>
      <w:r>
        <w:rPr>
          <w:rFonts w:hint="eastAsia" w:ascii="宋体" w:hAnsi="宋体"/>
          <w:u w:val="single"/>
        </w:rPr>
        <w:t>不接受</w:t>
      </w:r>
      <w:r>
        <w:rPr>
          <w:rFonts w:ascii="宋体" w:hAnsi="宋体"/>
          <w:u w:val="single"/>
        </w:rPr>
        <w:t xml:space="preserve"> </w:t>
      </w:r>
      <w:r>
        <w:rPr>
          <w:rFonts w:ascii="宋体" w:hAnsi="宋体"/>
        </w:rPr>
        <w:t>联合体。</w:t>
      </w:r>
    </w:p>
    <w:bookmarkEnd w:id="68"/>
    <w:p w14:paraId="71E9A447">
      <w:pPr>
        <w:widowControl/>
        <w:spacing w:before="260" w:after="260"/>
        <w:outlineLvl w:val="1"/>
        <w:rPr>
          <w:rFonts w:eastAsia="黑体"/>
          <w:b/>
          <w:spacing w:val="1"/>
          <w:kern w:val="0"/>
          <w:sz w:val="28"/>
          <w:szCs w:val="28"/>
          <w:highlight w:val="none"/>
        </w:rPr>
      </w:pPr>
      <w:bookmarkStart w:id="73" w:name="_Toc149140169"/>
      <w:r>
        <w:rPr>
          <w:rFonts w:eastAsia="黑体"/>
          <w:b/>
          <w:spacing w:val="1"/>
          <w:kern w:val="0"/>
          <w:sz w:val="28"/>
          <w:szCs w:val="28"/>
        </w:rPr>
        <w:t>4</w:t>
      </w:r>
      <w:r>
        <w:rPr>
          <w:rFonts w:eastAsia="黑体"/>
          <w:b/>
          <w:spacing w:val="1"/>
          <w:kern w:val="0"/>
          <w:sz w:val="28"/>
          <w:szCs w:val="28"/>
          <w:highlight w:val="none"/>
        </w:rPr>
        <w:t>. 采购文件的获取</w:t>
      </w:r>
      <w:bookmarkEnd w:id="73"/>
    </w:p>
    <w:p w14:paraId="5905A6D5">
      <w:pPr>
        <w:spacing w:line="400" w:lineRule="exact"/>
        <w:ind w:firstLine="422" w:firstLineChars="200"/>
        <w:rPr>
          <w:rFonts w:ascii="宋体" w:hAnsi="宋体"/>
          <w:highlight w:val="none"/>
        </w:rPr>
      </w:pPr>
      <w:bookmarkStart w:id="74" w:name="_Hlk138877225"/>
      <w:r>
        <w:rPr>
          <w:b/>
          <w:bCs/>
          <w:highlight w:val="none"/>
        </w:rPr>
        <w:t>4</w:t>
      </w:r>
      <w:r>
        <w:rPr>
          <w:rFonts w:ascii="宋体" w:hAnsi="宋体"/>
          <w:b/>
          <w:bCs/>
          <w:highlight w:val="none"/>
        </w:rPr>
        <w:t>.</w:t>
      </w:r>
      <w:r>
        <w:rPr>
          <w:b/>
          <w:bCs/>
          <w:highlight w:val="none"/>
        </w:rPr>
        <w:t>1</w:t>
      </w:r>
      <w:r>
        <w:rPr>
          <w:rFonts w:ascii="宋体" w:hAnsi="宋体"/>
          <w:highlight w:val="none"/>
        </w:rPr>
        <w:t xml:space="preserve"> 有意参加框架协议采购活动的单位，请于</w:t>
      </w:r>
      <w:r>
        <w:rPr>
          <w:rFonts w:hint="eastAsia" w:ascii="宋体" w:hAnsi="宋体" w:eastAsia="宋体" w:cs="宋体"/>
          <w:b w:val="0"/>
          <w:bCs w:val="0"/>
          <w:highlight w:val="none"/>
          <w:u w:val="single"/>
        </w:rPr>
        <w:t>202</w:t>
      </w:r>
      <w:r>
        <w:rPr>
          <w:rFonts w:hint="eastAsia" w:ascii="宋体" w:hAnsi="宋体" w:eastAsia="宋体" w:cs="宋体"/>
          <w:b w:val="0"/>
          <w:bCs w:val="0"/>
          <w:highlight w:val="none"/>
          <w:u w:val="single"/>
          <w:lang w:val="en-US" w:eastAsia="zh-CN"/>
        </w:rPr>
        <w:t>5</w:t>
      </w:r>
      <w:r>
        <w:rPr>
          <w:rFonts w:hint="eastAsia" w:ascii="宋体" w:hAnsi="宋体" w:eastAsia="宋体" w:cs="宋体"/>
          <w:b w:val="0"/>
          <w:bCs w:val="0"/>
          <w:highlight w:val="none"/>
        </w:rPr>
        <w:t>年</w:t>
      </w:r>
      <w:r>
        <w:rPr>
          <w:rFonts w:hint="eastAsia" w:ascii="宋体" w:hAnsi="宋体" w:eastAsia="宋体" w:cs="宋体"/>
          <w:b w:val="0"/>
          <w:bCs w:val="0"/>
          <w:highlight w:val="none"/>
          <w:u w:val="single"/>
          <w:lang w:val="en-US" w:eastAsia="zh-CN"/>
        </w:rPr>
        <w:t>1</w:t>
      </w:r>
      <w:r>
        <w:rPr>
          <w:rFonts w:hint="eastAsia" w:ascii="宋体" w:hAnsi="宋体" w:cs="宋体"/>
          <w:b w:val="0"/>
          <w:bCs w:val="0"/>
          <w:highlight w:val="none"/>
          <w:u w:val="single"/>
          <w:lang w:val="en-US" w:eastAsia="zh-CN"/>
        </w:rPr>
        <w:t>2</w:t>
      </w:r>
      <w:r>
        <w:rPr>
          <w:rFonts w:hint="eastAsia" w:ascii="宋体" w:hAnsi="宋体" w:eastAsia="宋体" w:cs="宋体"/>
          <w:b w:val="0"/>
          <w:bCs w:val="0"/>
          <w:highlight w:val="none"/>
          <w:u w:val="none"/>
          <w:lang w:val="en-US" w:eastAsia="zh-CN"/>
        </w:rPr>
        <w:t>月</w:t>
      </w:r>
      <w:r>
        <w:rPr>
          <w:rFonts w:hint="eastAsia" w:ascii="宋体" w:hAnsi="宋体" w:cs="宋体"/>
          <w:b w:val="0"/>
          <w:bCs w:val="0"/>
          <w:highlight w:val="none"/>
          <w:u w:val="single"/>
          <w:lang w:val="en-US" w:eastAsia="zh-CN"/>
        </w:rPr>
        <w:t>17</w:t>
      </w:r>
      <w:r>
        <w:rPr>
          <w:rFonts w:hint="eastAsia" w:ascii="宋体" w:hAnsi="宋体" w:eastAsia="宋体" w:cs="宋体"/>
          <w:b w:val="0"/>
          <w:bCs w:val="0"/>
          <w:highlight w:val="none"/>
        </w:rPr>
        <w:t>日</w:t>
      </w:r>
      <w:r>
        <w:rPr>
          <w:rFonts w:hint="eastAsia" w:ascii="宋体" w:hAnsi="宋体" w:eastAsia="宋体" w:cs="宋体"/>
          <w:b w:val="0"/>
          <w:bCs w:val="0"/>
          <w:highlight w:val="none"/>
          <w:u w:val="single"/>
        </w:rPr>
        <w:t>9</w:t>
      </w:r>
      <w:r>
        <w:rPr>
          <w:rFonts w:hint="eastAsia" w:ascii="宋体" w:hAnsi="宋体" w:eastAsia="宋体" w:cs="宋体"/>
          <w:b w:val="0"/>
          <w:bCs w:val="0"/>
          <w:highlight w:val="none"/>
        </w:rPr>
        <w:t>时</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分</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秒至</w:t>
      </w:r>
      <w:r>
        <w:rPr>
          <w:rFonts w:hint="eastAsia" w:ascii="宋体" w:hAnsi="宋体" w:eastAsia="宋体" w:cs="宋体"/>
          <w:b w:val="0"/>
          <w:bCs w:val="0"/>
          <w:highlight w:val="none"/>
          <w:u w:val="single"/>
        </w:rPr>
        <w:t>202</w:t>
      </w:r>
      <w:r>
        <w:rPr>
          <w:rFonts w:hint="eastAsia" w:ascii="宋体" w:hAnsi="宋体" w:eastAsia="宋体" w:cs="宋体"/>
          <w:b w:val="0"/>
          <w:bCs w:val="0"/>
          <w:highlight w:val="none"/>
          <w:u w:val="single"/>
          <w:lang w:val="en-US" w:eastAsia="zh-CN"/>
        </w:rPr>
        <w:t>5</w:t>
      </w:r>
      <w:r>
        <w:rPr>
          <w:rFonts w:hint="eastAsia" w:ascii="宋体" w:hAnsi="宋体" w:eastAsia="宋体" w:cs="宋体"/>
          <w:b w:val="0"/>
          <w:bCs w:val="0"/>
          <w:highlight w:val="none"/>
        </w:rPr>
        <w:t>年</w:t>
      </w:r>
      <w:r>
        <w:rPr>
          <w:rFonts w:hint="eastAsia" w:ascii="宋体" w:hAnsi="宋体" w:cs="宋体"/>
          <w:b w:val="0"/>
          <w:bCs w:val="0"/>
          <w:highlight w:val="none"/>
          <w:u w:val="single"/>
          <w:lang w:val="en-US" w:eastAsia="zh-CN"/>
        </w:rPr>
        <w:t>12</w:t>
      </w:r>
      <w:r>
        <w:rPr>
          <w:rFonts w:hint="eastAsia" w:ascii="宋体" w:hAnsi="宋体" w:eastAsia="宋体" w:cs="宋体"/>
          <w:b w:val="0"/>
          <w:bCs w:val="0"/>
          <w:highlight w:val="none"/>
          <w:u w:val="none"/>
          <w:lang w:val="en-US" w:eastAsia="zh-CN"/>
        </w:rPr>
        <w:t>月</w:t>
      </w:r>
      <w:r>
        <w:rPr>
          <w:rFonts w:hint="eastAsia" w:ascii="宋体" w:hAnsi="宋体" w:cs="宋体"/>
          <w:b w:val="0"/>
          <w:bCs w:val="0"/>
          <w:highlight w:val="none"/>
          <w:u w:val="single"/>
          <w:lang w:val="en-US" w:eastAsia="zh-CN"/>
        </w:rPr>
        <w:t>21</w:t>
      </w:r>
      <w:r>
        <w:rPr>
          <w:rFonts w:hint="eastAsia" w:ascii="宋体" w:hAnsi="宋体" w:eastAsia="宋体" w:cs="宋体"/>
          <w:b w:val="0"/>
          <w:bCs w:val="0"/>
          <w:highlight w:val="none"/>
        </w:rPr>
        <w:t>日</w:t>
      </w:r>
      <w:r>
        <w:rPr>
          <w:rFonts w:hint="eastAsia" w:ascii="宋体" w:hAnsi="宋体" w:eastAsia="宋体" w:cs="宋体"/>
          <w:b w:val="0"/>
          <w:bCs w:val="0"/>
          <w:highlight w:val="none"/>
          <w:u w:val="single"/>
        </w:rPr>
        <w:t>17</w:t>
      </w:r>
      <w:r>
        <w:rPr>
          <w:rFonts w:hint="eastAsia" w:ascii="宋体" w:hAnsi="宋体" w:eastAsia="宋体" w:cs="宋体"/>
          <w:b w:val="0"/>
          <w:bCs w:val="0"/>
          <w:highlight w:val="none"/>
        </w:rPr>
        <w:t>时</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分</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秒</w:t>
      </w:r>
      <w:r>
        <w:rPr>
          <w:rFonts w:ascii="宋体" w:hAnsi="宋体"/>
          <w:highlight w:val="none"/>
        </w:rPr>
        <w:t>（北京时间，下同），登录</w:t>
      </w:r>
      <w:bookmarkStart w:id="75" w:name="_Hlk137459855"/>
      <w:r>
        <w:rPr>
          <w:rFonts w:ascii="宋体" w:hAnsi="宋体"/>
          <w:highlight w:val="none"/>
        </w:rPr>
        <w:t>“河北交投招标与采购服务平台”（网址：</w:t>
      </w:r>
      <w:r>
        <w:rPr>
          <w:highlight w:val="none"/>
        </w:rPr>
        <w:t>https</w:t>
      </w:r>
      <w:r>
        <w:rPr>
          <w:rFonts w:ascii="宋体" w:hAnsi="宋体"/>
          <w:highlight w:val="none"/>
        </w:rPr>
        <w:t>://</w:t>
      </w:r>
      <w:r>
        <w:rPr>
          <w:highlight w:val="none"/>
        </w:rPr>
        <w:t>ebidding</w:t>
      </w:r>
      <w:r>
        <w:rPr>
          <w:rFonts w:ascii="宋体" w:hAnsi="宋体"/>
          <w:highlight w:val="none"/>
        </w:rPr>
        <w:t>.</w:t>
      </w:r>
      <w:r>
        <w:rPr>
          <w:highlight w:val="none"/>
        </w:rPr>
        <w:t>hebtig</w:t>
      </w:r>
      <w:r>
        <w:rPr>
          <w:rFonts w:ascii="宋体" w:hAnsi="宋体"/>
          <w:highlight w:val="none"/>
        </w:rPr>
        <w:t>.</w:t>
      </w:r>
      <w:r>
        <w:rPr>
          <w:highlight w:val="none"/>
        </w:rPr>
        <w:t>com</w:t>
      </w:r>
      <w:r>
        <w:rPr>
          <w:rFonts w:ascii="宋体" w:hAnsi="宋体"/>
          <w:highlight w:val="none"/>
        </w:rPr>
        <w:t>/</w:t>
      </w:r>
      <w:r>
        <w:rPr>
          <w:rFonts w:ascii="宋体" w:hAnsi="宋体"/>
          <w:szCs w:val="21"/>
          <w:highlight w:val="none"/>
        </w:rPr>
        <w:t>）</w:t>
      </w:r>
      <w:bookmarkEnd w:id="75"/>
      <w:r>
        <w:rPr>
          <w:rFonts w:ascii="宋体" w:hAnsi="宋体"/>
          <w:szCs w:val="21"/>
          <w:highlight w:val="none"/>
        </w:rPr>
        <w:t>（</w:t>
      </w:r>
      <w:r>
        <w:rPr>
          <w:rFonts w:ascii="宋体" w:hAnsi="宋体"/>
          <w:highlight w:val="none"/>
        </w:rPr>
        <w:t>以下简称“招采平台”）</w:t>
      </w:r>
      <w:bookmarkStart w:id="76" w:name="_Hlk137459914"/>
      <w:r>
        <w:rPr>
          <w:rFonts w:ascii="宋体" w:hAnsi="宋体"/>
          <w:highlight w:val="none"/>
        </w:rPr>
        <w:t>投标人</w:t>
      </w:r>
      <w:bookmarkEnd w:id="76"/>
      <w:r>
        <w:rPr>
          <w:rFonts w:ascii="宋体" w:hAnsi="宋体"/>
          <w:highlight w:val="none"/>
        </w:rPr>
        <w:t>端，</w:t>
      </w:r>
      <w:bookmarkStart w:id="77" w:name="_Hlk137459935"/>
      <w:r>
        <w:rPr>
          <w:rFonts w:ascii="宋体" w:hAnsi="宋体"/>
          <w:highlight w:val="none"/>
        </w:rPr>
        <w:t>找到本项目并点击我要报名；在“我的项目”中下载本项目采购文件。</w:t>
      </w:r>
      <w:bookmarkEnd w:id="77"/>
    </w:p>
    <w:p w14:paraId="768A4953">
      <w:pPr>
        <w:spacing w:line="400" w:lineRule="exact"/>
        <w:ind w:firstLine="422" w:firstLineChars="200"/>
        <w:rPr>
          <w:rFonts w:ascii="宋体" w:hAnsi="宋体"/>
          <w:highlight w:val="none"/>
        </w:rPr>
      </w:pPr>
      <w:bookmarkStart w:id="78" w:name="_Hlk137459944"/>
      <w:r>
        <w:rPr>
          <w:b/>
          <w:bCs/>
          <w:highlight w:val="none"/>
        </w:rPr>
        <w:t>4</w:t>
      </w:r>
      <w:r>
        <w:rPr>
          <w:rFonts w:ascii="宋体" w:hAnsi="宋体"/>
          <w:b/>
          <w:bCs/>
          <w:highlight w:val="none"/>
        </w:rPr>
        <w:t>.</w:t>
      </w:r>
      <w:r>
        <w:rPr>
          <w:b/>
          <w:bCs/>
          <w:highlight w:val="none"/>
        </w:rPr>
        <w:t>2</w:t>
      </w:r>
      <w:r>
        <w:rPr>
          <w:rFonts w:ascii="宋体" w:hAnsi="宋体"/>
          <w:highlight w:val="none"/>
        </w:rPr>
        <w:t xml:space="preserve"> 供应商按</w:t>
      </w:r>
      <w:r>
        <w:rPr>
          <w:highlight w:val="none"/>
        </w:rPr>
        <w:t>4</w:t>
      </w:r>
      <w:r>
        <w:rPr>
          <w:rFonts w:ascii="宋体" w:hAnsi="宋体"/>
          <w:highlight w:val="none"/>
        </w:rPr>
        <w:t>.</w:t>
      </w:r>
      <w:r>
        <w:rPr>
          <w:highlight w:val="none"/>
        </w:rPr>
        <w:t>1</w:t>
      </w:r>
      <w:r>
        <w:rPr>
          <w:rFonts w:ascii="宋体" w:hAnsi="宋体"/>
          <w:highlight w:val="none"/>
        </w:rPr>
        <w:t>款下载采购文件前，应先在</w:t>
      </w:r>
      <w:r>
        <w:rPr>
          <w:rFonts w:ascii="宋体" w:hAnsi="宋体"/>
          <w:szCs w:val="21"/>
          <w:highlight w:val="none"/>
        </w:rPr>
        <w:t>“招采平台”</w:t>
      </w:r>
      <w:r>
        <w:rPr>
          <w:rFonts w:ascii="宋体" w:hAnsi="宋体"/>
          <w:highlight w:val="none"/>
        </w:rPr>
        <w:t>按该平台公布的操作手册进行用户注册和河北交投</w:t>
      </w:r>
      <w:r>
        <w:rPr>
          <w:highlight w:val="none"/>
        </w:rPr>
        <w:t>CA</w:t>
      </w:r>
      <w:r>
        <w:rPr>
          <w:rFonts w:ascii="宋体" w:hAnsi="宋体"/>
          <w:highlight w:val="none"/>
        </w:rPr>
        <w:t>数字证书办理，已完成注册和河北交投</w:t>
      </w:r>
      <w:r>
        <w:rPr>
          <w:highlight w:val="none"/>
        </w:rPr>
        <w:t>CA</w:t>
      </w:r>
      <w:r>
        <w:rPr>
          <w:rFonts w:ascii="宋体" w:hAnsi="宋体"/>
          <w:highlight w:val="none"/>
        </w:rPr>
        <w:t>数字证书办理的供应商不必重复操作。</w:t>
      </w:r>
    </w:p>
    <w:p w14:paraId="33B9FF20">
      <w:pPr>
        <w:spacing w:line="400" w:lineRule="exact"/>
        <w:ind w:firstLine="422" w:firstLineChars="200"/>
        <w:rPr>
          <w:rFonts w:ascii="宋体" w:hAnsi="宋体"/>
          <w:highlight w:val="none"/>
        </w:rPr>
      </w:pPr>
      <w:r>
        <w:rPr>
          <w:b/>
          <w:bCs/>
          <w:highlight w:val="none"/>
        </w:rPr>
        <w:t>4</w:t>
      </w:r>
      <w:r>
        <w:rPr>
          <w:rFonts w:ascii="宋体" w:hAnsi="宋体"/>
          <w:b/>
          <w:bCs/>
          <w:highlight w:val="none"/>
        </w:rPr>
        <w:t>.</w:t>
      </w:r>
      <w:r>
        <w:rPr>
          <w:b/>
          <w:bCs/>
          <w:highlight w:val="none"/>
        </w:rPr>
        <w:t>3</w:t>
      </w:r>
      <w:r>
        <w:rPr>
          <w:rFonts w:ascii="宋体" w:hAnsi="宋体"/>
          <w:highlight w:val="none"/>
        </w:rPr>
        <w:t>采购文件每套售价</w:t>
      </w:r>
      <w:r>
        <w:rPr>
          <w:rFonts w:ascii="宋体" w:hAnsi="宋体"/>
          <w:highlight w:val="none"/>
          <w:u w:val="single"/>
        </w:rPr>
        <w:t xml:space="preserve"> </w:t>
      </w:r>
      <w:r>
        <w:rPr>
          <w:rFonts w:hint="eastAsia" w:ascii="宋体" w:hAnsi="宋体"/>
          <w:highlight w:val="none"/>
          <w:u w:val="single"/>
        </w:rPr>
        <w:t>500</w:t>
      </w:r>
      <w:r>
        <w:rPr>
          <w:rFonts w:ascii="宋体" w:hAnsi="宋体"/>
          <w:highlight w:val="none"/>
        </w:rPr>
        <w:t>元 ，售后不退。</w:t>
      </w:r>
    </w:p>
    <w:bookmarkEnd w:id="74"/>
    <w:bookmarkEnd w:id="78"/>
    <w:p w14:paraId="0DBE67BF">
      <w:pPr>
        <w:widowControl/>
        <w:spacing w:before="260" w:after="260"/>
        <w:outlineLvl w:val="1"/>
        <w:rPr>
          <w:rFonts w:eastAsia="黑体"/>
          <w:b/>
          <w:spacing w:val="1"/>
          <w:kern w:val="0"/>
          <w:sz w:val="28"/>
          <w:szCs w:val="28"/>
          <w:highlight w:val="none"/>
        </w:rPr>
      </w:pPr>
      <w:bookmarkStart w:id="79" w:name="_Toc149140170"/>
      <w:r>
        <w:rPr>
          <w:rFonts w:eastAsia="黑体"/>
          <w:b/>
          <w:spacing w:val="1"/>
          <w:kern w:val="0"/>
          <w:sz w:val="28"/>
          <w:szCs w:val="28"/>
          <w:highlight w:val="none"/>
        </w:rPr>
        <w:t>5. 响应文件的递交及开启</w:t>
      </w:r>
      <w:bookmarkEnd w:id="79"/>
    </w:p>
    <w:p w14:paraId="1DD395EB">
      <w:pPr>
        <w:spacing w:line="400" w:lineRule="exact"/>
        <w:ind w:firstLine="422" w:firstLineChars="200"/>
        <w:rPr>
          <w:rFonts w:ascii="宋体" w:hAnsi="宋体"/>
          <w:highlight w:val="none"/>
        </w:rPr>
      </w:pPr>
      <w:bookmarkStart w:id="80" w:name="_Hlk137459988"/>
      <w:r>
        <w:rPr>
          <w:b/>
          <w:bCs/>
          <w:highlight w:val="none"/>
        </w:rPr>
        <w:t>5</w:t>
      </w:r>
      <w:r>
        <w:rPr>
          <w:rFonts w:ascii="宋体" w:hAnsi="宋体"/>
          <w:b/>
          <w:bCs/>
          <w:highlight w:val="none"/>
        </w:rPr>
        <w:t>.</w:t>
      </w:r>
      <w:r>
        <w:rPr>
          <w:b/>
          <w:bCs/>
          <w:highlight w:val="none"/>
        </w:rPr>
        <w:t>1</w:t>
      </w:r>
      <w:r>
        <w:rPr>
          <w:rFonts w:ascii="宋体" w:hAnsi="宋体"/>
          <w:b/>
          <w:bCs/>
          <w:highlight w:val="none"/>
        </w:rPr>
        <w:t xml:space="preserve"> </w:t>
      </w:r>
      <w:r>
        <w:rPr>
          <w:rFonts w:ascii="宋体" w:hAnsi="宋体"/>
          <w:highlight w:val="none"/>
        </w:rPr>
        <w:t>递交响应文件截止时间：</w:t>
      </w:r>
      <w:r>
        <w:rPr>
          <w:rFonts w:hint="eastAsia" w:ascii="宋体" w:hAnsi="宋体"/>
          <w:b w:val="0"/>
          <w:bCs w:val="0"/>
          <w:highlight w:val="none"/>
          <w:u w:val="single"/>
        </w:rPr>
        <w:t>202</w:t>
      </w:r>
      <w:r>
        <w:rPr>
          <w:rFonts w:hint="eastAsia" w:ascii="宋体" w:hAnsi="宋体"/>
          <w:b w:val="0"/>
          <w:bCs w:val="0"/>
          <w:highlight w:val="none"/>
          <w:u w:val="single"/>
          <w:lang w:val="en-US" w:eastAsia="zh-CN"/>
        </w:rPr>
        <w:t>5</w:t>
      </w:r>
      <w:r>
        <w:rPr>
          <w:rFonts w:ascii="宋体" w:hAnsi="宋体"/>
          <w:b w:val="0"/>
          <w:bCs w:val="0"/>
          <w:highlight w:val="none"/>
        </w:rPr>
        <w:t>年</w:t>
      </w:r>
      <w:r>
        <w:rPr>
          <w:rFonts w:hint="eastAsia" w:ascii="宋体" w:hAnsi="宋体"/>
          <w:b w:val="0"/>
          <w:bCs w:val="0"/>
          <w:highlight w:val="none"/>
          <w:u w:val="single"/>
          <w:lang w:val="en-US" w:eastAsia="zh-CN"/>
        </w:rPr>
        <w:t>12</w:t>
      </w:r>
      <w:r>
        <w:rPr>
          <w:rFonts w:hint="eastAsia" w:ascii="宋体" w:hAnsi="宋体"/>
          <w:b w:val="0"/>
          <w:bCs w:val="0"/>
          <w:highlight w:val="none"/>
          <w:u w:val="none"/>
          <w:lang w:val="en-US" w:eastAsia="zh-CN"/>
        </w:rPr>
        <w:t>月</w:t>
      </w:r>
      <w:r>
        <w:rPr>
          <w:rFonts w:hint="eastAsia" w:ascii="宋体" w:hAnsi="宋体"/>
          <w:b w:val="0"/>
          <w:bCs w:val="0"/>
          <w:highlight w:val="none"/>
          <w:u w:val="single"/>
          <w:lang w:val="en-US" w:eastAsia="zh-CN"/>
        </w:rPr>
        <w:t>22</w:t>
      </w:r>
      <w:r>
        <w:rPr>
          <w:rFonts w:ascii="宋体" w:hAnsi="宋体"/>
          <w:b w:val="0"/>
          <w:bCs w:val="0"/>
          <w:highlight w:val="none"/>
        </w:rPr>
        <w:t>日</w:t>
      </w:r>
      <w:r>
        <w:rPr>
          <w:rFonts w:hint="eastAsia" w:ascii="宋体" w:hAnsi="宋体"/>
          <w:b w:val="0"/>
          <w:bCs w:val="0"/>
          <w:highlight w:val="none"/>
          <w:u w:val="single"/>
        </w:rPr>
        <w:t>14</w:t>
      </w:r>
      <w:r>
        <w:rPr>
          <w:rFonts w:ascii="宋体" w:hAnsi="宋体"/>
          <w:b w:val="0"/>
          <w:bCs w:val="0"/>
          <w:highlight w:val="none"/>
        </w:rPr>
        <w:t>时</w:t>
      </w:r>
      <w:r>
        <w:rPr>
          <w:rFonts w:hint="eastAsia" w:ascii="宋体" w:hAnsi="宋体"/>
          <w:b w:val="0"/>
          <w:bCs w:val="0"/>
          <w:highlight w:val="none"/>
          <w:u w:val="single"/>
          <w:lang w:val="en-US" w:eastAsia="zh-CN"/>
        </w:rPr>
        <w:t>0</w:t>
      </w:r>
      <w:r>
        <w:rPr>
          <w:rFonts w:hint="eastAsia" w:ascii="宋体" w:hAnsi="宋体"/>
          <w:b w:val="0"/>
          <w:bCs w:val="0"/>
          <w:highlight w:val="none"/>
          <w:u w:val="single"/>
        </w:rPr>
        <w:t>0</w:t>
      </w:r>
      <w:r>
        <w:rPr>
          <w:rFonts w:ascii="宋体" w:hAnsi="宋体"/>
          <w:b w:val="0"/>
          <w:bCs w:val="0"/>
          <w:highlight w:val="none"/>
        </w:rPr>
        <w:t>分</w:t>
      </w:r>
      <w:r>
        <w:rPr>
          <w:rFonts w:hint="eastAsia" w:ascii="宋体" w:hAnsi="宋体"/>
          <w:b w:val="0"/>
          <w:bCs w:val="0"/>
          <w:highlight w:val="none"/>
          <w:u w:val="single"/>
        </w:rPr>
        <w:t>00</w:t>
      </w:r>
      <w:r>
        <w:rPr>
          <w:rFonts w:ascii="宋体" w:hAnsi="宋体"/>
          <w:b w:val="0"/>
          <w:bCs w:val="0"/>
          <w:highlight w:val="none"/>
        </w:rPr>
        <w:t>秒；</w:t>
      </w:r>
    </w:p>
    <w:p w14:paraId="39C90E9C">
      <w:pPr>
        <w:spacing w:line="400" w:lineRule="exact"/>
        <w:ind w:firstLine="422" w:firstLineChars="200"/>
        <w:rPr>
          <w:rFonts w:ascii="宋体" w:hAnsi="宋体"/>
        </w:rPr>
      </w:pPr>
      <w:r>
        <w:rPr>
          <w:b/>
          <w:bCs/>
        </w:rPr>
        <w:t>5</w:t>
      </w:r>
      <w:r>
        <w:rPr>
          <w:rFonts w:ascii="宋体" w:hAnsi="宋体"/>
          <w:b/>
          <w:bCs/>
        </w:rPr>
        <w:t>.</w:t>
      </w:r>
      <w:r>
        <w:rPr>
          <w:b/>
          <w:bCs/>
        </w:rPr>
        <w:t>2</w:t>
      </w:r>
      <w:r>
        <w:rPr>
          <w:rFonts w:ascii="宋体" w:hAnsi="宋体"/>
          <w:b/>
          <w:bCs/>
        </w:rPr>
        <w:t xml:space="preserve"> </w:t>
      </w:r>
      <w:r>
        <w:rPr>
          <w:rFonts w:ascii="宋体" w:hAnsi="宋体"/>
        </w:rPr>
        <w:t>递交方式：各供应商应在响应文件递交截止时间前通过河北交投招标与采购服务平台递交.</w:t>
      </w:r>
      <w:r>
        <w:t>HEBJTTF</w:t>
      </w:r>
      <w:r>
        <w:rPr>
          <w:rFonts w:ascii="宋体" w:hAnsi="宋体"/>
        </w:rPr>
        <w:t>格式响应文件，</w:t>
      </w:r>
      <w:r>
        <w:rPr>
          <w:rFonts w:hint="eastAsia" w:ascii="宋体" w:hAnsi="宋体"/>
        </w:rPr>
        <w:t>不</w:t>
      </w:r>
      <w:r>
        <w:rPr>
          <w:rFonts w:ascii="宋体" w:hAnsi="宋体"/>
        </w:rPr>
        <w:t>提交纸质版文件。逾期递交的响应文件，采购人将予以拒收。</w:t>
      </w:r>
    </w:p>
    <w:p w14:paraId="318226A6">
      <w:pPr>
        <w:spacing w:line="400" w:lineRule="exact"/>
        <w:ind w:firstLine="422" w:firstLineChars="200"/>
        <w:rPr>
          <w:rFonts w:ascii="宋体" w:hAnsi="宋体"/>
        </w:rPr>
      </w:pPr>
      <w:r>
        <w:rPr>
          <w:b/>
          <w:bCs/>
        </w:rPr>
        <w:t>5</w:t>
      </w:r>
      <w:r>
        <w:rPr>
          <w:rFonts w:ascii="宋体" w:hAnsi="宋体"/>
          <w:b/>
          <w:bCs/>
        </w:rPr>
        <w:t>.</w:t>
      </w:r>
      <w:r>
        <w:rPr>
          <w:b/>
          <w:bCs/>
        </w:rPr>
        <w:t>3</w:t>
      </w:r>
      <w:r>
        <w:rPr>
          <w:rFonts w:ascii="宋体" w:hAnsi="宋体"/>
          <w:b/>
          <w:bCs/>
        </w:rPr>
        <w:t xml:space="preserve"> </w:t>
      </w:r>
      <w:r>
        <w:rPr>
          <w:rFonts w:ascii="宋体" w:hAnsi="宋体"/>
        </w:rPr>
        <w:t>开启方式：</w:t>
      </w:r>
    </w:p>
    <w:p w14:paraId="755C96D7">
      <w:pPr>
        <w:spacing w:line="400" w:lineRule="exact"/>
        <w:ind w:firstLine="420" w:firstLineChars="200"/>
        <w:rPr>
          <w:rFonts w:ascii="宋体" w:hAnsi="宋体"/>
        </w:rPr>
      </w:pPr>
      <w:bookmarkStart w:id="81" w:name="_Hlk139376684"/>
      <w:r>
        <w:rPr>
          <w:rFonts w:ascii="宋体" w:hAnsi="宋体"/>
        </w:rPr>
        <w:t>（</w:t>
      </w:r>
      <w:r>
        <w:t>1</w:t>
      </w:r>
      <w:r>
        <w:rPr>
          <w:rFonts w:ascii="宋体" w:hAnsi="宋体"/>
        </w:rPr>
        <w:t>）供应商须登录河北交投招标与采购服务平台在线参加开启工作。开启时，供应商进入河北交投招标与采购服务平台-开标大厅，然后通过投标人登录进入开标大厅观看开启直播。</w:t>
      </w:r>
    </w:p>
    <w:p w14:paraId="08D93B6B">
      <w:pPr>
        <w:spacing w:line="400" w:lineRule="exact"/>
        <w:ind w:firstLine="420" w:firstLineChars="200"/>
        <w:rPr>
          <w:rFonts w:ascii="宋体" w:hAnsi="宋体"/>
        </w:rPr>
      </w:pPr>
      <w:r>
        <w:rPr>
          <w:rFonts w:ascii="宋体" w:hAnsi="宋体"/>
        </w:rPr>
        <w:t>（</w:t>
      </w:r>
      <w:r>
        <w:t>2</w:t>
      </w:r>
      <w:r>
        <w:rPr>
          <w:rFonts w:ascii="宋体" w:hAnsi="宋体"/>
        </w:rPr>
        <w:t>）在开启准备环节，供应商无需操作，等待采购人/采购代理机构完成响应文件的解密及导入。</w:t>
      </w:r>
    </w:p>
    <w:p w14:paraId="2DC09805">
      <w:pPr>
        <w:spacing w:line="400" w:lineRule="exact"/>
        <w:ind w:firstLine="420" w:firstLineChars="200"/>
        <w:rPr>
          <w:rFonts w:ascii="宋体" w:hAnsi="宋体"/>
        </w:rPr>
      </w:pPr>
      <w:r>
        <w:rPr>
          <w:rFonts w:ascii="宋体" w:hAnsi="宋体"/>
        </w:rPr>
        <w:t>（</w:t>
      </w:r>
      <w:r>
        <w:t>3</w:t>
      </w:r>
      <w:r>
        <w:rPr>
          <w:rFonts w:ascii="宋体" w:hAnsi="宋体"/>
        </w:rPr>
        <w:t>）开启管理员下达解密指令后，供应商须在电脑插入河北交投</w:t>
      </w:r>
      <w:r>
        <w:t>CA</w:t>
      </w:r>
      <w:r>
        <w:rPr>
          <w:rFonts w:ascii="宋体" w:hAnsi="宋体"/>
        </w:rPr>
        <w:t>数字证书后点击【投标单位</w:t>
      </w:r>
      <w:r>
        <w:t>CA</w:t>
      </w:r>
      <w:r>
        <w:rPr>
          <w:rFonts w:ascii="宋体" w:hAnsi="宋体"/>
        </w:rPr>
        <w:t>解密】，输入数字证书密码完成解密</w:t>
      </w:r>
      <w:r>
        <w:rPr>
          <w:rFonts w:hint="eastAsia" w:ascii="宋体" w:hAnsi="宋体"/>
        </w:rPr>
        <w:t>（</w:t>
      </w:r>
      <w:r>
        <w:rPr>
          <w:rFonts w:hint="eastAsia"/>
        </w:rPr>
        <w:t>30</w:t>
      </w:r>
      <w:r>
        <w:rPr>
          <w:rFonts w:hint="eastAsia" w:ascii="宋体" w:hAnsi="宋体"/>
        </w:rPr>
        <w:t>分钟有效）</w:t>
      </w:r>
      <w:r>
        <w:rPr>
          <w:rFonts w:ascii="宋体" w:hAnsi="宋体"/>
        </w:rPr>
        <w:t>。</w:t>
      </w:r>
    </w:p>
    <w:p w14:paraId="39856F76">
      <w:pPr>
        <w:pStyle w:val="108"/>
        <w:wordWrap/>
        <w:spacing w:line="400" w:lineRule="exact"/>
        <w:ind w:firstLineChars="200"/>
        <w:rPr>
          <w:rFonts w:ascii="宋体" w:hAnsi="宋体" w:eastAsia="宋体"/>
        </w:rPr>
      </w:pPr>
      <w:r>
        <w:rPr>
          <w:rFonts w:ascii="宋体" w:hAnsi="宋体" w:eastAsia="宋体"/>
        </w:rPr>
        <w:t>因供应商未按操作手册要求配置软硬件、忘记河北交投</w:t>
      </w:r>
      <w:r>
        <w:rPr>
          <w:rFonts w:ascii="Times New Roman" w:hAnsi="Times New Roman" w:eastAsia="宋体"/>
        </w:rPr>
        <w:t>CA</w:t>
      </w:r>
      <w:r>
        <w:rPr>
          <w:rFonts w:ascii="宋体" w:hAnsi="宋体" w:eastAsia="宋体"/>
        </w:rPr>
        <w:t>登陆密码、未在要求时限内完成解密等自身原因，导致响应文件在规定时间内未能解密、解密失败或解密超时，视为供应商撤销投标，由供应商自身承担一切后果。</w:t>
      </w:r>
    </w:p>
    <w:p w14:paraId="5BAF3E9A">
      <w:pPr>
        <w:widowControl/>
        <w:spacing w:line="400" w:lineRule="exact"/>
        <w:ind w:firstLine="420" w:firstLineChars="200"/>
        <w:rPr>
          <w:rFonts w:ascii="宋体" w:hAnsi="宋体"/>
        </w:rPr>
      </w:pPr>
      <w:r>
        <w:rPr>
          <w:rFonts w:ascii="宋体" w:hAnsi="宋体"/>
        </w:rPr>
        <w:t>因供应商的河北交投</w:t>
      </w:r>
      <w:r>
        <w:t>CA</w:t>
      </w:r>
      <w:r>
        <w:rPr>
          <w:rFonts w:ascii="宋体" w:hAnsi="宋体"/>
        </w:rPr>
        <w:t>数字证书发生故障，可在线向开启管理员提出开启“密码解密”功能，开启管理员同意开启后，供应商可输入编制响应文件时设置的保障密码对响应文件进行解密。</w:t>
      </w:r>
    </w:p>
    <w:p w14:paraId="6CF1819D">
      <w:pPr>
        <w:widowControl/>
        <w:spacing w:line="400" w:lineRule="exact"/>
        <w:ind w:firstLine="420" w:firstLineChars="200"/>
        <w:rPr>
          <w:rFonts w:ascii="宋体" w:hAnsi="宋体"/>
        </w:rPr>
      </w:pPr>
      <w:r>
        <w:rPr>
          <w:rFonts w:ascii="宋体" w:hAnsi="宋体"/>
        </w:rPr>
        <w:t>因采购人原因或系统发生故障等，导致无法按时完成响应文件解密或开启工作无法进行的，可根据实际情况相应延迟解密时间或调整开启时间。</w:t>
      </w:r>
    </w:p>
    <w:p w14:paraId="1618611D">
      <w:pPr>
        <w:spacing w:line="400" w:lineRule="exact"/>
        <w:ind w:firstLine="420" w:firstLineChars="200"/>
        <w:rPr>
          <w:rFonts w:ascii="宋体" w:hAnsi="宋体"/>
        </w:rPr>
      </w:pPr>
      <w:r>
        <w:rPr>
          <w:rFonts w:ascii="宋体" w:hAnsi="宋体"/>
        </w:rPr>
        <w:t>（</w:t>
      </w:r>
      <w:r>
        <w:t>4</w:t>
      </w:r>
      <w:r>
        <w:rPr>
          <w:rFonts w:ascii="宋体" w:hAnsi="宋体"/>
        </w:rPr>
        <w:t>）解密时间结束后，等待开启人点击唱标后，供应商即可查看唱标内容并查看开启记录表。开启过程中，可在线提出异议，开启管理员回复后可进行查看。</w:t>
      </w:r>
    </w:p>
    <w:bookmarkEnd w:id="80"/>
    <w:bookmarkEnd w:id="81"/>
    <w:p w14:paraId="5F3DF7E7">
      <w:pPr>
        <w:widowControl/>
        <w:spacing w:before="260" w:after="260"/>
        <w:outlineLvl w:val="1"/>
        <w:rPr>
          <w:rFonts w:eastAsia="黑体"/>
          <w:b/>
          <w:spacing w:val="1"/>
          <w:kern w:val="0"/>
          <w:sz w:val="28"/>
          <w:szCs w:val="28"/>
        </w:rPr>
      </w:pPr>
      <w:bookmarkStart w:id="82" w:name="_Toc149140171"/>
      <w:r>
        <w:rPr>
          <w:rFonts w:eastAsia="黑体"/>
          <w:b/>
          <w:spacing w:val="1"/>
          <w:kern w:val="0"/>
          <w:sz w:val="28"/>
          <w:szCs w:val="28"/>
        </w:rPr>
        <w:t>6. 发布公告的媒介</w:t>
      </w:r>
      <w:bookmarkEnd w:id="82"/>
    </w:p>
    <w:p w14:paraId="5C6B3867">
      <w:pPr>
        <w:spacing w:line="400" w:lineRule="exact"/>
        <w:ind w:firstLine="424" w:firstLineChars="200"/>
        <w:rPr>
          <w:rFonts w:ascii="宋体" w:hAnsi="宋体"/>
          <w:spacing w:val="1"/>
          <w:kern w:val="0"/>
          <w:szCs w:val="21"/>
        </w:rPr>
      </w:pPr>
      <w:bookmarkStart w:id="83" w:name="_Hlk139440160"/>
      <w:r>
        <w:rPr>
          <w:rFonts w:ascii="宋体" w:hAnsi="宋体"/>
          <w:spacing w:val="1"/>
          <w:kern w:val="0"/>
          <w:szCs w:val="21"/>
        </w:rPr>
        <w:t>本采购公告同时在</w:t>
      </w:r>
      <w:r>
        <w:rPr>
          <w:rFonts w:ascii="宋体" w:hAnsi="宋体"/>
          <w:spacing w:val="1"/>
          <w:kern w:val="0"/>
          <w:szCs w:val="21"/>
          <w:u w:val="single"/>
        </w:rPr>
        <w:t>河北交投招标与采购服务平台</w:t>
      </w:r>
      <w:r>
        <w:rPr>
          <w:rFonts w:ascii="宋体" w:hAnsi="宋体"/>
          <w:spacing w:val="1"/>
          <w:kern w:val="0"/>
          <w:szCs w:val="21"/>
        </w:rPr>
        <w:t>上发布。</w:t>
      </w:r>
    </w:p>
    <w:bookmarkEnd w:id="83"/>
    <w:p w14:paraId="062EDEC4">
      <w:pPr>
        <w:widowControl/>
        <w:spacing w:before="260" w:after="260"/>
        <w:outlineLvl w:val="1"/>
        <w:rPr>
          <w:rFonts w:eastAsia="黑体"/>
          <w:b/>
          <w:spacing w:val="1"/>
          <w:kern w:val="0"/>
          <w:sz w:val="28"/>
          <w:szCs w:val="28"/>
        </w:rPr>
      </w:pPr>
      <w:bookmarkStart w:id="84" w:name="_Toc149140172"/>
      <w:r>
        <w:rPr>
          <w:rFonts w:eastAsia="黑体"/>
          <w:b/>
          <w:spacing w:val="1"/>
          <w:kern w:val="0"/>
          <w:sz w:val="28"/>
          <w:szCs w:val="28"/>
        </w:rPr>
        <w:t>7. 其他</w:t>
      </w:r>
      <w:bookmarkEnd w:id="84"/>
    </w:p>
    <w:p w14:paraId="3F9AB8C2">
      <w:pPr>
        <w:spacing w:line="400" w:lineRule="exact"/>
        <w:ind w:firstLine="420" w:firstLineChars="200"/>
        <w:rPr>
          <w:rFonts w:ascii="宋体" w:hAnsi="宋体"/>
          <w:szCs w:val="21"/>
          <w:u w:val="single"/>
        </w:rPr>
      </w:pPr>
      <w:bookmarkStart w:id="85" w:name="_Hlk137460110"/>
      <w:r>
        <w:rPr>
          <w:rFonts w:ascii="宋体" w:hAnsi="宋体"/>
          <w:szCs w:val="21"/>
          <w:u w:val="single"/>
        </w:rPr>
        <w:t>如需帮助，请登陆河北交投招标与采购服务平台网站首页“服务指南”-“操作手册”查看相应操作手册。</w:t>
      </w:r>
    </w:p>
    <w:bookmarkEnd w:id="85"/>
    <w:p w14:paraId="4C5BE452">
      <w:pPr>
        <w:widowControl/>
        <w:spacing w:before="260" w:after="260"/>
        <w:outlineLvl w:val="1"/>
        <w:rPr>
          <w:rFonts w:eastAsia="黑体"/>
          <w:b/>
          <w:spacing w:val="1"/>
          <w:kern w:val="0"/>
          <w:sz w:val="28"/>
          <w:szCs w:val="28"/>
        </w:rPr>
      </w:pPr>
      <w:bookmarkStart w:id="86" w:name="_Toc149140173"/>
      <w:r>
        <w:rPr>
          <w:rFonts w:eastAsia="黑体"/>
          <w:b/>
          <w:spacing w:val="1"/>
          <w:kern w:val="0"/>
          <w:sz w:val="28"/>
          <w:szCs w:val="28"/>
        </w:rPr>
        <w:t>8. 联系方式</w:t>
      </w:r>
      <w:bookmarkEnd w:id="86"/>
    </w:p>
    <w:p w14:paraId="60AB28EB">
      <w:pPr>
        <w:spacing w:line="400" w:lineRule="exact"/>
        <w:ind w:firstLine="420" w:firstLineChars="200"/>
        <w:rPr>
          <w:rFonts w:ascii="宋体" w:hAnsi="宋体"/>
          <w:kern w:val="0"/>
          <w:szCs w:val="21"/>
        </w:rPr>
      </w:pPr>
      <w:r>
        <w:rPr>
          <w:rFonts w:ascii="宋体" w:hAnsi="宋体"/>
          <w:kern w:val="0"/>
          <w:szCs w:val="21"/>
        </w:rPr>
        <w:t>采 购 人：</w:t>
      </w:r>
      <w:r>
        <w:rPr>
          <w:rFonts w:hint="eastAsia" w:cs="宋体" w:asciiTheme="minorEastAsia" w:hAnsiTheme="minorEastAsia" w:eastAsiaTheme="minorEastAsia"/>
          <w:kern w:val="0"/>
          <w:szCs w:val="21"/>
        </w:rPr>
        <w:t>河北交投绿色建材有限公司</w:t>
      </w:r>
    </w:p>
    <w:p w14:paraId="4A19C763">
      <w:pPr>
        <w:spacing w:line="400" w:lineRule="exact"/>
        <w:ind w:firstLine="420" w:firstLineChars="200"/>
        <w:rPr>
          <w:rFonts w:hint="eastAsia"/>
          <w:color w:val="000000" w:themeColor="text1"/>
          <w14:textFill>
            <w14:solidFill>
              <w14:schemeClr w14:val="tx1"/>
            </w14:solidFill>
          </w14:textFill>
        </w:rPr>
      </w:pPr>
      <w:r>
        <w:rPr>
          <w:rFonts w:ascii="宋体" w:hAnsi="宋体"/>
          <w:kern w:val="0"/>
          <w:szCs w:val="21"/>
        </w:rPr>
        <w:t>地    址：</w:t>
      </w:r>
      <w:r>
        <w:rPr>
          <w:rFonts w:hint="eastAsia"/>
          <w:color w:val="000000" w:themeColor="text1"/>
          <w14:textFill>
            <w14:solidFill>
              <w14:schemeClr w14:val="tx1"/>
            </w14:solidFill>
          </w14:textFill>
        </w:rPr>
        <w:t>河北高碑店市张六庄镇祥瑞路1号</w:t>
      </w:r>
    </w:p>
    <w:p w14:paraId="0B1D0D9D">
      <w:pPr>
        <w:spacing w:line="400" w:lineRule="exact"/>
        <w:ind w:firstLine="420" w:firstLineChars="200"/>
        <w:rPr>
          <w:rFonts w:hint="eastAsia"/>
          <w:color w:val="000000" w:themeColor="text1"/>
          <w:highlight w:val="none"/>
          <w:lang w:val="en-US" w:eastAsia="zh-CN"/>
          <w14:textFill>
            <w14:solidFill>
              <w14:schemeClr w14:val="tx1"/>
            </w14:solidFill>
          </w14:textFill>
        </w:rPr>
      </w:pPr>
      <w:r>
        <w:rPr>
          <w:rFonts w:ascii="宋体" w:hAnsi="宋体"/>
          <w:kern w:val="0"/>
          <w:szCs w:val="21"/>
          <w:highlight w:val="none"/>
        </w:rPr>
        <w:t>联 系 人：</w:t>
      </w:r>
      <w:r>
        <w:rPr>
          <w:rFonts w:hint="eastAsia" w:ascii="宋体" w:hAnsi="宋体"/>
          <w:kern w:val="0"/>
          <w:szCs w:val="21"/>
          <w:highlight w:val="none"/>
          <w:lang w:val="en-US" w:eastAsia="zh-CN"/>
        </w:rPr>
        <w:t xml:space="preserve">戴治宇   </w:t>
      </w:r>
      <w:r>
        <w:rPr>
          <w:rFonts w:hint="eastAsia"/>
          <w:color w:val="000000" w:themeColor="text1"/>
          <w:highlight w:val="none"/>
          <w14:textFill>
            <w14:solidFill>
              <w14:schemeClr w14:val="tx1"/>
            </w14:solidFill>
          </w14:textFill>
        </w:rPr>
        <w:t>庄</w:t>
      </w:r>
      <w:r>
        <w:rPr>
          <w:rFonts w:hint="eastAsia"/>
          <w:color w:val="000000" w:themeColor="text1"/>
          <w:highlight w:val="none"/>
          <w:lang w:val="en-US" w:eastAsia="zh-CN"/>
          <w14:textFill>
            <w14:solidFill>
              <w14:schemeClr w14:val="tx1"/>
            </w14:solidFill>
          </w14:textFill>
        </w:rPr>
        <w:t>荣丽</w:t>
      </w:r>
    </w:p>
    <w:p w14:paraId="3D8AB93A">
      <w:pPr>
        <w:spacing w:line="400" w:lineRule="exact"/>
        <w:ind w:firstLine="420" w:firstLineChars="200"/>
        <w:rPr>
          <w:rFonts w:hint="eastAsia"/>
          <w:szCs w:val="21"/>
        </w:rPr>
      </w:pPr>
      <w:r>
        <w:rPr>
          <w:rFonts w:ascii="宋体" w:hAnsi="宋体"/>
          <w:szCs w:val="21"/>
        </w:rPr>
        <w:t xml:space="preserve">电    </w:t>
      </w:r>
      <w:r>
        <w:rPr>
          <w:rFonts w:ascii="宋体" w:hAnsi="宋体"/>
          <w:kern w:val="0"/>
          <w:szCs w:val="21"/>
        </w:rPr>
        <w:t>话：</w:t>
      </w:r>
      <w:r>
        <w:rPr>
          <w:rFonts w:hint="eastAsia" w:ascii="宋体" w:hAnsi="宋体"/>
          <w:kern w:val="0"/>
          <w:szCs w:val="21"/>
          <w:lang w:val="en-US" w:eastAsia="zh-CN"/>
        </w:rPr>
        <w:t xml:space="preserve">18531166389   </w:t>
      </w:r>
      <w:r>
        <w:rPr>
          <w:rFonts w:hint="eastAsia"/>
          <w:szCs w:val="21"/>
        </w:rPr>
        <w:t>15133994592</w:t>
      </w:r>
    </w:p>
    <w:bookmarkEnd w:id="38"/>
    <w:p w14:paraId="6A435247">
      <w:pPr>
        <w:spacing w:line="400" w:lineRule="exact"/>
        <w:ind w:firstLine="420" w:firstLineChars="200"/>
        <w:rPr>
          <w:rFonts w:ascii="宋体" w:hAnsi="宋体"/>
          <w:szCs w:val="21"/>
          <w:u w:val="single"/>
        </w:rPr>
      </w:pPr>
    </w:p>
    <w:p w14:paraId="6C3FC024">
      <w:pPr>
        <w:spacing w:line="400" w:lineRule="exact"/>
        <w:ind w:firstLine="420" w:firstLineChars="200"/>
        <w:rPr>
          <w:rFonts w:ascii="宋体" w:hAnsi="宋体"/>
          <w:szCs w:val="21"/>
        </w:rPr>
      </w:pPr>
      <w:r>
        <w:rPr>
          <w:rFonts w:ascii="宋体" w:hAnsi="宋体"/>
          <w:szCs w:val="21"/>
        </w:rPr>
        <w:t>采购代理机构：</w:t>
      </w:r>
      <w:r>
        <w:rPr>
          <w:rFonts w:hint="eastAsia"/>
          <w:szCs w:val="21"/>
        </w:rPr>
        <w:t>河北雄安交投工程咨询有限公司</w:t>
      </w:r>
    </w:p>
    <w:p w14:paraId="1ABE4ED7">
      <w:pPr>
        <w:spacing w:line="400" w:lineRule="exact"/>
        <w:ind w:firstLine="420" w:firstLineChars="200"/>
        <w:rPr>
          <w:rFonts w:ascii="宋体" w:hAnsi="宋体"/>
          <w:szCs w:val="21"/>
          <w:u w:val="single"/>
        </w:rPr>
      </w:pPr>
      <w:r>
        <w:rPr>
          <w:rFonts w:ascii="宋体" w:hAnsi="宋体"/>
          <w:szCs w:val="21"/>
        </w:rPr>
        <w:t>地    址：</w:t>
      </w:r>
      <w:r>
        <w:rPr>
          <w:rFonts w:hint="eastAsia"/>
          <w:szCs w:val="21"/>
        </w:rPr>
        <w:t>河北省保定市容城县</w:t>
      </w:r>
      <w:r>
        <w:rPr>
          <w:rFonts w:hint="eastAsia"/>
          <w:szCs w:val="21"/>
          <w:lang w:val="en-US" w:eastAsia="zh-CN"/>
        </w:rPr>
        <w:t>益康路6</w:t>
      </w:r>
      <w:r>
        <w:rPr>
          <w:rFonts w:hint="eastAsia"/>
          <w:szCs w:val="21"/>
        </w:rPr>
        <w:t>号</w:t>
      </w:r>
      <w:r>
        <w:rPr>
          <w:rFonts w:hint="eastAsia"/>
          <w:szCs w:val="21"/>
          <w:lang w:val="en-US" w:eastAsia="zh-CN"/>
        </w:rPr>
        <w:t>120</w:t>
      </w:r>
      <w:r>
        <w:rPr>
          <w:rFonts w:hint="eastAsia"/>
          <w:szCs w:val="21"/>
        </w:rPr>
        <w:t>室</w:t>
      </w:r>
    </w:p>
    <w:p w14:paraId="0476734F">
      <w:pPr>
        <w:spacing w:line="400" w:lineRule="exact"/>
        <w:ind w:firstLine="420" w:firstLineChars="200"/>
        <w:rPr>
          <w:rFonts w:ascii="宋体" w:hAnsi="宋体"/>
          <w:szCs w:val="21"/>
        </w:rPr>
      </w:pPr>
      <w:r>
        <w:rPr>
          <w:rFonts w:ascii="宋体" w:hAnsi="宋体"/>
          <w:szCs w:val="21"/>
        </w:rPr>
        <w:t>联 系 人：</w:t>
      </w:r>
      <w:r>
        <w:rPr>
          <w:rFonts w:hint="eastAsia"/>
          <w:szCs w:val="21"/>
        </w:rPr>
        <w:t>赵伯珅</w:t>
      </w:r>
    </w:p>
    <w:p w14:paraId="166DDAE8">
      <w:pPr>
        <w:spacing w:line="400" w:lineRule="exact"/>
        <w:ind w:firstLine="420" w:firstLineChars="200"/>
        <w:rPr>
          <w:rFonts w:ascii="宋体" w:hAnsi="宋体"/>
          <w:szCs w:val="21"/>
          <w:u w:val="single"/>
        </w:rPr>
      </w:pPr>
      <w:r>
        <w:rPr>
          <w:rFonts w:ascii="宋体" w:hAnsi="宋体"/>
          <w:szCs w:val="21"/>
        </w:rPr>
        <w:t>电    话：</w:t>
      </w:r>
      <w:r>
        <w:rPr>
          <w:rFonts w:hint="eastAsia"/>
          <w:szCs w:val="21"/>
        </w:rPr>
        <w:t>15130229072</w:t>
      </w:r>
    </w:p>
    <w:p w14:paraId="0AC8CD21">
      <w:pPr>
        <w:spacing w:line="400" w:lineRule="exact"/>
        <w:ind w:firstLine="420" w:firstLineChars="200"/>
        <w:rPr>
          <w:rFonts w:ascii="宋体" w:hAnsi="宋体"/>
          <w:b/>
          <w:bCs/>
          <w:szCs w:val="21"/>
        </w:rPr>
      </w:pPr>
      <w:r>
        <w:rPr>
          <w:rFonts w:ascii="宋体" w:hAnsi="宋体"/>
          <w:szCs w:val="21"/>
        </w:rPr>
        <w:t>电子邮件：</w:t>
      </w:r>
      <w:r>
        <w:rPr>
          <w:rFonts w:hint="eastAsia"/>
          <w:szCs w:val="21"/>
        </w:rPr>
        <w:t>xjtgczx_jyb@163.com</w:t>
      </w:r>
    </w:p>
    <w:p w14:paraId="11B66968">
      <w:pPr>
        <w:widowControl/>
        <w:spacing w:before="260" w:after="260"/>
        <w:outlineLvl w:val="1"/>
        <w:rPr>
          <w:rFonts w:eastAsia="黑体"/>
          <w:b/>
          <w:spacing w:val="1"/>
          <w:kern w:val="0"/>
          <w:sz w:val="28"/>
          <w:szCs w:val="28"/>
        </w:rPr>
      </w:pPr>
      <w:bookmarkStart w:id="87" w:name="_Toc149140174"/>
      <w:r>
        <w:rPr>
          <w:rFonts w:eastAsia="黑体"/>
          <w:b/>
          <w:spacing w:val="1"/>
          <w:kern w:val="0"/>
          <w:sz w:val="28"/>
          <w:szCs w:val="28"/>
        </w:rPr>
        <w:t>9. 河北交投招标与采购服务平台</w:t>
      </w:r>
      <w:r>
        <w:rPr>
          <w:rFonts w:hint="eastAsia" w:eastAsia="黑体"/>
          <w:b/>
          <w:spacing w:val="1"/>
          <w:kern w:val="0"/>
          <w:sz w:val="28"/>
          <w:szCs w:val="28"/>
        </w:rPr>
        <w:t>使用</w:t>
      </w:r>
      <w:r>
        <w:rPr>
          <w:rFonts w:eastAsia="黑体"/>
          <w:b/>
          <w:spacing w:val="1"/>
          <w:kern w:val="0"/>
          <w:sz w:val="28"/>
          <w:szCs w:val="28"/>
        </w:rPr>
        <w:t>说明</w:t>
      </w:r>
      <w:bookmarkEnd w:id="87"/>
    </w:p>
    <w:p w14:paraId="2B914C5F">
      <w:pPr>
        <w:spacing w:line="400" w:lineRule="exact"/>
        <w:ind w:firstLine="420" w:firstLineChars="200"/>
        <w:rPr>
          <w:rFonts w:ascii="宋体" w:hAnsi="宋体"/>
        </w:rPr>
      </w:pPr>
      <w:bookmarkStart w:id="88" w:name="_Toc118805230"/>
      <w:bookmarkStart w:id="89" w:name="_Hlk137460228"/>
      <w:r>
        <w:t>9</w:t>
      </w:r>
      <w:r>
        <w:rPr>
          <w:rFonts w:ascii="宋体" w:hAnsi="宋体"/>
        </w:rPr>
        <w:t>.</w:t>
      </w:r>
      <w:r>
        <w:t>1</w:t>
      </w:r>
      <w:r>
        <w:rPr>
          <w:rFonts w:ascii="宋体" w:hAnsi="宋体"/>
        </w:rPr>
        <w:t>递交响应</w:t>
      </w:r>
      <w:r>
        <w:rPr>
          <w:rFonts w:ascii="宋体" w:hAnsi="宋体"/>
          <w:spacing w:val="1"/>
          <w:kern w:val="0"/>
          <w:szCs w:val="21"/>
        </w:rPr>
        <w:t>文件</w:t>
      </w:r>
      <w:bookmarkEnd w:id="88"/>
    </w:p>
    <w:p w14:paraId="6EF0C7E4">
      <w:pPr>
        <w:spacing w:line="400" w:lineRule="exact"/>
        <w:ind w:firstLine="420" w:firstLineChars="200"/>
        <w:rPr>
          <w:rFonts w:ascii="宋体" w:hAnsi="宋体"/>
          <w:szCs w:val="21"/>
        </w:rPr>
      </w:pPr>
      <w:r>
        <w:rPr>
          <w:rFonts w:ascii="宋体" w:hAnsi="宋体"/>
          <w:szCs w:val="21"/>
        </w:rPr>
        <w:t>（</w:t>
      </w:r>
      <w:r>
        <w:rPr>
          <w:szCs w:val="21"/>
        </w:rPr>
        <w:t>1</w:t>
      </w:r>
      <w:r>
        <w:rPr>
          <w:rFonts w:ascii="宋体" w:hAnsi="宋体"/>
          <w:szCs w:val="21"/>
        </w:rPr>
        <w:t>）供应商应充分考虑到网络及系统平台可能存在的非正常情况，建议在响应文件递交截止时间</w:t>
      </w:r>
      <w:r>
        <w:rPr>
          <w:szCs w:val="21"/>
        </w:rPr>
        <w:t>2</w:t>
      </w:r>
      <w:r>
        <w:rPr>
          <w:rFonts w:ascii="宋体" w:hAnsi="宋体"/>
          <w:szCs w:val="21"/>
        </w:rPr>
        <w:t>小时前上传（对于超过</w:t>
      </w:r>
      <w:r>
        <w:rPr>
          <w:szCs w:val="21"/>
        </w:rPr>
        <w:t>100M</w:t>
      </w:r>
      <w:r>
        <w:rPr>
          <w:rFonts w:ascii="宋体" w:hAnsi="宋体"/>
          <w:szCs w:val="21"/>
        </w:rPr>
        <w:t>的文件，需预留更多时间）。</w:t>
      </w:r>
    </w:p>
    <w:p w14:paraId="7C1486D5">
      <w:pPr>
        <w:spacing w:line="400" w:lineRule="exact"/>
        <w:ind w:firstLine="420" w:firstLineChars="200"/>
        <w:rPr>
          <w:rFonts w:ascii="宋体" w:hAnsi="宋体"/>
          <w:szCs w:val="21"/>
        </w:rPr>
      </w:pPr>
      <w:r>
        <w:rPr>
          <w:rFonts w:ascii="宋体" w:hAnsi="宋体"/>
          <w:szCs w:val="21"/>
        </w:rPr>
        <w:t>（</w:t>
      </w:r>
      <w:r>
        <w:rPr>
          <w:szCs w:val="21"/>
        </w:rPr>
        <w:t>2</w:t>
      </w:r>
      <w:r>
        <w:rPr>
          <w:rFonts w:ascii="宋体" w:hAnsi="宋体"/>
          <w:szCs w:val="21"/>
        </w:rPr>
        <w:t>）供应商应充分考虑下载采购文件、递交响应文件等相关操作所需时间，提前进行相应业务操作。避免临近截止时间因网络环境、个人电脑环境等原因导致未能及时参与、报价、递交文件，导致响应失败。</w:t>
      </w:r>
    </w:p>
    <w:p w14:paraId="58ED8B72">
      <w:pPr>
        <w:spacing w:line="400" w:lineRule="exact"/>
        <w:ind w:firstLine="420" w:firstLineChars="200"/>
        <w:rPr>
          <w:rFonts w:ascii="宋体" w:hAnsi="宋体"/>
          <w:szCs w:val="21"/>
        </w:rPr>
      </w:pPr>
      <w:r>
        <w:rPr>
          <w:rFonts w:ascii="宋体" w:hAnsi="宋体"/>
          <w:szCs w:val="21"/>
        </w:rPr>
        <w:t>（</w:t>
      </w:r>
      <w:r>
        <w:rPr>
          <w:szCs w:val="21"/>
        </w:rPr>
        <w:t>3</w:t>
      </w:r>
      <w:r>
        <w:rPr>
          <w:rFonts w:ascii="宋体" w:hAnsi="宋体"/>
          <w:szCs w:val="21"/>
        </w:rPr>
        <w:t>）在生成</w:t>
      </w:r>
      <w:r>
        <w:rPr>
          <w:rFonts w:ascii="宋体" w:hAnsi="宋体"/>
          <w:spacing w:val="1"/>
          <w:kern w:val="0"/>
          <w:szCs w:val="21"/>
        </w:rPr>
        <w:t>响应</w:t>
      </w:r>
      <w:r>
        <w:rPr>
          <w:rFonts w:ascii="宋体" w:hAnsi="宋体"/>
          <w:szCs w:val="21"/>
        </w:rPr>
        <w:t>文件后，请对照采购文件要求，认真核对签名信息和数量后再上传响应文件。</w:t>
      </w:r>
    </w:p>
    <w:p w14:paraId="7E9C52D1">
      <w:pPr>
        <w:spacing w:line="400" w:lineRule="exact"/>
        <w:ind w:firstLine="420" w:firstLineChars="200"/>
        <w:rPr>
          <w:rFonts w:ascii="宋体" w:hAnsi="宋体"/>
          <w:szCs w:val="21"/>
        </w:rPr>
      </w:pPr>
      <w:r>
        <w:rPr>
          <w:szCs w:val="21"/>
        </w:rPr>
        <w:t>9</w:t>
      </w:r>
      <w:r>
        <w:rPr>
          <w:rFonts w:ascii="宋体" w:hAnsi="宋体"/>
          <w:szCs w:val="21"/>
        </w:rPr>
        <w:t>.</w:t>
      </w:r>
      <w:r>
        <w:rPr>
          <w:szCs w:val="21"/>
        </w:rPr>
        <w:t>2</w:t>
      </w:r>
      <w:r>
        <w:rPr>
          <w:rFonts w:ascii="宋体" w:hAnsi="宋体"/>
          <w:szCs w:val="21"/>
        </w:rPr>
        <w:t>供应商</w:t>
      </w:r>
      <w:r>
        <w:rPr>
          <w:rFonts w:ascii="宋体" w:hAnsi="宋体"/>
          <w:spacing w:val="1"/>
          <w:kern w:val="0"/>
          <w:szCs w:val="21"/>
        </w:rPr>
        <w:t>参加</w:t>
      </w:r>
      <w:r>
        <w:rPr>
          <w:rFonts w:ascii="宋体" w:hAnsi="宋体"/>
          <w:szCs w:val="21"/>
        </w:rPr>
        <w:t>开启方式：供应商须登录河北交投招标与采购服务平台-开标大厅，进入响应文件开启会议</w:t>
      </w:r>
    </w:p>
    <w:p w14:paraId="05FF86C8">
      <w:pPr>
        <w:spacing w:line="400" w:lineRule="exact"/>
        <w:ind w:firstLine="420" w:firstLineChars="200"/>
        <w:rPr>
          <w:rFonts w:ascii="宋体" w:hAnsi="宋体"/>
          <w:szCs w:val="21"/>
        </w:rPr>
      </w:pPr>
      <w:bookmarkStart w:id="90" w:name="_Hlk139376804"/>
      <w:r>
        <w:rPr>
          <w:szCs w:val="21"/>
        </w:rPr>
        <w:t>9</w:t>
      </w:r>
      <w:r>
        <w:rPr>
          <w:rFonts w:ascii="宋体" w:hAnsi="宋体"/>
          <w:szCs w:val="21"/>
        </w:rPr>
        <w:t>.</w:t>
      </w:r>
      <w:r>
        <w:rPr>
          <w:szCs w:val="21"/>
        </w:rPr>
        <w:t>3</w:t>
      </w:r>
      <w:r>
        <w:rPr>
          <w:rFonts w:ascii="宋体" w:hAnsi="宋体"/>
          <w:szCs w:val="21"/>
        </w:rPr>
        <w:t>响应文件开启前，</w:t>
      </w:r>
      <w:r>
        <w:rPr>
          <w:rFonts w:ascii="宋体" w:hAnsi="宋体"/>
        </w:rPr>
        <w:t>供应商</w:t>
      </w:r>
      <w:r>
        <w:rPr>
          <w:rFonts w:ascii="宋体" w:hAnsi="宋体"/>
          <w:szCs w:val="21"/>
        </w:rPr>
        <w:t>应提前进行驱动环境检测（打开检测工具（河北交投版），点击</w:t>
      </w:r>
      <w:r>
        <w:rPr>
          <w:rFonts w:ascii="宋体" w:hAnsi="宋体"/>
          <w:spacing w:val="1"/>
          <w:kern w:val="0"/>
          <w:szCs w:val="21"/>
        </w:rPr>
        <w:t>“一键检测”</w:t>
      </w:r>
      <w:r>
        <w:rPr>
          <w:rFonts w:ascii="宋体" w:hAnsi="宋体"/>
          <w:szCs w:val="21"/>
        </w:rPr>
        <w:t>），如未进行驱动检测导致开启时无法解密所造成的一切后果由</w:t>
      </w:r>
      <w:r>
        <w:rPr>
          <w:rFonts w:ascii="宋体" w:hAnsi="宋体"/>
        </w:rPr>
        <w:t>供应商</w:t>
      </w:r>
      <w:r>
        <w:rPr>
          <w:rFonts w:ascii="宋体" w:hAnsi="宋体"/>
          <w:szCs w:val="21"/>
        </w:rPr>
        <w:t>自行负责。</w:t>
      </w:r>
    </w:p>
    <w:p w14:paraId="19277B67">
      <w:pPr>
        <w:spacing w:line="400" w:lineRule="exact"/>
        <w:ind w:firstLine="420" w:firstLineChars="200"/>
        <w:rPr>
          <w:rFonts w:ascii="宋体" w:hAnsi="宋体"/>
          <w:szCs w:val="21"/>
        </w:rPr>
      </w:pPr>
      <w:r>
        <w:rPr>
          <w:szCs w:val="21"/>
        </w:rPr>
        <w:t>9</w:t>
      </w:r>
      <w:r>
        <w:rPr>
          <w:rFonts w:ascii="宋体" w:hAnsi="宋体"/>
          <w:szCs w:val="21"/>
        </w:rPr>
        <w:t>.</w:t>
      </w:r>
      <w:r>
        <w:rPr>
          <w:szCs w:val="21"/>
        </w:rPr>
        <w:t>4</w:t>
      </w:r>
      <w:r>
        <w:rPr>
          <w:rFonts w:ascii="宋体" w:hAnsi="宋体"/>
          <w:szCs w:val="21"/>
        </w:rPr>
        <w:t>建议使用</w:t>
      </w:r>
      <w:r>
        <w:rPr>
          <w:szCs w:val="21"/>
        </w:rPr>
        <w:t>IE</w:t>
      </w:r>
      <w:r>
        <w:rPr>
          <w:rFonts w:ascii="宋体" w:hAnsi="宋体"/>
          <w:spacing w:val="1"/>
          <w:kern w:val="0"/>
          <w:szCs w:val="21"/>
        </w:rPr>
        <w:t>浏览器</w:t>
      </w:r>
      <w:r>
        <w:rPr>
          <w:rFonts w:ascii="宋体" w:hAnsi="宋体"/>
          <w:szCs w:val="21"/>
        </w:rPr>
        <w:t>、</w:t>
      </w:r>
      <w:r>
        <w:rPr>
          <w:szCs w:val="21"/>
        </w:rPr>
        <w:t>360</w:t>
      </w:r>
      <w:r>
        <w:rPr>
          <w:rFonts w:ascii="宋体" w:hAnsi="宋体"/>
          <w:szCs w:val="21"/>
        </w:rPr>
        <w:t>浏览器兼容模式、</w:t>
      </w:r>
      <w:r>
        <w:rPr>
          <w:szCs w:val="21"/>
        </w:rPr>
        <w:t>Edge</w:t>
      </w:r>
      <w:r>
        <w:rPr>
          <w:rFonts w:ascii="宋体" w:hAnsi="宋体"/>
          <w:szCs w:val="21"/>
        </w:rPr>
        <w:t>浏览器</w:t>
      </w:r>
      <w:r>
        <w:rPr>
          <w:szCs w:val="21"/>
        </w:rPr>
        <w:t>IE</w:t>
      </w:r>
      <w:r>
        <w:rPr>
          <w:rFonts w:ascii="宋体" w:hAnsi="宋体"/>
          <w:szCs w:val="21"/>
        </w:rPr>
        <w:t>模式登录，确保河北交投</w:t>
      </w:r>
      <w:r>
        <w:rPr>
          <w:szCs w:val="21"/>
        </w:rPr>
        <w:t>CA</w:t>
      </w:r>
      <w:r>
        <w:rPr>
          <w:rFonts w:ascii="宋体" w:hAnsi="宋体"/>
          <w:szCs w:val="21"/>
        </w:rPr>
        <w:t>数字证书能正常使用，如有问题可拨打网站首页技术支持电话。</w:t>
      </w:r>
    </w:p>
    <w:p w14:paraId="1AC50713">
      <w:pPr>
        <w:spacing w:line="400" w:lineRule="exact"/>
        <w:ind w:firstLine="420" w:firstLineChars="200"/>
        <w:rPr>
          <w:rFonts w:ascii="宋体" w:hAnsi="宋体"/>
          <w:szCs w:val="21"/>
        </w:rPr>
      </w:pPr>
      <w:r>
        <w:rPr>
          <w:szCs w:val="21"/>
        </w:rPr>
        <w:t>9</w:t>
      </w:r>
      <w:r>
        <w:rPr>
          <w:rFonts w:ascii="宋体" w:hAnsi="宋体"/>
          <w:szCs w:val="21"/>
        </w:rPr>
        <w:t>.</w:t>
      </w:r>
      <w:r>
        <w:rPr>
          <w:szCs w:val="21"/>
        </w:rPr>
        <w:t>5</w:t>
      </w:r>
      <w:r>
        <w:rPr>
          <w:rFonts w:ascii="宋体" w:hAnsi="宋体"/>
        </w:rPr>
        <w:t>供应商</w:t>
      </w:r>
      <w:r>
        <w:rPr>
          <w:rFonts w:ascii="宋体" w:hAnsi="宋体"/>
          <w:szCs w:val="21"/>
        </w:rPr>
        <w:t>提前准备好响应文件生成时使用的河北交投</w:t>
      </w:r>
      <w:r>
        <w:rPr>
          <w:szCs w:val="21"/>
        </w:rPr>
        <w:t>CA</w:t>
      </w:r>
      <w:r>
        <w:rPr>
          <w:rFonts w:ascii="宋体" w:hAnsi="宋体"/>
          <w:szCs w:val="21"/>
        </w:rPr>
        <w:t>数字证书，确保网络顺畅，推荐使用公司</w:t>
      </w:r>
      <w:r>
        <w:rPr>
          <w:rFonts w:ascii="宋体" w:hAnsi="宋体"/>
          <w:spacing w:val="1"/>
          <w:kern w:val="0"/>
          <w:szCs w:val="21"/>
        </w:rPr>
        <w:t>办公</w:t>
      </w:r>
      <w:r>
        <w:rPr>
          <w:rFonts w:ascii="宋体" w:hAnsi="宋体"/>
          <w:szCs w:val="21"/>
        </w:rPr>
        <w:t>环境的有线网络。</w:t>
      </w:r>
    </w:p>
    <w:bookmarkEnd w:id="90"/>
    <w:p w14:paraId="42D94F7F">
      <w:pPr>
        <w:spacing w:line="400" w:lineRule="exact"/>
        <w:ind w:firstLine="420" w:firstLineChars="200"/>
        <w:rPr>
          <w:rFonts w:ascii="宋体" w:hAnsi="宋体"/>
          <w:szCs w:val="21"/>
          <w:lang w:bidi="ar"/>
        </w:rPr>
      </w:pPr>
      <w:r>
        <w:rPr>
          <w:szCs w:val="21"/>
        </w:rPr>
        <w:t>9</w:t>
      </w:r>
      <w:r>
        <w:rPr>
          <w:rFonts w:ascii="宋体" w:hAnsi="宋体"/>
          <w:szCs w:val="21"/>
        </w:rPr>
        <w:t>.</w:t>
      </w:r>
      <w:r>
        <w:rPr>
          <w:szCs w:val="21"/>
        </w:rPr>
        <w:t>6</w:t>
      </w:r>
      <w:r>
        <w:rPr>
          <w:rFonts w:ascii="宋体" w:hAnsi="宋体"/>
          <w:szCs w:val="21"/>
        </w:rPr>
        <w:t>在评审过程中供应商应随时关注平台信息，在规定时间内答复评审小组发出的澄清、说明。未在规定时间内答复的，评审小组将按照评审办法作出最不利于该供应商的量化。</w:t>
      </w:r>
    </w:p>
    <w:p w14:paraId="66AD42F5">
      <w:pPr>
        <w:spacing w:line="400" w:lineRule="exact"/>
        <w:ind w:firstLine="420" w:firstLineChars="200"/>
        <w:rPr>
          <w:rFonts w:ascii="宋体" w:hAnsi="宋体"/>
          <w:szCs w:val="21"/>
        </w:rPr>
      </w:pPr>
      <w:r>
        <w:rPr>
          <w:szCs w:val="21"/>
        </w:rPr>
        <w:t>9</w:t>
      </w:r>
      <w:r>
        <w:rPr>
          <w:rFonts w:ascii="宋体" w:hAnsi="宋体"/>
          <w:szCs w:val="21"/>
        </w:rPr>
        <w:t>.</w:t>
      </w:r>
      <w:r>
        <w:rPr>
          <w:szCs w:val="21"/>
        </w:rPr>
        <w:t>7</w:t>
      </w:r>
      <w:r>
        <w:rPr>
          <w:rFonts w:ascii="宋体" w:hAnsi="宋体"/>
          <w:szCs w:val="21"/>
        </w:rPr>
        <w:t>如遇操作相关问题可拨打技术支持电话进行咨询，服务电话：</w:t>
      </w:r>
    </w:p>
    <w:p w14:paraId="2019CFD3">
      <w:pPr>
        <w:spacing w:line="400" w:lineRule="exact"/>
        <w:ind w:firstLine="420" w:firstLineChars="200"/>
        <w:rPr>
          <w:rFonts w:ascii="宋体" w:hAnsi="宋体"/>
          <w:szCs w:val="21"/>
        </w:rPr>
      </w:pPr>
      <w:r>
        <w:rPr>
          <w:rFonts w:ascii="宋体" w:hAnsi="宋体"/>
          <w:szCs w:val="21"/>
        </w:rPr>
        <w:t>电子招采平台：</w:t>
      </w:r>
      <w:r>
        <w:rPr>
          <w:spacing w:val="1"/>
          <w:kern w:val="0"/>
          <w:szCs w:val="21"/>
        </w:rPr>
        <w:t>0312</w:t>
      </w:r>
      <w:r>
        <w:rPr>
          <w:rFonts w:ascii="宋体" w:hAnsi="宋体"/>
          <w:szCs w:val="21"/>
        </w:rPr>
        <w:t>-</w:t>
      </w:r>
      <w:r>
        <w:rPr>
          <w:rFonts w:hint="eastAsia"/>
          <w:szCs w:val="21"/>
          <w:lang w:val="en-US" w:eastAsia="zh-CN"/>
        </w:rPr>
        <w:t>6736375</w:t>
      </w:r>
      <w:r>
        <w:rPr>
          <w:rFonts w:ascii="宋体" w:hAnsi="宋体"/>
          <w:szCs w:val="21"/>
        </w:rPr>
        <w:t>；</w:t>
      </w:r>
    </w:p>
    <w:p w14:paraId="1645CB4E">
      <w:pPr>
        <w:spacing w:line="400" w:lineRule="exact"/>
        <w:ind w:firstLine="420" w:firstLineChars="200"/>
        <w:rPr>
          <w:rFonts w:ascii="宋体" w:hAnsi="宋体"/>
          <w:szCs w:val="21"/>
        </w:rPr>
      </w:pPr>
      <w:r>
        <w:rPr>
          <w:rFonts w:ascii="宋体" w:hAnsi="宋体"/>
          <w:szCs w:val="21"/>
        </w:rPr>
        <w:t>河北交投</w:t>
      </w:r>
      <w:r>
        <w:rPr>
          <w:szCs w:val="21"/>
        </w:rPr>
        <w:t>CA</w:t>
      </w:r>
      <w:r>
        <w:rPr>
          <w:rFonts w:ascii="宋体" w:hAnsi="宋体"/>
          <w:szCs w:val="21"/>
        </w:rPr>
        <w:t>数字证书：</w:t>
      </w:r>
      <w:r>
        <w:rPr>
          <w:szCs w:val="21"/>
        </w:rPr>
        <w:t>400</w:t>
      </w:r>
      <w:r>
        <w:rPr>
          <w:rFonts w:ascii="宋体" w:hAnsi="宋体"/>
          <w:szCs w:val="21"/>
        </w:rPr>
        <w:t>-</w:t>
      </w:r>
      <w:r>
        <w:rPr>
          <w:szCs w:val="21"/>
        </w:rPr>
        <w:t>707</w:t>
      </w:r>
      <w:r>
        <w:rPr>
          <w:rFonts w:ascii="宋体" w:hAnsi="宋体"/>
          <w:szCs w:val="21"/>
        </w:rPr>
        <w:t>-</w:t>
      </w:r>
      <w:r>
        <w:rPr>
          <w:szCs w:val="21"/>
        </w:rPr>
        <w:t>3355</w:t>
      </w:r>
      <w:r>
        <w:rPr>
          <w:rFonts w:ascii="宋体" w:hAnsi="宋体"/>
          <w:szCs w:val="21"/>
        </w:rPr>
        <w:t>；</w:t>
      </w:r>
    </w:p>
    <w:p w14:paraId="5FD795D8">
      <w:pPr>
        <w:spacing w:line="400" w:lineRule="exact"/>
        <w:ind w:firstLine="420" w:firstLineChars="200"/>
        <w:rPr>
          <w:rFonts w:ascii="宋体" w:hAnsi="宋体"/>
          <w:szCs w:val="21"/>
        </w:rPr>
      </w:pPr>
      <w:r>
        <w:rPr>
          <w:rFonts w:ascii="宋体" w:hAnsi="宋体"/>
          <w:szCs w:val="21"/>
        </w:rPr>
        <w:t>注册审核：</w:t>
      </w:r>
      <w:r>
        <w:rPr>
          <w:spacing w:val="1"/>
          <w:kern w:val="0"/>
          <w:szCs w:val="21"/>
        </w:rPr>
        <w:t>0312</w:t>
      </w:r>
      <w:r>
        <w:rPr>
          <w:rFonts w:ascii="宋体" w:hAnsi="宋体"/>
          <w:szCs w:val="21"/>
        </w:rPr>
        <w:t>-</w:t>
      </w:r>
      <w:r>
        <w:rPr>
          <w:rFonts w:hint="eastAsia"/>
          <w:szCs w:val="21"/>
          <w:lang w:val="en-US" w:eastAsia="zh-CN"/>
        </w:rPr>
        <w:t>6736375</w:t>
      </w:r>
      <w:r>
        <w:rPr>
          <w:rFonts w:ascii="宋体" w:hAnsi="宋体"/>
          <w:szCs w:val="21"/>
        </w:rPr>
        <w:t>。</w:t>
      </w:r>
      <w:bookmarkEnd w:id="89"/>
    </w:p>
    <w:p w14:paraId="15EB37E7">
      <w:pPr>
        <w:rPr>
          <w:rFonts w:ascii="宋体" w:hAnsi="宋体"/>
        </w:rPr>
      </w:pPr>
      <w:r>
        <w:rPr>
          <w:rFonts w:ascii="宋体" w:hAnsi="宋体"/>
        </w:rPr>
        <w:br w:type="page"/>
      </w:r>
    </w:p>
    <w:p w14:paraId="41872F9C">
      <w:pPr>
        <w:rPr>
          <w:rFonts w:ascii="宋体" w:hAnsi="宋体"/>
          <w:b/>
          <w:bCs/>
          <w:szCs w:val="21"/>
        </w:rPr>
      </w:pPr>
    </w:p>
    <w:p w14:paraId="201E106A">
      <w:pPr>
        <w:pStyle w:val="108"/>
        <w:ind w:firstLine="0"/>
        <w:rPr>
          <w:rFonts w:ascii="宋体" w:hAnsi="宋体" w:eastAsia="宋体"/>
        </w:rPr>
      </w:pPr>
      <w:bookmarkStart w:id="91" w:name="_第二章_供应商须知"/>
      <w:bookmarkStart w:id="92" w:name="_Toc48146149"/>
    </w:p>
    <w:p w14:paraId="1DA21ED9">
      <w:pPr>
        <w:pStyle w:val="108"/>
        <w:rPr>
          <w:rFonts w:ascii="宋体" w:hAnsi="宋体" w:eastAsia="宋体"/>
        </w:rPr>
      </w:pPr>
    </w:p>
    <w:p w14:paraId="055217D7">
      <w:pPr>
        <w:pStyle w:val="108"/>
        <w:rPr>
          <w:rFonts w:ascii="宋体" w:hAnsi="宋体" w:eastAsia="宋体"/>
        </w:rPr>
      </w:pPr>
    </w:p>
    <w:p w14:paraId="507F2ADD">
      <w:pPr>
        <w:pStyle w:val="108"/>
        <w:rPr>
          <w:rFonts w:ascii="宋体" w:hAnsi="宋体" w:eastAsia="宋体"/>
        </w:rPr>
      </w:pPr>
    </w:p>
    <w:p w14:paraId="26D7CF8C">
      <w:pPr>
        <w:pStyle w:val="108"/>
        <w:rPr>
          <w:rFonts w:ascii="宋体" w:hAnsi="宋体" w:eastAsia="宋体"/>
        </w:rPr>
      </w:pPr>
    </w:p>
    <w:p w14:paraId="5CDD8729">
      <w:pPr>
        <w:pStyle w:val="108"/>
        <w:rPr>
          <w:rFonts w:ascii="宋体" w:hAnsi="宋体" w:eastAsia="宋体"/>
        </w:rPr>
      </w:pPr>
    </w:p>
    <w:p w14:paraId="1F34832F">
      <w:pPr>
        <w:pStyle w:val="108"/>
        <w:rPr>
          <w:rFonts w:ascii="宋体" w:hAnsi="宋体" w:eastAsia="宋体"/>
        </w:rPr>
      </w:pPr>
    </w:p>
    <w:p w14:paraId="76C05A3F">
      <w:pPr>
        <w:pStyle w:val="108"/>
        <w:rPr>
          <w:rFonts w:ascii="宋体" w:hAnsi="宋体" w:eastAsia="宋体"/>
        </w:rPr>
      </w:pPr>
    </w:p>
    <w:p w14:paraId="2D0AD197">
      <w:pPr>
        <w:pStyle w:val="108"/>
        <w:rPr>
          <w:rFonts w:ascii="宋体" w:hAnsi="宋体" w:eastAsia="宋体"/>
        </w:rPr>
      </w:pPr>
    </w:p>
    <w:p w14:paraId="03A21FC8">
      <w:pPr>
        <w:pStyle w:val="108"/>
        <w:rPr>
          <w:rFonts w:ascii="宋体" w:hAnsi="宋体" w:eastAsia="宋体"/>
        </w:rPr>
      </w:pPr>
    </w:p>
    <w:p w14:paraId="21E9C5E9">
      <w:pPr>
        <w:pStyle w:val="108"/>
        <w:rPr>
          <w:rFonts w:ascii="宋体" w:hAnsi="宋体" w:eastAsia="宋体"/>
        </w:rPr>
      </w:pPr>
    </w:p>
    <w:p w14:paraId="2C54CA50">
      <w:pPr>
        <w:pStyle w:val="108"/>
        <w:rPr>
          <w:rFonts w:ascii="宋体" w:hAnsi="宋体" w:eastAsia="宋体"/>
        </w:rPr>
      </w:pPr>
    </w:p>
    <w:p w14:paraId="7200CE93">
      <w:pPr>
        <w:pStyle w:val="108"/>
        <w:rPr>
          <w:rFonts w:ascii="宋体" w:hAnsi="宋体" w:eastAsia="宋体"/>
        </w:rPr>
      </w:pPr>
    </w:p>
    <w:p w14:paraId="21E4683D">
      <w:pPr>
        <w:pStyle w:val="108"/>
        <w:rPr>
          <w:rFonts w:ascii="宋体" w:hAnsi="宋体" w:eastAsia="宋体"/>
        </w:rPr>
      </w:pPr>
    </w:p>
    <w:p w14:paraId="2B42DA6D">
      <w:pPr>
        <w:pStyle w:val="108"/>
        <w:rPr>
          <w:rFonts w:ascii="宋体" w:hAnsi="宋体" w:eastAsia="宋体"/>
        </w:rPr>
      </w:pPr>
    </w:p>
    <w:p w14:paraId="48E95E24">
      <w:pPr>
        <w:pStyle w:val="108"/>
        <w:rPr>
          <w:rFonts w:ascii="宋体" w:hAnsi="宋体" w:eastAsia="宋体"/>
        </w:rPr>
      </w:pPr>
    </w:p>
    <w:p w14:paraId="658DC377">
      <w:pPr>
        <w:pStyle w:val="108"/>
        <w:rPr>
          <w:rFonts w:ascii="宋体" w:hAnsi="宋体" w:eastAsia="宋体"/>
        </w:rPr>
      </w:pPr>
    </w:p>
    <w:p w14:paraId="7429402D">
      <w:pPr>
        <w:pStyle w:val="2"/>
        <w:spacing w:before="260" w:after="260" w:line="415" w:lineRule="auto"/>
        <w:jc w:val="center"/>
        <w:rPr>
          <w:rFonts w:ascii="宋体" w:hAnsi="宋体"/>
        </w:rPr>
      </w:pPr>
      <w:bookmarkStart w:id="93" w:name="_Toc149140187"/>
      <w:r>
        <w:rPr>
          <w:rFonts w:ascii="宋体" w:hAnsi="宋体"/>
        </w:rPr>
        <w:t>第二章 供应商须知</w:t>
      </w:r>
      <w:bookmarkEnd w:id="91"/>
      <w:bookmarkEnd w:id="92"/>
      <w:bookmarkEnd w:id="93"/>
    </w:p>
    <w:p w14:paraId="1579512D">
      <w:pPr>
        <w:pStyle w:val="2"/>
        <w:spacing w:after="340" w:line="240" w:lineRule="auto"/>
        <w:jc w:val="center"/>
        <w:rPr>
          <w:rFonts w:ascii="宋体" w:hAnsi="宋体"/>
        </w:rPr>
      </w:pPr>
      <w:r>
        <w:rPr>
          <w:rFonts w:ascii="宋体" w:hAnsi="宋体"/>
          <w:sz w:val="32"/>
          <w:szCs w:val="32"/>
        </w:rPr>
        <w:br w:type="page"/>
      </w:r>
      <w:bookmarkStart w:id="94" w:name="_Toc149140188"/>
      <w:bookmarkStart w:id="95" w:name="_Toc143102133"/>
      <w:r>
        <w:rPr>
          <w:rFonts w:ascii="宋体" w:hAnsi="宋体"/>
          <w:bCs w:val="0"/>
          <w:kern w:val="2"/>
          <w:sz w:val="32"/>
          <w:szCs w:val="20"/>
        </w:rPr>
        <w:t>供应商须知前附表</w:t>
      </w:r>
      <w:bookmarkEnd w:id="94"/>
      <w:bookmarkEnd w:id="95"/>
      <w:bookmarkStart w:id="96" w:name="_Hlk531337468"/>
    </w:p>
    <w:bookmarkEnd w:id="96"/>
    <w:tbl>
      <w:tblPr>
        <w:tblStyle w:val="40"/>
        <w:tblW w:w="9322" w:type="dxa"/>
        <w:tblInd w:w="0" w:type="dxa"/>
        <w:tblLayout w:type="fixed"/>
        <w:tblCellMar>
          <w:top w:w="0" w:type="dxa"/>
          <w:left w:w="108" w:type="dxa"/>
          <w:bottom w:w="0" w:type="dxa"/>
          <w:right w:w="108" w:type="dxa"/>
        </w:tblCellMar>
      </w:tblPr>
      <w:tblGrid>
        <w:gridCol w:w="1271"/>
        <w:gridCol w:w="3164"/>
        <w:gridCol w:w="4887"/>
      </w:tblGrid>
      <w:tr w14:paraId="6866F691">
        <w:tblPrEx>
          <w:tblCellMar>
            <w:top w:w="0" w:type="dxa"/>
            <w:left w:w="108" w:type="dxa"/>
            <w:bottom w:w="0" w:type="dxa"/>
            <w:right w:w="108" w:type="dxa"/>
          </w:tblCellMar>
        </w:tblPrEx>
        <w:trPr>
          <w:cantSplit/>
          <w:tblHeader/>
        </w:trPr>
        <w:tc>
          <w:tcPr>
            <w:tcW w:w="1271" w:type="dxa"/>
            <w:tcBorders>
              <w:top w:val="single" w:color="auto" w:sz="4" w:space="0"/>
              <w:left w:val="single" w:color="auto" w:sz="4" w:space="0"/>
              <w:bottom w:val="single" w:color="auto" w:sz="4" w:space="0"/>
              <w:right w:val="single" w:color="auto" w:sz="4" w:space="0"/>
            </w:tcBorders>
            <w:vAlign w:val="center"/>
          </w:tcPr>
          <w:p w14:paraId="2F9106C7">
            <w:pPr>
              <w:spacing w:line="440" w:lineRule="exact"/>
              <w:jc w:val="center"/>
              <w:rPr>
                <w:rFonts w:ascii="宋体" w:hAnsi="宋体"/>
                <w:bCs/>
              </w:rPr>
            </w:pPr>
            <w:r>
              <w:rPr>
                <w:rFonts w:ascii="宋体" w:hAnsi="宋体"/>
                <w:bCs/>
              </w:rPr>
              <w:t>条款号</w:t>
            </w:r>
          </w:p>
        </w:tc>
        <w:tc>
          <w:tcPr>
            <w:tcW w:w="3164" w:type="dxa"/>
            <w:tcBorders>
              <w:top w:val="single" w:color="auto" w:sz="4" w:space="0"/>
              <w:left w:val="single" w:color="auto" w:sz="4" w:space="0"/>
              <w:bottom w:val="single" w:color="auto" w:sz="4" w:space="0"/>
              <w:right w:val="single" w:color="auto" w:sz="4" w:space="0"/>
            </w:tcBorders>
            <w:vAlign w:val="center"/>
          </w:tcPr>
          <w:p w14:paraId="6125FBD3">
            <w:pPr>
              <w:spacing w:line="440" w:lineRule="exact"/>
              <w:jc w:val="center"/>
              <w:rPr>
                <w:rFonts w:ascii="宋体" w:hAnsi="宋体"/>
                <w:bCs/>
              </w:rPr>
            </w:pPr>
            <w:r>
              <w:rPr>
                <w:rFonts w:ascii="宋体" w:hAnsi="宋体"/>
                <w:bCs/>
              </w:rPr>
              <w:t>条款内容</w:t>
            </w:r>
          </w:p>
        </w:tc>
        <w:tc>
          <w:tcPr>
            <w:tcW w:w="4887" w:type="dxa"/>
            <w:tcBorders>
              <w:top w:val="single" w:color="auto" w:sz="4" w:space="0"/>
              <w:left w:val="single" w:color="auto" w:sz="4" w:space="0"/>
              <w:bottom w:val="single" w:color="auto" w:sz="4" w:space="0"/>
              <w:right w:val="single" w:color="auto" w:sz="4" w:space="0"/>
            </w:tcBorders>
            <w:vAlign w:val="center"/>
          </w:tcPr>
          <w:p w14:paraId="0407809E">
            <w:pPr>
              <w:spacing w:line="440" w:lineRule="exact"/>
              <w:jc w:val="center"/>
              <w:rPr>
                <w:rFonts w:ascii="宋体" w:hAnsi="宋体"/>
                <w:bCs/>
              </w:rPr>
            </w:pPr>
            <w:r>
              <w:rPr>
                <w:rFonts w:ascii="宋体" w:hAnsi="宋体"/>
                <w:bCs/>
              </w:rPr>
              <w:t>编列内容</w:t>
            </w:r>
          </w:p>
        </w:tc>
      </w:tr>
      <w:tr w14:paraId="5216E079">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27D7FB21">
            <w:pPr>
              <w:spacing w:line="440" w:lineRule="exact"/>
              <w:jc w:val="center"/>
              <w:rPr>
                <w:rFonts w:ascii="宋体" w:hAnsi="宋体"/>
                <w:bCs/>
              </w:rPr>
            </w:pPr>
            <w:r>
              <w:rPr>
                <w:bCs/>
              </w:rPr>
              <w:t>1</w:t>
            </w:r>
            <w:r>
              <w:rPr>
                <w:rFonts w:ascii="宋体" w:hAnsi="宋体"/>
                <w:bCs/>
              </w:rPr>
              <w:t>.</w:t>
            </w:r>
            <w:r>
              <w:rPr>
                <w:bCs/>
              </w:rPr>
              <w:t>7</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0C910B86">
            <w:pPr>
              <w:jc w:val="center"/>
              <w:rPr>
                <w:rFonts w:ascii="宋体" w:hAnsi="宋体"/>
                <w:bCs/>
              </w:rPr>
            </w:pPr>
            <w:r>
              <w:rPr>
                <w:rFonts w:ascii="宋体" w:hAnsi="宋体"/>
                <w:bCs/>
              </w:rPr>
              <w:t>踏勘现场</w:t>
            </w:r>
          </w:p>
        </w:tc>
        <w:tc>
          <w:tcPr>
            <w:tcW w:w="4887" w:type="dxa"/>
            <w:tcBorders>
              <w:top w:val="single" w:color="auto" w:sz="4" w:space="0"/>
              <w:left w:val="single" w:color="auto" w:sz="4" w:space="0"/>
              <w:bottom w:val="single" w:color="auto" w:sz="4" w:space="0"/>
              <w:right w:val="single" w:color="auto" w:sz="4" w:space="0"/>
            </w:tcBorders>
            <w:vAlign w:val="center"/>
          </w:tcPr>
          <w:p w14:paraId="58D7A536">
            <w:pPr>
              <w:topLinePunct/>
              <w:spacing w:line="400" w:lineRule="exact"/>
              <w:rPr>
                <w:bCs/>
                <w:szCs w:val="20"/>
              </w:rPr>
            </w:pPr>
            <w:r>
              <w:rPr>
                <w:rFonts w:ascii="Segoe UI Symbol" w:hAnsi="Segoe UI Symbol" w:cs="Segoe UI Symbol"/>
                <w:bCs/>
                <w:sz w:val="32"/>
                <w:szCs w:val="20"/>
              </w:rPr>
              <w:t>☑</w:t>
            </w:r>
            <w:r>
              <w:rPr>
                <w:bCs/>
                <w:szCs w:val="21"/>
              </w:rPr>
              <w:t>不组织。</w:t>
            </w:r>
          </w:p>
          <w:p w14:paraId="2578163C">
            <w:pPr>
              <w:topLinePunct/>
              <w:spacing w:line="400" w:lineRule="exact"/>
              <w:rPr>
                <w:bCs/>
                <w:szCs w:val="21"/>
              </w:rPr>
            </w:pPr>
            <w:r>
              <w:rPr>
                <w:bCs/>
                <w:sz w:val="32"/>
                <w:szCs w:val="20"/>
              </w:rPr>
              <w:t>□</w:t>
            </w:r>
            <w:r>
              <w:rPr>
                <w:bCs/>
                <w:szCs w:val="21"/>
              </w:rPr>
              <w:t>组织，踏勘时间：</w:t>
            </w:r>
          </w:p>
          <w:p w14:paraId="151E0967">
            <w:pPr>
              <w:topLinePunct/>
              <w:spacing w:line="400" w:lineRule="exact"/>
              <w:ind w:firstLine="420" w:firstLineChars="200"/>
              <w:rPr>
                <w:rFonts w:ascii="宋体" w:hAnsi="宋体"/>
                <w:bCs/>
                <w:szCs w:val="21"/>
              </w:rPr>
            </w:pPr>
            <w:r>
              <w:rPr>
                <w:bCs/>
                <w:szCs w:val="21"/>
              </w:rPr>
              <w:t>踏勘集中地点</w:t>
            </w:r>
            <w:r>
              <w:rPr>
                <w:rFonts w:ascii="宋体" w:hAnsi="宋体"/>
                <w:bCs/>
                <w:szCs w:val="21"/>
              </w:rPr>
              <w:t>：</w:t>
            </w:r>
          </w:p>
        </w:tc>
      </w:tr>
      <w:tr w14:paraId="224058A5">
        <w:tblPrEx>
          <w:tblCellMar>
            <w:top w:w="0" w:type="dxa"/>
            <w:left w:w="108" w:type="dxa"/>
            <w:bottom w:w="0" w:type="dxa"/>
            <w:right w:w="108"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vAlign w:val="center"/>
          </w:tcPr>
          <w:p w14:paraId="31BE05B9">
            <w:pPr>
              <w:spacing w:line="440" w:lineRule="exact"/>
              <w:jc w:val="center"/>
              <w:rPr>
                <w:rFonts w:ascii="宋体" w:hAnsi="宋体"/>
                <w:bCs/>
              </w:rPr>
            </w:pPr>
            <w:r>
              <w:rPr>
                <w:bCs/>
                <w:szCs w:val="21"/>
              </w:rPr>
              <w:t>1</w:t>
            </w:r>
            <w:r>
              <w:rPr>
                <w:rFonts w:ascii="宋体" w:hAnsi="宋体"/>
                <w:bCs/>
                <w:szCs w:val="21"/>
              </w:rPr>
              <w:t>.</w:t>
            </w:r>
            <w:r>
              <w:rPr>
                <w:bCs/>
                <w:szCs w:val="21"/>
              </w:rPr>
              <w:t>8</w:t>
            </w:r>
          </w:p>
        </w:tc>
        <w:tc>
          <w:tcPr>
            <w:tcW w:w="3164" w:type="dxa"/>
            <w:tcBorders>
              <w:top w:val="single" w:color="auto" w:sz="4" w:space="0"/>
              <w:left w:val="single" w:color="auto" w:sz="4" w:space="0"/>
              <w:bottom w:val="single" w:color="auto" w:sz="4" w:space="0"/>
              <w:right w:val="single" w:color="auto" w:sz="4" w:space="0"/>
            </w:tcBorders>
            <w:vAlign w:val="center"/>
          </w:tcPr>
          <w:p w14:paraId="0709C4D3">
            <w:pPr>
              <w:spacing w:line="440" w:lineRule="exact"/>
              <w:jc w:val="center"/>
              <w:rPr>
                <w:rFonts w:ascii="宋体" w:hAnsi="宋体"/>
                <w:bCs/>
              </w:rPr>
            </w:pPr>
            <w:r>
              <w:rPr>
                <w:rFonts w:ascii="宋体" w:hAnsi="宋体"/>
                <w:bCs/>
                <w:szCs w:val="21"/>
              </w:rPr>
              <w:t>采购预备会</w:t>
            </w:r>
          </w:p>
        </w:tc>
        <w:tc>
          <w:tcPr>
            <w:tcW w:w="4887" w:type="dxa"/>
            <w:tcBorders>
              <w:top w:val="single" w:color="auto" w:sz="4" w:space="0"/>
              <w:left w:val="single" w:color="auto" w:sz="4" w:space="0"/>
              <w:bottom w:val="single" w:color="auto" w:sz="4" w:space="0"/>
              <w:right w:val="single" w:color="auto" w:sz="4" w:space="0"/>
            </w:tcBorders>
            <w:vAlign w:val="center"/>
          </w:tcPr>
          <w:p w14:paraId="5DB25840">
            <w:pPr>
              <w:topLinePunct/>
              <w:spacing w:line="400" w:lineRule="exact"/>
              <w:rPr>
                <w:bCs/>
                <w:szCs w:val="21"/>
              </w:rPr>
            </w:pPr>
            <w:r>
              <w:rPr>
                <w:rFonts w:ascii="Segoe UI Symbol" w:hAnsi="Segoe UI Symbol" w:cs="Segoe UI Symbol"/>
                <w:bCs/>
                <w:sz w:val="32"/>
                <w:szCs w:val="20"/>
              </w:rPr>
              <w:t>☑</w:t>
            </w:r>
            <w:r>
              <w:rPr>
                <w:bCs/>
                <w:szCs w:val="21"/>
              </w:rPr>
              <w:t>不召开</w:t>
            </w:r>
          </w:p>
          <w:p w14:paraId="0C7BD6EF">
            <w:pPr>
              <w:spacing w:line="440" w:lineRule="exact"/>
              <w:rPr>
                <w:bCs/>
                <w:szCs w:val="21"/>
              </w:rPr>
            </w:pPr>
            <w:r>
              <w:rPr>
                <w:bCs/>
                <w:sz w:val="32"/>
                <w:szCs w:val="20"/>
              </w:rPr>
              <w:t>□</w:t>
            </w:r>
            <w:r>
              <w:rPr>
                <w:bCs/>
                <w:szCs w:val="21"/>
              </w:rPr>
              <w:t>召开，召开时间：</w:t>
            </w:r>
          </w:p>
          <w:p w14:paraId="193C6F55">
            <w:pPr>
              <w:topLinePunct/>
              <w:spacing w:line="400" w:lineRule="exact"/>
              <w:rPr>
                <w:rFonts w:ascii="宋体" w:hAnsi="宋体"/>
                <w:bCs/>
                <w:szCs w:val="21"/>
              </w:rPr>
            </w:pPr>
            <w:r>
              <w:rPr>
                <w:bCs/>
                <w:sz w:val="24"/>
                <w:szCs w:val="21"/>
              </w:rPr>
              <w:t xml:space="preserve">     </w:t>
            </w:r>
            <w:r>
              <w:rPr>
                <w:bCs/>
                <w:szCs w:val="21"/>
              </w:rPr>
              <w:t xml:space="preserve">  召开地点：</w:t>
            </w:r>
          </w:p>
        </w:tc>
      </w:tr>
      <w:tr w14:paraId="5E931A0D">
        <w:tblPrEx>
          <w:tblCellMar>
            <w:top w:w="0" w:type="dxa"/>
            <w:left w:w="108" w:type="dxa"/>
            <w:bottom w:w="0" w:type="dxa"/>
            <w:right w:w="108" w:type="dxa"/>
          </w:tblCellMar>
        </w:tblPrEx>
        <w:trPr>
          <w:trHeight w:val="667" w:hRule="atLeast"/>
        </w:trPr>
        <w:tc>
          <w:tcPr>
            <w:tcW w:w="1271" w:type="dxa"/>
            <w:tcBorders>
              <w:top w:val="single" w:color="auto" w:sz="4" w:space="0"/>
              <w:left w:val="single" w:color="auto" w:sz="4" w:space="0"/>
              <w:bottom w:val="single" w:color="auto" w:sz="4" w:space="0"/>
              <w:right w:val="single" w:color="auto" w:sz="4" w:space="0"/>
            </w:tcBorders>
            <w:vAlign w:val="center"/>
          </w:tcPr>
          <w:p w14:paraId="399CE742">
            <w:pPr>
              <w:spacing w:line="440" w:lineRule="exact"/>
              <w:jc w:val="center"/>
              <w:rPr>
                <w:rFonts w:ascii="宋体" w:hAnsi="宋体"/>
                <w:bCs/>
              </w:rPr>
            </w:pPr>
            <w:r>
              <w:rPr>
                <w:bCs/>
              </w:rPr>
              <w:t>1</w:t>
            </w:r>
            <w:r>
              <w:rPr>
                <w:rFonts w:ascii="宋体" w:hAnsi="宋体"/>
                <w:bCs/>
              </w:rPr>
              <w:t>.</w:t>
            </w:r>
            <w:r>
              <w:rPr>
                <w:bCs/>
              </w:rPr>
              <w:t>9</w:t>
            </w:r>
          </w:p>
        </w:tc>
        <w:tc>
          <w:tcPr>
            <w:tcW w:w="3164" w:type="dxa"/>
            <w:tcBorders>
              <w:top w:val="single" w:color="auto" w:sz="4" w:space="0"/>
              <w:left w:val="single" w:color="auto" w:sz="4" w:space="0"/>
              <w:bottom w:val="single" w:color="auto" w:sz="4" w:space="0"/>
              <w:right w:val="single" w:color="auto" w:sz="4" w:space="0"/>
            </w:tcBorders>
            <w:vAlign w:val="center"/>
          </w:tcPr>
          <w:p w14:paraId="1D788589">
            <w:pPr>
              <w:spacing w:line="440" w:lineRule="exact"/>
              <w:jc w:val="center"/>
              <w:rPr>
                <w:rFonts w:ascii="宋体" w:hAnsi="宋体"/>
                <w:bCs/>
              </w:rPr>
            </w:pPr>
            <w:r>
              <w:rPr>
                <w:rFonts w:ascii="宋体" w:hAnsi="宋体"/>
                <w:bCs/>
                <w:szCs w:val="21"/>
              </w:rPr>
              <w:t>分包（</w:t>
            </w:r>
            <w:r>
              <w:rPr>
                <w:bCs/>
                <w:szCs w:val="21"/>
              </w:rPr>
              <w:t>A</w:t>
            </w:r>
            <w:r>
              <w:rPr>
                <w:rFonts w:ascii="宋体" w:hAnsi="宋体"/>
                <w:bCs/>
                <w:szCs w:val="21"/>
              </w:rPr>
              <w:t>、</w:t>
            </w:r>
            <w:r>
              <w:rPr>
                <w:bCs/>
                <w:szCs w:val="21"/>
              </w:rPr>
              <w:t>C</w:t>
            </w:r>
            <w:r>
              <w:rPr>
                <w:rFonts w:ascii="宋体" w:hAnsi="宋体"/>
                <w:bCs/>
                <w:szCs w:val="21"/>
              </w:rPr>
              <w:t>）</w:t>
            </w:r>
          </w:p>
        </w:tc>
        <w:tc>
          <w:tcPr>
            <w:tcW w:w="4887" w:type="dxa"/>
            <w:tcBorders>
              <w:top w:val="single" w:color="auto" w:sz="4" w:space="0"/>
              <w:left w:val="single" w:color="auto" w:sz="4" w:space="0"/>
              <w:bottom w:val="single" w:color="auto" w:sz="4" w:space="0"/>
              <w:right w:val="single" w:color="auto" w:sz="4" w:space="0"/>
            </w:tcBorders>
            <w:vAlign w:val="center"/>
          </w:tcPr>
          <w:p w14:paraId="0CD8B4B3">
            <w:pPr>
              <w:topLinePunct/>
              <w:spacing w:line="400" w:lineRule="exact"/>
              <w:rPr>
                <w:rFonts w:ascii="宋体" w:hAnsi="宋体"/>
                <w:bCs/>
                <w:szCs w:val="21"/>
              </w:rPr>
            </w:pPr>
            <w:r>
              <w:rPr>
                <w:rFonts w:ascii="宋体" w:hAnsi="宋体"/>
                <w:bCs/>
                <w:szCs w:val="21"/>
              </w:rPr>
              <w:t>允许分包的内容：</w:t>
            </w:r>
            <w:r>
              <w:rPr>
                <w:rFonts w:hint="eastAsia" w:ascii="宋体" w:hAnsi="宋体"/>
                <w:bCs/>
                <w:szCs w:val="21"/>
              </w:rPr>
              <w:t>不允许。</w:t>
            </w:r>
          </w:p>
          <w:p w14:paraId="389DD6D6">
            <w:pPr>
              <w:topLinePunct/>
              <w:spacing w:line="400" w:lineRule="exact"/>
              <w:rPr>
                <w:rFonts w:ascii="宋体" w:hAnsi="宋体"/>
                <w:bCs/>
                <w:sz w:val="24"/>
                <w:szCs w:val="21"/>
              </w:rPr>
            </w:pPr>
            <w:r>
              <w:rPr>
                <w:rFonts w:ascii="宋体" w:hAnsi="宋体"/>
                <w:bCs/>
                <w:szCs w:val="21"/>
              </w:rPr>
              <w:t>对分包供应商的要求</w:t>
            </w:r>
            <w:r>
              <w:rPr>
                <w:rFonts w:ascii="宋体" w:hAnsi="宋体"/>
                <w:bCs/>
                <w:sz w:val="24"/>
                <w:szCs w:val="21"/>
              </w:rPr>
              <w:t>：</w:t>
            </w:r>
          </w:p>
        </w:tc>
      </w:tr>
      <w:tr w14:paraId="3D3D3228">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5179823B">
            <w:pPr>
              <w:spacing w:line="440" w:lineRule="exact"/>
              <w:jc w:val="center"/>
              <w:rPr>
                <w:rFonts w:ascii="宋体" w:hAnsi="宋体"/>
                <w:bCs/>
              </w:rPr>
            </w:pPr>
            <w:r>
              <w:rPr>
                <w:bCs/>
                <w:szCs w:val="21"/>
              </w:rPr>
              <w:t>1</w:t>
            </w:r>
            <w:r>
              <w:rPr>
                <w:rFonts w:ascii="宋体" w:hAnsi="宋体"/>
                <w:bCs/>
                <w:szCs w:val="21"/>
              </w:rPr>
              <w:t>.</w:t>
            </w:r>
            <w:r>
              <w:rPr>
                <w:bCs/>
                <w:szCs w:val="21"/>
              </w:rPr>
              <w:t>10</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1C14180D">
            <w:pPr>
              <w:spacing w:line="440" w:lineRule="exact"/>
              <w:jc w:val="center"/>
              <w:rPr>
                <w:rFonts w:ascii="宋体" w:hAnsi="宋体"/>
                <w:bCs/>
              </w:rPr>
            </w:pPr>
            <w:r>
              <w:rPr>
                <w:rFonts w:ascii="宋体" w:hAnsi="宋体"/>
                <w:bCs/>
                <w:szCs w:val="21"/>
              </w:rPr>
              <w:t>对非关键条款的偏差</w:t>
            </w:r>
          </w:p>
        </w:tc>
        <w:tc>
          <w:tcPr>
            <w:tcW w:w="4887" w:type="dxa"/>
            <w:tcBorders>
              <w:top w:val="single" w:color="auto" w:sz="4" w:space="0"/>
              <w:left w:val="single" w:color="auto" w:sz="4" w:space="0"/>
              <w:bottom w:val="single" w:color="auto" w:sz="4" w:space="0"/>
              <w:right w:val="single" w:color="auto" w:sz="4" w:space="0"/>
            </w:tcBorders>
            <w:vAlign w:val="center"/>
          </w:tcPr>
          <w:p w14:paraId="7699AFDA">
            <w:pPr>
              <w:keepNext w:val="0"/>
              <w:keepLines w:val="0"/>
              <w:pageBreakBefore w:val="0"/>
              <w:widowControl w:val="0"/>
              <w:kinsoku/>
              <w:wordWrap/>
              <w:overflowPunct/>
              <w:topLinePunct/>
              <w:bidi w:val="0"/>
              <w:adjustRightInd/>
              <w:snapToGrid/>
              <w:spacing w:line="400" w:lineRule="exact"/>
              <w:textAlignment w:val="auto"/>
              <w:rPr>
                <w:rFonts w:ascii="宋体" w:hAnsi="宋体"/>
                <w:bCs/>
                <w:szCs w:val="21"/>
              </w:rPr>
            </w:pPr>
            <w:r>
              <w:rPr>
                <w:rFonts w:ascii="宋体" w:hAnsi="宋体"/>
                <w:bCs/>
                <w:szCs w:val="21"/>
              </w:rPr>
              <w:t>允许偏差的非关键条款：</w:t>
            </w:r>
          </w:p>
          <w:p w14:paraId="0DFF8B69">
            <w:pPr>
              <w:pStyle w:val="15"/>
              <w:keepNext w:val="0"/>
              <w:keepLines w:val="0"/>
              <w:pageBreakBefore w:val="0"/>
              <w:widowControl w:val="0"/>
              <w:kinsoku/>
              <w:wordWrap/>
              <w:overflowPunct/>
              <w:bidi w:val="0"/>
              <w:adjustRightInd/>
              <w:snapToGrid/>
              <w:spacing w:line="400" w:lineRule="exact"/>
              <w:textAlignment w:val="auto"/>
              <w:rPr>
                <w:sz w:val="21"/>
                <w:szCs w:val="21"/>
                <w:u w:val="single"/>
                <w:lang w:eastAsia="zh-CN"/>
              </w:rPr>
            </w:pPr>
            <w:r>
              <w:rPr>
                <w:rFonts w:hint="eastAsia"/>
                <w:sz w:val="21"/>
                <w:szCs w:val="21"/>
                <w:u w:val="single"/>
                <w:lang w:eastAsia="zh-CN"/>
              </w:rPr>
              <w:t>（1）方案不够完善；</w:t>
            </w:r>
          </w:p>
          <w:p w14:paraId="35F52F64">
            <w:pPr>
              <w:pStyle w:val="15"/>
              <w:keepNext w:val="0"/>
              <w:keepLines w:val="0"/>
              <w:pageBreakBefore w:val="0"/>
              <w:widowControl w:val="0"/>
              <w:kinsoku/>
              <w:wordWrap/>
              <w:overflowPunct/>
              <w:bidi w:val="0"/>
              <w:adjustRightInd/>
              <w:snapToGrid/>
              <w:spacing w:line="400" w:lineRule="exact"/>
              <w:textAlignment w:val="auto"/>
              <w:rPr>
                <w:sz w:val="21"/>
                <w:szCs w:val="21"/>
                <w:u w:val="single"/>
                <w:lang w:eastAsia="zh-CN"/>
              </w:rPr>
            </w:pPr>
            <w:r>
              <w:rPr>
                <w:rFonts w:hint="eastAsia"/>
                <w:sz w:val="21"/>
                <w:szCs w:val="21"/>
                <w:u w:val="single"/>
                <w:lang w:eastAsia="zh-CN"/>
              </w:rPr>
              <w:t>（2）响应文件页码不连续、个别文字有遗漏错误等不影响响应文件实质性内容的偏差。</w:t>
            </w:r>
          </w:p>
          <w:p w14:paraId="5F327431">
            <w:pPr>
              <w:keepNext w:val="0"/>
              <w:keepLines w:val="0"/>
              <w:pageBreakBefore w:val="0"/>
              <w:widowControl w:val="0"/>
              <w:kinsoku/>
              <w:wordWrap/>
              <w:overflowPunct/>
              <w:topLinePunct/>
              <w:bidi w:val="0"/>
              <w:adjustRightInd/>
              <w:snapToGrid/>
              <w:spacing w:line="400" w:lineRule="exact"/>
              <w:textAlignment w:val="auto"/>
              <w:rPr>
                <w:rFonts w:ascii="宋体" w:hAnsi="宋体"/>
                <w:bCs/>
                <w:kern w:val="0"/>
              </w:rPr>
            </w:pPr>
            <w:r>
              <w:rPr>
                <w:rFonts w:ascii="宋体" w:hAnsi="宋体"/>
                <w:bCs/>
                <w:szCs w:val="21"/>
              </w:rPr>
              <w:t>允许偏差的项数：</w:t>
            </w:r>
            <w:r>
              <w:rPr>
                <w:rFonts w:ascii="宋体" w:hAnsi="宋体"/>
                <w:bCs/>
                <w:kern w:val="0"/>
                <w:szCs w:val="21"/>
                <w:u w:val="single"/>
              </w:rPr>
              <w:t xml:space="preserve"> </w:t>
            </w:r>
            <w:r>
              <w:rPr>
                <w:rFonts w:hint="eastAsia" w:ascii="宋体" w:hAnsi="宋体"/>
                <w:bCs/>
                <w:kern w:val="0"/>
                <w:szCs w:val="21"/>
                <w:u w:val="single"/>
              </w:rPr>
              <w:t>2</w:t>
            </w:r>
            <w:r>
              <w:rPr>
                <w:rFonts w:ascii="宋体" w:hAnsi="宋体"/>
                <w:bCs/>
                <w:kern w:val="0"/>
                <w:szCs w:val="21"/>
                <w:u w:val="single"/>
              </w:rPr>
              <w:t xml:space="preserve"> </w:t>
            </w:r>
            <w:r>
              <w:rPr>
                <w:rFonts w:ascii="宋体" w:hAnsi="宋体"/>
                <w:bCs/>
                <w:szCs w:val="21"/>
              </w:rPr>
              <w:t>项</w:t>
            </w:r>
          </w:p>
        </w:tc>
      </w:tr>
      <w:tr w14:paraId="429A35A2">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1D39CB00">
            <w:pPr>
              <w:spacing w:line="440" w:lineRule="exact"/>
              <w:jc w:val="center"/>
              <w:rPr>
                <w:rFonts w:ascii="宋体" w:hAnsi="宋体"/>
                <w:bCs/>
              </w:rPr>
            </w:pPr>
            <w:r>
              <w:rPr>
                <w:bCs/>
              </w:rPr>
              <w:t>2</w:t>
            </w:r>
            <w:r>
              <w:rPr>
                <w:rFonts w:ascii="宋体" w:hAnsi="宋体"/>
                <w:bCs/>
              </w:rPr>
              <w:t>.</w:t>
            </w:r>
            <w:r>
              <w:rPr>
                <w:bCs/>
              </w:rPr>
              <w:t>1</w:t>
            </w:r>
            <w:r>
              <w:rPr>
                <w:rFonts w:ascii="宋体" w:hAnsi="宋体"/>
                <w:bCs/>
              </w:rPr>
              <w:t>（</w:t>
            </w:r>
            <w:r>
              <w:rPr>
                <w:bCs/>
              </w:rPr>
              <w:t>7</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77742D5D">
            <w:pPr>
              <w:spacing w:line="440" w:lineRule="exact"/>
              <w:jc w:val="center"/>
              <w:rPr>
                <w:rFonts w:ascii="宋体" w:hAnsi="宋体"/>
                <w:bCs/>
              </w:rPr>
            </w:pPr>
            <w:r>
              <w:rPr>
                <w:rFonts w:ascii="宋体" w:hAnsi="宋体"/>
                <w:bCs/>
              </w:rPr>
              <w:t>构成采购文件的其他资料</w:t>
            </w:r>
          </w:p>
        </w:tc>
        <w:tc>
          <w:tcPr>
            <w:tcW w:w="4887" w:type="dxa"/>
            <w:tcBorders>
              <w:top w:val="single" w:color="auto" w:sz="4" w:space="0"/>
              <w:left w:val="single" w:color="auto" w:sz="4" w:space="0"/>
              <w:bottom w:val="single" w:color="auto" w:sz="4" w:space="0"/>
              <w:right w:val="single" w:color="auto" w:sz="4" w:space="0"/>
            </w:tcBorders>
            <w:vAlign w:val="center"/>
          </w:tcPr>
          <w:p w14:paraId="0919A179">
            <w:pPr>
              <w:spacing w:line="440" w:lineRule="exact"/>
              <w:rPr>
                <w:rFonts w:ascii="宋体" w:hAnsi="宋体"/>
                <w:bCs/>
              </w:rPr>
            </w:pPr>
            <w:r>
              <w:rPr>
                <w:rFonts w:ascii="宋体" w:hAnsi="宋体"/>
                <w:bCs/>
                <w:szCs w:val="21"/>
              </w:rPr>
              <w:t>资料名称：</w:t>
            </w:r>
            <w:r>
              <w:rPr>
                <w:rFonts w:hint="eastAsia" w:ascii="宋体" w:hAnsi="宋体"/>
                <w:bCs/>
                <w:szCs w:val="21"/>
              </w:rPr>
              <w:t>无</w:t>
            </w:r>
          </w:p>
        </w:tc>
      </w:tr>
      <w:tr w14:paraId="6C766EB7">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C2D521B">
            <w:pPr>
              <w:spacing w:line="440" w:lineRule="exact"/>
              <w:jc w:val="center"/>
              <w:rPr>
                <w:rFonts w:ascii="宋体" w:hAnsi="宋体"/>
                <w:bCs/>
              </w:rPr>
            </w:pPr>
            <w:r>
              <w:rPr>
                <w:bCs/>
              </w:rPr>
              <w:t>2</w:t>
            </w:r>
            <w:r>
              <w:rPr>
                <w:rFonts w:ascii="宋体" w:hAnsi="宋体"/>
                <w:bCs/>
              </w:rPr>
              <w:t>.</w:t>
            </w:r>
            <w:r>
              <w:rPr>
                <w:bCs/>
              </w:rPr>
              <w:t>2</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3FB11DD1">
            <w:pPr>
              <w:jc w:val="center"/>
              <w:rPr>
                <w:rFonts w:ascii="宋体" w:hAnsi="宋体"/>
                <w:bCs/>
              </w:rPr>
            </w:pPr>
            <w:r>
              <w:rPr>
                <w:rFonts w:ascii="宋体" w:hAnsi="宋体"/>
                <w:bCs/>
              </w:rPr>
              <w:t>供应商要求澄清采购文件的时间</w:t>
            </w:r>
          </w:p>
        </w:tc>
        <w:tc>
          <w:tcPr>
            <w:tcW w:w="4887" w:type="dxa"/>
            <w:tcBorders>
              <w:top w:val="single" w:color="auto" w:sz="4" w:space="0"/>
              <w:left w:val="single" w:color="auto" w:sz="4" w:space="0"/>
              <w:bottom w:val="single" w:color="auto" w:sz="4" w:space="0"/>
              <w:right w:val="single" w:color="auto" w:sz="4" w:space="0"/>
            </w:tcBorders>
            <w:vAlign w:val="center"/>
          </w:tcPr>
          <w:p w14:paraId="47A04C75">
            <w:pPr>
              <w:spacing w:line="440" w:lineRule="exact"/>
              <w:rPr>
                <w:rFonts w:ascii="宋体" w:hAnsi="宋体"/>
                <w:bCs/>
                <w:szCs w:val="21"/>
              </w:rPr>
            </w:pPr>
            <w:r>
              <w:rPr>
                <w:rFonts w:ascii="宋体" w:hAnsi="宋体"/>
                <w:bCs/>
                <w:szCs w:val="21"/>
              </w:rPr>
              <w:t>截止时间：</w:t>
            </w:r>
            <w:r>
              <w:rPr>
                <w:rFonts w:hint="eastAsia"/>
                <w:bCs/>
                <w:szCs w:val="21"/>
              </w:rPr>
              <w:t>递交响应文件截止之日3天前。</w:t>
            </w:r>
          </w:p>
          <w:p w14:paraId="3B39DBAC">
            <w:pPr>
              <w:spacing w:line="440" w:lineRule="exact"/>
              <w:rPr>
                <w:rFonts w:ascii="宋体" w:hAnsi="宋体"/>
                <w:bCs/>
              </w:rPr>
            </w:pPr>
            <w:r>
              <w:rPr>
                <w:rFonts w:ascii="宋体" w:hAnsi="宋体"/>
                <w:bCs/>
              </w:rPr>
              <w:t>形式：供应商应在河北交投招标与采购服务平台中，将需要澄清的问题以盖章</w:t>
            </w:r>
            <w:r>
              <w:rPr>
                <w:bCs/>
              </w:rPr>
              <w:t>PDF</w:t>
            </w:r>
            <w:r>
              <w:rPr>
                <w:rFonts w:ascii="宋体" w:hAnsi="宋体"/>
                <w:bCs/>
              </w:rPr>
              <w:t>附件形式提出</w:t>
            </w:r>
          </w:p>
        </w:tc>
      </w:tr>
      <w:tr w14:paraId="4F7E201A">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5D2AF10A">
            <w:pPr>
              <w:spacing w:line="440" w:lineRule="exact"/>
              <w:jc w:val="center"/>
              <w:rPr>
                <w:rFonts w:ascii="宋体" w:hAnsi="宋体"/>
                <w:bCs/>
              </w:rPr>
            </w:pPr>
            <w:r>
              <w:rPr>
                <w:bCs/>
              </w:rPr>
              <w:t>3</w:t>
            </w:r>
            <w:r>
              <w:rPr>
                <w:rFonts w:ascii="宋体" w:hAnsi="宋体"/>
                <w:bCs/>
              </w:rPr>
              <w:t>.</w:t>
            </w:r>
            <w:r>
              <w:rPr>
                <w:bCs/>
              </w:rPr>
              <w:t>1</w:t>
            </w:r>
            <w:r>
              <w:rPr>
                <w:rFonts w:ascii="宋体" w:hAnsi="宋体"/>
                <w:bCs/>
              </w:rPr>
              <w:t>.</w:t>
            </w:r>
            <w:r>
              <w:rPr>
                <w:bCs/>
              </w:rPr>
              <w:t>1</w:t>
            </w:r>
            <w:r>
              <w:rPr>
                <w:rFonts w:ascii="宋体" w:hAnsi="宋体"/>
                <w:bCs/>
              </w:rPr>
              <w:t>（</w:t>
            </w:r>
            <w:r>
              <w:rPr>
                <w:bCs/>
              </w:rPr>
              <w:t>10</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17F61935">
            <w:pPr>
              <w:spacing w:line="440" w:lineRule="exact"/>
              <w:jc w:val="center"/>
              <w:rPr>
                <w:rFonts w:ascii="宋体" w:hAnsi="宋体"/>
                <w:bCs/>
              </w:rPr>
            </w:pPr>
            <w:r>
              <w:rPr>
                <w:rFonts w:ascii="宋体" w:hAnsi="宋体"/>
                <w:bCs/>
              </w:rPr>
              <w:t>构成响应文件的其他资料</w:t>
            </w:r>
          </w:p>
        </w:tc>
        <w:tc>
          <w:tcPr>
            <w:tcW w:w="4887" w:type="dxa"/>
            <w:tcBorders>
              <w:top w:val="single" w:color="auto" w:sz="4" w:space="0"/>
              <w:left w:val="single" w:color="auto" w:sz="4" w:space="0"/>
              <w:bottom w:val="single" w:color="auto" w:sz="4" w:space="0"/>
              <w:right w:val="single" w:color="auto" w:sz="4" w:space="0"/>
            </w:tcBorders>
            <w:vAlign w:val="center"/>
          </w:tcPr>
          <w:p w14:paraId="11B39C01">
            <w:pPr>
              <w:spacing w:line="440" w:lineRule="exact"/>
              <w:rPr>
                <w:rFonts w:ascii="宋体" w:hAnsi="宋体"/>
                <w:bCs/>
              </w:rPr>
            </w:pPr>
            <w:r>
              <w:rPr>
                <w:rFonts w:ascii="宋体" w:hAnsi="宋体"/>
                <w:bCs/>
                <w:szCs w:val="21"/>
              </w:rPr>
              <w:t>资料名称：</w:t>
            </w:r>
            <w:r>
              <w:rPr>
                <w:rFonts w:hint="eastAsia" w:ascii="宋体" w:hAnsi="宋体"/>
                <w:bCs/>
                <w:szCs w:val="21"/>
              </w:rPr>
              <w:t>无</w:t>
            </w:r>
          </w:p>
        </w:tc>
      </w:tr>
      <w:tr w14:paraId="1EB194BD">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3F981A7">
            <w:pPr>
              <w:spacing w:line="440" w:lineRule="exact"/>
              <w:jc w:val="center"/>
              <w:rPr>
                <w:rFonts w:ascii="宋体" w:hAnsi="宋体"/>
                <w:bCs/>
              </w:rPr>
            </w:pPr>
            <w:r>
              <w:rPr>
                <w:bCs/>
              </w:rPr>
              <w:t>3</w:t>
            </w:r>
            <w:r>
              <w:rPr>
                <w:rFonts w:ascii="宋体" w:hAnsi="宋体"/>
                <w:bCs/>
              </w:rPr>
              <w:t>.</w:t>
            </w:r>
            <w:r>
              <w:rPr>
                <w:bCs/>
              </w:rPr>
              <w:t>2</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07711263">
            <w:pPr>
              <w:spacing w:line="440" w:lineRule="exact"/>
              <w:jc w:val="center"/>
              <w:rPr>
                <w:rFonts w:ascii="宋体" w:hAnsi="宋体"/>
                <w:bCs/>
              </w:rPr>
            </w:pPr>
            <w:r>
              <w:rPr>
                <w:rFonts w:ascii="宋体" w:hAnsi="宋体"/>
                <w:szCs w:val="21"/>
              </w:rPr>
              <w:t>框架协议价格形式</w:t>
            </w:r>
          </w:p>
        </w:tc>
        <w:tc>
          <w:tcPr>
            <w:tcW w:w="4887" w:type="dxa"/>
            <w:tcBorders>
              <w:top w:val="single" w:color="auto" w:sz="4" w:space="0"/>
              <w:left w:val="single" w:color="auto" w:sz="4" w:space="0"/>
              <w:bottom w:val="single" w:color="auto" w:sz="4" w:space="0"/>
              <w:right w:val="single" w:color="auto" w:sz="4" w:space="0"/>
            </w:tcBorders>
            <w:vAlign w:val="center"/>
          </w:tcPr>
          <w:p w14:paraId="1A1F44B0">
            <w:pPr>
              <w:spacing w:line="440" w:lineRule="exact"/>
              <w:rPr>
                <w:bCs/>
              </w:rPr>
            </w:pPr>
            <w:r>
              <w:rPr>
                <w:rFonts w:ascii="Segoe UI Symbol" w:hAnsi="Segoe UI Symbol" w:cs="Segoe UI Symbol"/>
                <w:bCs/>
                <w:sz w:val="32"/>
                <w:szCs w:val="20"/>
              </w:rPr>
              <w:t>☑</w:t>
            </w:r>
            <w:r>
              <w:rPr>
                <w:bCs/>
              </w:rPr>
              <w:t>无价格</w:t>
            </w:r>
          </w:p>
          <w:p w14:paraId="734AAB8F">
            <w:pPr>
              <w:spacing w:line="440" w:lineRule="exact"/>
              <w:rPr>
                <w:bCs/>
              </w:rPr>
            </w:pPr>
            <w:r>
              <w:rPr>
                <w:bCs/>
                <w:sz w:val="32"/>
                <w:szCs w:val="20"/>
              </w:rPr>
              <w:t>□</w:t>
            </w:r>
            <w:r>
              <w:rPr>
                <w:bCs/>
              </w:rPr>
              <w:t>有，固定价格：</w:t>
            </w:r>
            <w:r>
              <w:rPr>
                <w:bCs/>
                <w:u w:val="single"/>
              </w:rPr>
              <w:t xml:space="preserve">   </w:t>
            </w:r>
            <w:r>
              <w:rPr>
                <w:bCs/>
              </w:rPr>
              <w:t>元</w:t>
            </w:r>
          </w:p>
          <w:p w14:paraId="76514A0B">
            <w:pPr>
              <w:spacing w:line="440" w:lineRule="exact"/>
              <w:rPr>
                <w:bCs/>
              </w:rPr>
            </w:pPr>
            <w:r>
              <w:rPr>
                <w:bCs/>
                <w:sz w:val="32"/>
                <w:szCs w:val="20"/>
              </w:rPr>
              <w:t>□</w:t>
            </w:r>
            <w:r>
              <w:rPr>
                <w:bCs/>
              </w:rPr>
              <w:t>有，可调价格：</w:t>
            </w:r>
            <w:r>
              <w:rPr>
                <w:bCs/>
                <w:u w:val="single"/>
              </w:rPr>
              <w:t xml:space="preserve">   </w:t>
            </w:r>
            <w:r>
              <w:rPr>
                <w:bCs/>
              </w:rPr>
              <w:t>元</w:t>
            </w:r>
          </w:p>
          <w:p w14:paraId="79025A4C">
            <w:pPr>
              <w:spacing w:line="440" w:lineRule="exact"/>
              <w:rPr>
                <w:rFonts w:ascii="宋体" w:hAnsi="宋体"/>
                <w:bCs/>
              </w:rPr>
            </w:pPr>
            <w:r>
              <w:rPr>
                <w:bCs/>
                <w:sz w:val="32"/>
                <w:szCs w:val="20"/>
              </w:rPr>
              <w:t>□</w:t>
            </w:r>
            <w:r>
              <w:rPr>
                <w:bCs/>
              </w:rPr>
              <w:t>有，最高限价：</w:t>
            </w:r>
            <w:r>
              <w:rPr>
                <w:bCs/>
                <w:u w:val="single"/>
              </w:rPr>
              <w:t xml:space="preserve">   </w:t>
            </w:r>
            <w:r>
              <w:rPr>
                <w:bCs/>
              </w:rPr>
              <w:t>元</w:t>
            </w:r>
          </w:p>
        </w:tc>
      </w:tr>
      <w:tr w14:paraId="7C4BD251">
        <w:tblPrEx>
          <w:tblCellMar>
            <w:top w:w="0" w:type="dxa"/>
            <w:left w:w="108" w:type="dxa"/>
            <w:bottom w:w="0" w:type="dxa"/>
            <w:right w:w="108" w:type="dxa"/>
          </w:tblCellMar>
        </w:tblPrEx>
        <w:trPr>
          <w:trHeight w:val="884" w:hRule="atLeast"/>
        </w:trPr>
        <w:tc>
          <w:tcPr>
            <w:tcW w:w="1271" w:type="dxa"/>
            <w:tcBorders>
              <w:top w:val="single" w:color="auto" w:sz="4" w:space="0"/>
              <w:left w:val="single" w:color="auto" w:sz="4" w:space="0"/>
              <w:bottom w:val="single" w:color="auto" w:sz="4" w:space="0"/>
              <w:right w:val="single" w:color="auto" w:sz="4" w:space="0"/>
            </w:tcBorders>
            <w:vAlign w:val="center"/>
          </w:tcPr>
          <w:p w14:paraId="09C355B1">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1</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27AF626E">
            <w:pPr>
              <w:spacing w:line="440" w:lineRule="exact"/>
              <w:jc w:val="center"/>
              <w:rPr>
                <w:bCs/>
                <w:szCs w:val="21"/>
              </w:rPr>
            </w:pPr>
            <w:r>
              <w:rPr>
                <w:bCs/>
                <w:szCs w:val="21"/>
              </w:rPr>
              <w:t>固定价格调整</w:t>
            </w:r>
            <w:r>
              <w:t>特殊例外情形</w:t>
            </w:r>
          </w:p>
        </w:tc>
        <w:tc>
          <w:tcPr>
            <w:tcW w:w="4887" w:type="dxa"/>
            <w:tcBorders>
              <w:top w:val="single" w:color="auto" w:sz="4" w:space="0"/>
              <w:left w:val="single" w:color="auto" w:sz="4" w:space="0"/>
              <w:bottom w:val="single" w:color="auto" w:sz="4" w:space="0"/>
              <w:right w:val="single" w:color="auto" w:sz="4" w:space="0"/>
            </w:tcBorders>
            <w:vAlign w:val="center"/>
          </w:tcPr>
          <w:p w14:paraId="15E7B806">
            <w:pPr>
              <w:spacing w:line="440" w:lineRule="exact"/>
              <w:rPr>
                <w:bCs/>
              </w:rPr>
            </w:pPr>
            <w:r>
              <w:rPr>
                <w:rFonts w:ascii="Segoe UI Symbol" w:hAnsi="Segoe UI Symbol" w:cs="Segoe UI Symbol"/>
                <w:bCs/>
                <w:sz w:val="32"/>
                <w:szCs w:val="20"/>
              </w:rPr>
              <w:t>☑</w:t>
            </w:r>
            <w:r>
              <w:rPr>
                <w:bCs/>
              </w:rPr>
              <w:t>无</w:t>
            </w:r>
          </w:p>
          <w:p w14:paraId="35F4A7C6">
            <w:pPr>
              <w:spacing w:line="440" w:lineRule="exact"/>
              <w:rPr>
                <w:szCs w:val="21"/>
              </w:rPr>
            </w:pPr>
            <w:r>
              <w:rPr>
                <w:bCs/>
                <w:sz w:val="32"/>
                <w:szCs w:val="20"/>
              </w:rPr>
              <w:t>□</w:t>
            </w:r>
            <w:r>
              <w:rPr>
                <w:bCs/>
              </w:rPr>
              <w:t>有，</w:t>
            </w:r>
            <w:r>
              <w:rPr>
                <w:bCs/>
                <w:u w:val="single"/>
              </w:rPr>
              <w:t xml:space="preserve">             </w:t>
            </w:r>
            <w:r>
              <w:rPr>
                <w:bCs/>
              </w:rPr>
              <w:t xml:space="preserve"> </w:t>
            </w:r>
          </w:p>
        </w:tc>
      </w:tr>
      <w:tr w14:paraId="48842B76">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1B4B4E5">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2</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62E7B21E">
            <w:pPr>
              <w:spacing w:line="440" w:lineRule="exact"/>
              <w:jc w:val="center"/>
              <w:rPr>
                <w:rFonts w:ascii="宋体" w:hAnsi="宋体"/>
                <w:bCs/>
                <w:szCs w:val="21"/>
              </w:rPr>
            </w:pPr>
            <w:r>
              <w:rPr>
                <w:rFonts w:ascii="宋体" w:hAnsi="宋体"/>
                <w:bCs/>
                <w:szCs w:val="21"/>
              </w:rPr>
              <w:t>可调价格</w:t>
            </w:r>
            <w:r>
              <w:rPr>
                <w:rFonts w:ascii="宋体" w:hAnsi="宋体"/>
              </w:rPr>
              <w:t>价格调整触发条件</w:t>
            </w:r>
          </w:p>
        </w:tc>
        <w:tc>
          <w:tcPr>
            <w:tcW w:w="4887" w:type="dxa"/>
            <w:tcBorders>
              <w:top w:val="single" w:color="auto" w:sz="4" w:space="0"/>
              <w:left w:val="single" w:color="auto" w:sz="4" w:space="0"/>
              <w:bottom w:val="single" w:color="auto" w:sz="4" w:space="0"/>
              <w:right w:val="single" w:color="auto" w:sz="4" w:space="0"/>
            </w:tcBorders>
            <w:vAlign w:val="center"/>
          </w:tcPr>
          <w:p w14:paraId="756520DD">
            <w:pPr>
              <w:spacing w:line="440" w:lineRule="exact"/>
              <w:rPr>
                <w:rFonts w:ascii="宋体" w:hAnsi="宋体"/>
                <w:bCs/>
                <w:sz w:val="32"/>
                <w:szCs w:val="20"/>
              </w:rPr>
            </w:pPr>
            <w:r>
              <w:rPr>
                <w:rFonts w:hint="eastAsia" w:ascii="宋体" w:hAnsi="宋体"/>
                <w:bCs/>
                <w:szCs w:val="21"/>
              </w:rPr>
              <w:t>不适用</w:t>
            </w:r>
          </w:p>
        </w:tc>
      </w:tr>
      <w:tr w14:paraId="51801331">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2539857F">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3</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34945D27">
            <w:pPr>
              <w:spacing w:line="440" w:lineRule="exact"/>
              <w:jc w:val="center"/>
              <w:rPr>
                <w:rFonts w:ascii="宋体" w:hAnsi="宋体"/>
                <w:bCs/>
                <w:szCs w:val="21"/>
              </w:rPr>
            </w:pPr>
            <w:r>
              <w:rPr>
                <w:rFonts w:ascii="宋体" w:hAnsi="宋体"/>
                <w:bCs/>
                <w:szCs w:val="21"/>
              </w:rPr>
              <w:t>最高限价第一阶段报价形式</w:t>
            </w:r>
          </w:p>
        </w:tc>
        <w:tc>
          <w:tcPr>
            <w:tcW w:w="4887" w:type="dxa"/>
            <w:tcBorders>
              <w:top w:val="single" w:color="auto" w:sz="4" w:space="0"/>
              <w:left w:val="single" w:color="auto" w:sz="4" w:space="0"/>
              <w:bottom w:val="single" w:color="auto" w:sz="4" w:space="0"/>
              <w:right w:val="single" w:color="auto" w:sz="4" w:space="0"/>
            </w:tcBorders>
            <w:vAlign w:val="center"/>
          </w:tcPr>
          <w:p w14:paraId="0D16F2E1">
            <w:pPr>
              <w:spacing w:line="440" w:lineRule="exact"/>
              <w:rPr>
                <w:bCs/>
              </w:rPr>
            </w:pPr>
            <w:r>
              <w:rPr>
                <w:bCs/>
                <w:sz w:val="32"/>
                <w:szCs w:val="20"/>
              </w:rPr>
              <w:t>□</w:t>
            </w:r>
            <w:r>
              <w:rPr>
                <w:bCs/>
              </w:rPr>
              <w:t>需要</w:t>
            </w:r>
          </w:p>
          <w:p w14:paraId="78374138">
            <w:pPr>
              <w:spacing w:line="440" w:lineRule="exact"/>
              <w:rPr>
                <w:rFonts w:ascii="宋体" w:hAnsi="宋体"/>
                <w:bCs/>
                <w:sz w:val="32"/>
                <w:szCs w:val="20"/>
              </w:rPr>
            </w:pPr>
            <w:r>
              <w:rPr>
                <w:rFonts w:ascii="Segoe UI Symbol" w:hAnsi="Segoe UI Symbol" w:cs="Segoe UI Symbol"/>
                <w:bCs/>
                <w:sz w:val="32"/>
                <w:szCs w:val="20"/>
              </w:rPr>
              <w:t>☑</w:t>
            </w:r>
            <w:r>
              <w:rPr>
                <w:bCs/>
              </w:rPr>
              <w:t>不需要</w:t>
            </w:r>
          </w:p>
        </w:tc>
      </w:tr>
      <w:tr w14:paraId="19B0823A">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F753FD3">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0A72F289">
            <w:pPr>
              <w:spacing w:line="440" w:lineRule="exact"/>
              <w:jc w:val="center"/>
              <w:rPr>
                <w:rFonts w:ascii="宋体" w:hAnsi="宋体"/>
                <w:bCs/>
                <w:szCs w:val="21"/>
              </w:rPr>
            </w:pPr>
            <w:r>
              <w:rPr>
                <w:rFonts w:ascii="宋体" w:hAnsi="宋体"/>
                <w:bCs/>
                <w:szCs w:val="21"/>
              </w:rPr>
              <w:t>报价的其他要求</w:t>
            </w:r>
          </w:p>
        </w:tc>
        <w:tc>
          <w:tcPr>
            <w:tcW w:w="4887" w:type="dxa"/>
            <w:tcBorders>
              <w:top w:val="single" w:color="auto" w:sz="4" w:space="0"/>
              <w:left w:val="single" w:color="auto" w:sz="4" w:space="0"/>
              <w:bottom w:val="single" w:color="auto" w:sz="4" w:space="0"/>
              <w:right w:val="single" w:color="auto" w:sz="4" w:space="0"/>
            </w:tcBorders>
            <w:vAlign w:val="center"/>
          </w:tcPr>
          <w:p w14:paraId="2FBFE6D6">
            <w:pPr>
              <w:spacing w:line="440" w:lineRule="exact"/>
              <w:rPr>
                <w:rFonts w:ascii="宋体" w:hAnsi="宋体"/>
                <w:bCs/>
                <w:sz w:val="32"/>
                <w:szCs w:val="20"/>
              </w:rPr>
            </w:pPr>
            <w:r>
              <w:rPr>
                <w:rFonts w:hint="eastAsia" w:ascii="宋体" w:hAnsi="宋体"/>
                <w:bCs/>
                <w:szCs w:val="21"/>
              </w:rPr>
              <w:t>无</w:t>
            </w:r>
          </w:p>
        </w:tc>
      </w:tr>
      <w:tr w14:paraId="247308BF">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FFD45E2">
            <w:pPr>
              <w:spacing w:line="440" w:lineRule="exact"/>
              <w:jc w:val="center"/>
              <w:rPr>
                <w:rFonts w:ascii="宋体" w:hAnsi="宋体"/>
                <w:bCs/>
              </w:rPr>
            </w:pPr>
            <w:r>
              <w:rPr>
                <w:bCs/>
              </w:rPr>
              <w:t>3</w:t>
            </w:r>
            <w:r>
              <w:rPr>
                <w:rFonts w:ascii="宋体" w:hAnsi="宋体"/>
                <w:bCs/>
              </w:rPr>
              <w:t>.</w:t>
            </w:r>
            <w:r>
              <w:rPr>
                <w:bCs/>
              </w:rPr>
              <w:t>3</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5CCE85F7">
            <w:pPr>
              <w:spacing w:line="440" w:lineRule="exact"/>
              <w:jc w:val="center"/>
              <w:rPr>
                <w:rFonts w:ascii="宋体" w:hAnsi="宋体"/>
                <w:bCs/>
              </w:rPr>
            </w:pPr>
            <w:r>
              <w:rPr>
                <w:rFonts w:ascii="宋体" w:hAnsi="宋体"/>
                <w:bCs/>
              </w:rPr>
              <w:t>响应文件有效期</w:t>
            </w:r>
          </w:p>
        </w:tc>
        <w:tc>
          <w:tcPr>
            <w:tcW w:w="4887" w:type="dxa"/>
            <w:tcBorders>
              <w:top w:val="single" w:color="auto" w:sz="4" w:space="0"/>
              <w:left w:val="single" w:color="auto" w:sz="4" w:space="0"/>
              <w:bottom w:val="single" w:color="auto" w:sz="4" w:space="0"/>
              <w:right w:val="single" w:color="auto" w:sz="4" w:space="0"/>
            </w:tcBorders>
            <w:vAlign w:val="center"/>
          </w:tcPr>
          <w:p w14:paraId="08624224">
            <w:pPr>
              <w:spacing w:line="440" w:lineRule="exact"/>
              <w:rPr>
                <w:rFonts w:ascii="宋体" w:hAnsi="宋体"/>
                <w:bCs/>
              </w:rPr>
            </w:pPr>
            <w:r>
              <w:rPr>
                <w:rFonts w:hint="eastAsia"/>
                <w:bCs/>
              </w:rPr>
              <w:t>90天</w:t>
            </w:r>
          </w:p>
        </w:tc>
      </w:tr>
      <w:tr w14:paraId="456544B3">
        <w:tblPrEx>
          <w:tblCellMar>
            <w:top w:w="0" w:type="dxa"/>
            <w:left w:w="108" w:type="dxa"/>
            <w:bottom w:w="0" w:type="dxa"/>
            <w:right w:w="108" w:type="dxa"/>
          </w:tblCellMar>
        </w:tblPrEx>
        <w:trPr>
          <w:trHeight w:val="536" w:hRule="atLeast"/>
        </w:trPr>
        <w:tc>
          <w:tcPr>
            <w:tcW w:w="1271" w:type="dxa"/>
            <w:tcBorders>
              <w:top w:val="single" w:color="auto" w:sz="4" w:space="0"/>
              <w:left w:val="single" w:color="auto" w:sz="4" w:space="0"/>
              <w:bottom w:val="single" w:color="auto" w:sz="4" w:space="0"/>
              <w:right w:val="single" w:color="auto" w:sz="4" w:space="0"/>
            </w:tcBorders>
            <w:vAlign w:val="center"/>
          </w:tcPr>
          <w:p w14:paraId="5C81EED9">
            <w:pPr>
              <w:spacing w:line="440" w:lineRule="exact"/>
              <w:jc w:val="center"/>
              <w:rPr>
                <w:rFonts w:ascii="宋体" w:hAnsi="宋体"/>
                <w:bCs/>
              </w:rPr>
            </w:pPr>
            <w:r>
              <w:rPr>
                <w:bCs/>
              </w:rPr>
              <w:t>3</w:t>
            </w:r>
            <w:r>
              <w:rPr>
                <w:rFonts w:ascii="宋体" w:hAnsi="宋体"/>
                <w:bCs/>
              </w:rPr>
              <w:t>.</w:t>
            </w:r>
            <w:r>
              <w:rPr>
                <w:bCs/>
              </w:rPr>
              <w:t>4</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40B91CEA">
            <w:pPr>
              <w:spacing w:line="440" w:lineRule="exact"/>
              <w:jc w:val="center"/>
              <w:rPr>
                <w:rFonts w:ascii="宋体" w:hAnsi="宋体"/>
                <w:bCs/>
              </w:rPr>
            </w:pPr>
            <w:r>
              <w:rPr>
                <w:rFonts w:ascii="宋体" w:hAnsi="宋体"/>
                <w:bCs/>
              </w:rPr>
              <w:t>响应保证金</w:t>
            </w:r>
          </w:p>
        </w:tc>
        <w:tc>
          <w:tcPr>
            <w:tcW w:w="4887" w:type="dxa"/>
            <w:tcBorders>
              <w:top w:val="single" w:color="auto" w:sz="4" w:space="0"/>
              <w:left w:val="single" w:color="auto" w:sz="4" w:space="0"/>
              <w:bottom w:val="single" w:color="auto" w:sz="4" w:space="0"/>
              <w:right w:val="single" w:color="auto" w:sz="4" w:space="0"/>
            </w:tcBorders>
            <w:vAlign w:val="center"/>
          </w:tcPr>
          <w:p w14:paraId="577AD852">
            <w:pPr>
              <w:spacing w:line="400" w:lineRule="exact"/>
              <w:rPr>
                <w:szCs w:val="21"/>
              </w:rPr>
            </w:pPr>
            <w:r>
              <w:rPr>
                <w:rFonts w:ascii="Segoe UI Symbol" w:hAnsi="Segoe UI Symbol" w:cs="Segoe UI Symbol"/>
                <w:bCs/>
                <w:sz w:val="32"/>
                <w:szCs w:val="20"/>
              </w:rPr>
              <w:t>☑</w:t>
            </w:r>
            <w:r>
              <w:rPr>
                <w:szCs w:val="21"/>
              </w:rPr>
              <w:t>不要求</w:t>
            </w:r>
          </w:p>
          <w:p w14:paraId="462ABC3C">
            <w:pPr>
              <w:spacing w:line="400" w:lineRule="exact"/>
              <w:rPr>
                <w:szCs w:val="21"/>
              </w:rPr>
            </w:pPr>
            <w:r>
              <w:rPr>
                <w:bCs/>
                <w:sz w:val="32"/>
                <w:szCs w:val="20"/>
              </w:rPr>
              <w:t>□</w:t>
            </w:r>
            <w:r>
              <w:rPr>
                <w:szCs w:val="21"/>
              </w:rPr>
              <w:t>要求，响应保证金的形式（以下可多选）：</w:t>
            </w:r>
          </w:p>
          <w:p w14:paraId="14ED9028">
            <w:pPr>
              <w:spacing w:line="400" w:lineRule="exact"/>
              <w:ind w:firstLine="640"/>
              <w:rPr>
                <w:szCs w:val="21"/>
              </w:rPr>
            </w:pPr>
            <w:r>
              <w:rPr>
                <w:bCs/>
                <w:sz w:val="32"/>
                <w:szCs w:val="20"/>
              </w:rPr>
              <w:t>□</w:t>
            </w:r>
            <w:r>
              <w:rPr>
                <w:szCs w:val="21"/>
              </w:rPr>
              <w:t xml:space="preserve">现金（银行转账或电汇）     </w:t>
            </w:r>
          </w:p>
          <w:p w14:paraId="495C1F20">
            <w:pPr>
              <w:spacing w:line="400" w:lineRule="exact"/>
              <w:ind w:firstLine="640"/>
              <w:rPr>
                <w:szCs w:val="21"/>
              </w:rPr>
            </w:pPr>
            <w:r>
              <w:rPr>
                <w:bCs/>
                <w:sz w:val="32"/>
                <w:szCs w:val="20"/>
              </w:rPr>
              <w:t>□</w:t>
            </w:r>
            <w:r>
              <w:rPr>
                <w:szCs w:val="21"/>
              </w:rPr>
              <w:t>电子保函</w:t>
            </w:r>
          </w:p>
          <w:p w14:paraId="04844E94">
            <w:pPr>
              <w:spacing w:line="400" w:lineRule="exact"/>
              <w:ind w:firstLine="640"/>
              <w:rPr>
                <w:szCs w:val="21"/>
              </w:rPr>
            </w:pPr>
            <w:r>
              <w:rPr>
                <w:szCs w:val="21"/>
              </w:rPr>
              <w:t>响应保证金的金额：</w:t>
            </w:r>
            <w:r>
              <w:rPr>
                <w:szCs w:val="21"/>
                <w:u w:val="single"/>
              </w:rPr>
              <w:t xml:space="preserve">         </w:t>
            </w:r>
          </w:p>
          <w:p w14:paraId="093BA92D">
            <w:pPr>
              <w:spacing w:line="400" w:lineRule="exact"/>
              <w:ind w:firstLine="630" w:firstLineChars="300"/>
              <w:rPr>
                <w:rFonts w:ascii="宋体" w:hAnsi="宋体"/>
                <w:szCs w:val="21"/>
                <w:u w:val="single"/>
              </w:rPr>
            </w:pPr>
            <w:r>
              <w:rPr>
                <w:szCs w:val="21"/>
              </w:rPr>
              <w:t>其他要求：</w:t>
            </w:r>
            <w:r>
              <w:rPr>
                <w:szCs w:val="21"/>
                <w:u w:val="single"/>
              </w:rPr>
              <w:t xml:space="preserve">      </w:t>
            </w:r>
            <w:r>
              <w:rPr>
                <w:rFonts w:ascii="宋体" w:hAnsi="宋体"/>
                <w:szCs w:val="21"/>
                <w:u w:val="single"/>
              </w:rPr>
              <w:t xml:space="preserve">   </w:t>
            </w:r>
          </w:p>
          <w:p w14:paraId="4DE68E1D">
            <w:pPr>
              <w:spacing w:line="400" w:lineRule="exact"/>
              <w:ind w:firstLine="420"/>
              <w:rPr>
                <w:rFonts w:ascii="宋体" w:hAnsi="宋体"/>
                <w:szCs w:val="21"/>
                <w:u w:val="single"/>
              </w:rPr>
            </w:pPr>
            <w:r>
              <w:rPr>
                <w:rFonts w:ascii="宋体" w:hAnsi="宋体"/>
                <w:szCs w:val="21"/>
                <w:u w:val="single"/>
              </w:rPr>
              <w:t>采用现金方式的要求供应商从基本户转账至招采平台监管账户，收款账户为：</w:t>
            </w:r>
          </w:p>
          <w:p w14:paraId="50376E6E">
            <w:pPr>
              <w:spacing w:line="400" w:lineRule="exact"/>
              <w:ind w:firstLine="420"/>
              <w:rPr>
                <w:rFonts w:ascii="宋体" w:hAnsi="宋体"/>
                <w:szCs w:val="21"/>
              </w:rPr>
            </w:pPr>
            <w:r>
              <w:rPr>
                <w:rFonts w:ascii="宋体" w:hAnsi="宋体"/>
                <w:szCs w:val="21"/>
              </w:rPr>
              <w:t>递交截止日期及时间：同响应文件递交截止时间，</w:t>
            </w:r>
            <w:r>
              <w:rPr>
                <w:rFonts w:ascii="宋体" w:hAnsi="宋体"/>
                <w:szCs w:val="20"/>
                <w:lang w:bidi="ar"/>
              </w:rPr>
              <w:t>以到账时间为准。</w:t>
            </w:r>
          </w:p>
          <w:p w14:paraId="3A83674D">
            <w:pPr>
              <w:spacing w:line="400" w:lineRule="exact"/>
              <w:ind w:firstLine="420"/>
              <w:rPr>
                <w:rFonts w:ascii="宋体" w:hAnsi="宋体"/>
                <w:bCs/>
              </w:rPr>
            </w:pPr>
            <w:r>
              <w:rPr>
                <w:rFonts w:ascii="宋体" w:hAnsi="宋体"/>
                <w:szCs w:val="21"/>
              </w:rPr>
              <w:t>联合体参与询比采购活动的，其响应保证金由牵头人递交。</w:t>
            </w:r>
          </w:p>
        </w:tc>
      </w:tr>
      <w:tr w14:paraId="22A05B0A">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42E2B134">
            <w:pPr>
              <w:spacing w:line="440" w:lineRule="exact"/>
              <w:jc w:val="center"/>
              <w:rPr>
                <w:rFonts w:ascii="宋体" w:hAnsi="宋体"/>
                <w:bCs/>
              </w:rPr>
            </w:pPr>
            <w:r>
              <w:rPr>
                <w:bCs/>
              </w:rPr>
              <w:t>3</w:t>
            </w:r>
            <w:r>
              <w:rPr>
                <w:rFonts w:ascii="宋体" w:hAnsi="宋体"/>
                <w:bCs/>
              </w:rPr>
              <w:t>.</w:t>
            </w:r>
            <w:r>
              <w:rPr>
                <w:bCs/>
              </w:rPr>
              <w:t>4</w:t>
            </w:r>
            <w:r>
              <w:rPr>
                <w:rFonts w:ascii="宋体" w:hAnsi="宋体"/>
                <w:bCs/>
              </w:rPr>
              <w:t>.</w:t>
            </w:r>
            <w:r>
              <w:rPr>
                <w:bCs/>
              </w:rPr>
              <w:t>3</w:t>
            </w:r>
            <w:r>
              <w:rPr>
                <w:rFonts w:ascii="宋体" w:hAnsi="宋体"/>
                <w:bCs/>
              </w:rPr>
              <w:t>（</w:t>
            </w:r>
            <w:r>
              <w:rPr>
                <w:bCs/>
              </w:rPr>
              <w:t>3</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420A5C8A">
            <w:pPr>
              <w:spacing w:line="440" w:lineRule="exact"/>
              <w:jc w:val="center"/>
              <w:rPr>
                <w:rFonts w:ascii="宋体" w:hAnsi="宋体"/>
                <w:bCs/>
              </w:rPr>
            </w:pPr>
            <w:r>
              <w:rPr>
                <w:rFonts w:ascii="宋体" w:hAnsi="宋体"/>
                <w:bCs/>
                <w:szCs w:val="21"/>
              </w:rPr>
              <w:t>不退还响应保证金的其他情形</w:t>
            </w:r>
          </w:p>
        </w:tc>
        <w:tc>
          <w:tcPr>
            <w:tcW w:w="4887" w:type="dxa"/>
            <w:tcBorders>
              <w:top w:val="single" w:color="auto" w:sz="4" w:space="0"/>
              <w:left w:val="single" w:color="auto" w:sz="4" w:space="0"/>
              <w:bottom w:val="single" w:color="auto" w:sz="4" w:space="0"/>
              <w:right w:val="single" w:color="auto" w:sz="4" w:space="0"/>
            </w:tcBorders>
            <w:vAlign w:val="center"/>
          </w:tcPr>
          <w:p w14:paraId="4BC9D241">
            <w:pPr>
              <w:topLinePunct/>
              <w:snapToGrid w:val="0"/>
              <w:spacing w:line="400" w:lineRule="exact"/>
              <w:rPr>
                <w:bCs/>
              </w:rPr>
            </w:pPr>
            <w:r>
              <w:rPr>
                <w:rFonts w:hint="eastAsia"/>
                <w:bCs/>
                <w:sz w:val="32"/>
                <w:szCs w:val="32"/>
                <w:lang w:eastAsia="zh-CN"/>
              </w:rPr>
              <w:t>□</w:t>
            </w:r>
            <w:r>
              <w:rPr>
                <w:bCs/>
              </w:rPr>
              <w:t>适用，其他情形：</w:t>
            </w:r>
            <w:r>
              <w:rPr>
                <w:bCs/>
                <w:u w:val="single"/>
              </w:rPr>
              <w:t xml:space="preserve">            </w:t>
            </w:r>
          </w:p>
          <w:p w14:paraId="43B19768">
            <w:pPr>
              <w:spacing w:line="440" w:lineRule="exact"/>
              <w:rPr>
                <w:bCs/>
              </w:rPr>
            </w:pPr>
            <w:r>
              <w:rPr>
                <w:rFonts w:ascii="Segoe UI Symbol" w:hAnsi="Segoe UI Symbol" w:cs="Segoe UI Symbol"/>
                <w:bCs/>
                <w:sz w:val="32"/>
                <w:szCs w:val="32"/>
              </w:rPr>
              <w:t>☑</w:t>
            </w:r>
            <w:r>
              <w:rPr>
                <w:bCs/>
              </w:rPr>
              <w:t>不适用</w:t>
            </w:r>
          </w:p>
        </w:tc>
      </w:tr>
      <w:tr w14:paraId="52CBCC40">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E9EB57F">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45890177">
            <w:pPr>
              <w:spacing w:line="440" w:lineRule="exact"/>
              <w:jc w:val="center"/>
              <w:rPr>
                <w:rFonts w:ascii="宋体" w:hAnsi="宋体"/>
                <w:bCs/>
                <w:szCs w:val="21"/>
              </w:rPr>
            </w:pPr>
            <w:r>
              <w:rPr>
                <w:rFonts w:ascii="宋体" w:hAnsi="宋体"/>
                <w:bCs/>
              </w:rPr>
              <w:t>资质要求证明材料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6C4E7FC5">
            <w:pPr>
              <w:topLinePunct/>
              <w:spacing w:line="440" w:lineRule="exact"/>
              <w:jc w:val="left"/>
              <w:rPr>
                <w:bCs/>
                <w:szCs w:val="32"/>
              </w:rPr>
            </w:pPr>
            <w:r>
              <w:rPr>
                <w:bCs/>
                <w:sz w:val="32"/>
                <w:szCs w:val="32"/>
              </w:rPr>
              <w:t>□</w:t>
            </w:r>
            <w:r>
              <w:rPr>
                <w:bCs/>
              </w:rPr>
              <w:t>不适用</w:t>
            </w:r>
          </w:p>
          <w:p w14:paraId="2038940B">
            <w:pPr>
              <w:topLinePunct/>
              <w:spacing w:line="440" w:lineRule="exact"/>
              <w:jc w:val="left"/>
              <w:rPr>
                <w:bCs/>
              </w:rPr>
            </w:pPr>
            <w:r>
              <w:rPr>
                <w:rFonts w:ascii="Segoe UI Symbol" w:hAnsi="Segoe UI Symbol" w:cs="Segoe UI Symbol"/>
                <w:bCs/>
                <w:sz w:val="32"/>
                <w:szCs w:val="32"/>
              </w:rPr>
              <w:t>☑</w:t>
            </w:r>
            <w:r>
              <w:rPr>
                <w:bCs/>
              </w:rPr>
              <w:t>适用。</w:t>
            </w:r>
          </w:p>
          <w:p w14:paraId="253830CE">
            <w:pPr>
              <w:topLinePunct/>
              <w:spacing w:line="440" w:lineRule="exact"/>
              <w:jc w:val="left"/>
              <w:rPr>
                <w:bCs/>
              </w:rPr>
            </w:pPr>
            <w:r>
              <w:rPr>
                <w:bCs/>
              </w:rPr>
              <w:t>需提供的资质证书包括：</w:t>
            </w:r>
          </w:p>
          <w:p w14:paraId="23451077">
            <w:pPr>
              <w:pStyle w:val="167"/>
              <w:spacing w:before="157" w:line="220" w:lineRule="auto"/>
              <w:ind w:left="439"/>
              <w:rPr>
                <w:sz w:val="21"/>
                <w:szCs w:val="21"/>
                <w:highlight w:val="none"/>
              </w:rPr>
            </w:pPr>
            <w:r>
              <w:rPr>
                <w:b/>
                <w:bCs/>
                <w:spacing w:val="1"/>
                <w:sz w:val="21"/>
                <w:szCs w:val="21"/>
                <w:highlight w:val="none"/>
              </w:rPr>
              <w:t>投标人为生产商的，应附：</w:t>
            </w:r>
          </w:p>
          <w:p w14:paraId="6CC06B9C">
            <w:pPr>
              <w:pStyle w:val="167"/>
              <w:spacing w:before="158" w:line="216" w:lineRule="auto"/>
              <w:ind w:left="437"/>
              <w:rPr>
                <w:sz w:val="21"/>
                <w:szCs w:val="21"/>
                <w:highlight w:val="none"/>
              </w:rPr>
            </w:pPr>
            <w:r>
              <w:rPr>
                <w:rFonts w:ascii="Times New Roman" w:hAnsi="Times New Roman" w:eastAsia="Times New Roman" w:cs="Times New Roman"/>
                <w:b/>
                <w:bCs/>
                <w:spacing w:val="1"/>
                <w:sz w:val="21"/>
                <w:szCs w:val="21"/>
                <w:highlight w:val="none"/>
              </w:rPr>
              <w:t>(1)</w:t>
            </w:r>
            <w:r>
              <w:rPr>
                <w:rFonts w:ascii="Times New Roman" w:hAnsi="Times New Roman" w:eastAsia="Times New Roman" w:cs="Times New Roman"/>
                <w:b/>
                <w:bCs/>
                <w:spacing w:val="28"/>
                <w:w w:val="101"/>
                <w:sz w:val="21"/>
                <w:szCs w:val="21"/>
                <w:highlight w:val="none"/>
              </w:rPr>
              <w:t xml:space="preserve"> </w:t>
            </w:r>
            <w:r>
              <w:rPr>
                <w:b/>
                <w:bCs/>
                <w:spacing w:val="1"/>
                <w:sz w:val="21"/>
                <w:szCs w:val="21"/>
                <w:highlight w:val="none"/>
              </w:rPr>
              <w:t>企业法人营业执照副本</w:t>
            </w:r>
            <w:r>
              <w:rPr>
                <w:rFonts w:ascii="Times New Roman" w:hAnsi="Times New Roman" w:eastAsia="Times New Roman" w:cs="Times New Roman"/>
                <w:b/>
                <w:bCs/>
                <w:spacing w:val="1"/>
                <w:sz w:val="21"/>
                <w:szCs w:val="21"/>
                <w:highlight w:val="none"/>
              </w:rPr>
              <w:t>(</w:t>
            </w:r>
            <w:r>
              <w:rPr>
                <w:b/>
                <w:bCs/>
                <w:spacing w:val="1"/>
                <w:sz w:val="21"/>
                <w:szCs w:val="21"/>
                <w:highlight w:val="none"/>
              </w:rPr>
              <w:t>全本</w:t>
            </w:r>
            <w:r>
              <w:rPr>
                <w:rFonts w:ascii="Times New Roman" w:hAnsi="Times New Roman" w:eastAsia="Times New Roman" w:cs="Times New Roman"/>
                <w:b/>
                <w:bCs/>
                <w:spacing w:val="1"/>
                <w:sz w:val="21"/>
                <w:szCs w:val="21"/>
                <w:highlight w:val="none"/>
              </w:rPr>
              <w:t>)</w:t>
            </w:r>
            <w:r>
              <w:rPr>
                <w:b/>
                <w:bCs/>
                <w:spacing w:val="1"/>
                <w:sz w:val="21"/>
                <w:szCs w:val="21"/>
                <w:highlight w:val="none"/>
              </w:rPr>
              <w:t>的复印件；</w:t>
            </w:r>
          </w:p>
          <w:p w14:paraId="06B52BEB">
            <w:pPr>
              <w:pStyle w:val="167"/>
              <w:spacing w:before="162" w:line="216" w:lineRule="auto"/>
              <w:ind w:left="437"/>
              <w:rPr>
                <w:sz w:val="21"/>
                <w:szCs w:val="21"/>
                <w:highlight w:val="none"/>
              </w:rPr>
            </w:pPr>
            <w:r>
              <w:rPr>
                <w:rFonts w:ascii="Times New Roman" w:hAnsi="Times New Roman" w:eastAsia="Times New Roman" w:cs="Times New Roman"/>
                <w:b/>
                <w:bCs/>
                <w:spacing w:val="1"/>
                <w:sz w:val="21"/>
                <w:szCs w:val="21"/>
                <w:highlight w:val="none"/>
              </w:rPr>
              <w:t>(2)</w:t>
            </w:r>
            <w:r>
              <w:rPr>
                <w:rFonts w:ascii="Times New Roman" w:hAnsi="Times New Roman" w:eastAsia="Times New Roman" w:cs="Times New Roman"/>
                <w:b/>
                <w:bCs/>
                <w:spacing w:val="26"/>
                <w:w w:val="101"/>
                <w:sz w:val="21"/>
                <w:szCs w:val="21"/>
                <w:highlight w:val="none"/>
              </w:rPr>
              <w:t xml:space="preserve"> </w:t>
            </w:r>
            <w:r>
              <w:rPr>
                <w:b/>
                <w:bCs/>
                <w:spacing w:val="1"/>
                <w:sz w:val="21"/>
                <w:szCs w:val="21"/>
                <w:highlight w:val="none"/>
              </w:rPr>
              <w:t>基本账户开户许可证复印件或基本存款账户信息；</w:t>
            </w:r>
          </w:p>
          <w:p w14:paraId="31DB0993">
            <w:pPr>
              <w:pStyle w:val="167"/>
              <w:spacing w:before="164" w:line="216" w:lineRule="auto"/>
              <w:ind w:left="437"/>
              <w:rPr>
                <w:sz w:val="21"/>
                <w:szCs w:val="21"/>
                <w:highlight w:val="none"/>
              </w:rPr>
            </w:pPr>
            <w:r>
              <w:rPr>
                <w:rFonts w:ascii="Times New Roman" w:hAnsi="Times New Roman" w:eastAsia="Times New Roman" w:cs="Times New Roman"/>
                <w:b/>
                <w:bCs/>
                <w:spacing w:val="2"/>
                <w:sz w:val="21"/>
                <w:szCs w:val="21"/>
                <w:highlight w:val="none"/>
              </w:rPr>
              <w:t>(</w:t>
            </w:r>
            <w:r>
              <w:rPr>
                <w:rFonts w:hint="eastAsia" w:ascii="Times New Roman" w:hAnsi="Times New Roman" w:eastAsia="宋体" w:cs="Times New Roman"/>
                <w:b/>
                <w:bCs/>
                <w:spacing w:val="2"/>
                <w:sz w:val="21"/>
                <w:szCs w:val="21"/>
                <w:highlight w:val="none"/>
                <w:lang w:val="en-US" w:eastAsia="zh-CN"/>
              </w:rPr>
              <w:t>3</w:t>
            </w:r>
            <w:r>
              <w:rPr>
                <w:rFonts w:ascii="Times New Roman" w:hAnsi="Times New Roman" w:eastAsia="Times New Roman" w:cs="Times New Roman"/>
                <w:b/>
                <w:bCs/>
                <w:spacing w:val="2"/>
                <w:sz w:val="21"/>
                <w:szCs w:val="21"/>
                <w:highlight w:val="none"/>
              </w:rPr>
              <w:t>)</w:t>
            </w:r>
            <w:r>
              <w:rPr>
                <w:b/>
                <w:bCs/>
                <w:spacing w:val="2"/>
                <w:sz w:val="21"/>
                <w:szCs w:val="21"/>
                <w:highlight w:val="none"/>
              </w:rPr>
              <w:t>第三方检测单位出具的合格的产品质量检测报告；</w:t>
            </w:r>
          </w:p>
          <w:p w14:paraId="423B796D">
            <w:pPr>
              <w:pStyle w:val="167"/>
              <w:spacing w:before="163" w:line="216" w:lineRule="auto"/>
              <w:ind w:left="437"/>
              <w:rPr>
                <w:sz w:val="21"/>
                <w:szCs w:val="21"/>
                <w:highlight w:val="none"/>
              </w:rPr>
            </w:pPr>
            <w:r>
              <w:rPr>
                <w:rFonts w:ascii="Times New Roman" w:hAnsi="Times New Roman" w:eastAsia="Times New Roman" w:cs="Times New Roman"/>
                <w:b/>
                <w:bCs/>
                <w:spacing w:val="1"/>
                <w:sz w:val="21"/>
                <w:szCs w:val="21"/>
                <w:highlight w:val="none"/>
              </w:rPr>
              <w:t>(</w:t>
            </w:r>
            <w:r>
              <w:rPr>
                <w:rFonts w:hint="eastAsia" w:ascii="Times New Roman" w:hAnsi="Times New Roman" w:eastAsia="宋体" w:cs="Times New Roman"/>
                <w:b/>
                <w:bCs/>
                <w:spacing w:val="1"/>
                <w:sz w:val="21"/>
                <w:szCs w:val="21"/>
                <w:highlight w:val="none"/>
                <w:lang w:val="en-US" w:eastAsia="zh-CN"/>
              </w:rPr>
              <w:t>4</w:t>
            </w:r>
            <w:r>
              <w:rPr>
                <w:rFonts w:ascii="Times New Roman" w:hAnsi="Times New Roman" w:eastAsia="Times New Roman" w:cs="Times New Roman"/>
                <w:b/>
                <w:bCs/>
                <w:spacing w:val="1"/>
                <w:sz w:val="21"/>
                <w:szCs w:val="21"/>
                <w:highlight w:val="none"/>
              </w:rPr>
              <w:t>)</w:t>
            </w:r>
            <w:r>
              <w:rPr>
                <w:b/>
                <w:bCs/>
                <w:spacing w:val="1"/>
                <w:sz w:val="21"/>
                <w:szCs w:val="21"/>
                <w:highlight w:val="none"/>
              </w:rPr>
              <w:t>在有效期内的质量管理体系认证证书。</w:t>
            </w:r>
          </w:p>
          <w:p w14:paraId="7694DA89">
            <w:pPr>
              <w:pStyle w:val="167"/>
              <w:spacing w:before="161" w:line="220" w:lineRule="auto"/>
              <w:ind w:left="439"/>
              <w:rPr>
                <w:sz w:val="21"/>
                <w:szCs w:val="21"/>
                <w:highlight w:val="none"/>
              </w:rPr>
            </w:pPr>
            <w:r>
              <w:rPr>
                <w:b/>
                <w:bCs/>
                <w:spacing w:val="1"/>
                <w:sz w:val="21"/>
                <w:szCs w:val="21"/>
                <w:highlight w:val="none"/>
              </w:rPr>
              <w:t>投标人为代理经销商的，应附：</w:t>
            </w:r>
          </w:p>
          <w:p w14:paraId="152CEA7E">
            <w:pPr>
              <w:pStyle w:val="167"/>
              <w:spacing w:before="159" w:line="216" w:lineRule="auto"/>
              <w:ind w:left="437"/>
              <w:rPr>
                <w:sz w:val="21"/>
                <w:szCs w:val="21"/>
                <w:highlight w:val="none"/>
              </w:rPr>
            </w:pPr>
            <w:r>
              <w:rPr>
                <w:rFonts w:ascii="Times New Roman" w:hAnsi="Times New Roman" w:eastAsia="Times New Roman" w:cs="Times New Roman"/>
                <w:b/>
                <w:bCs/>
                <w:spacing w:val="2"/>
                <w:sz w:val="21"/>
                <w:szCs w:val="21"/>
                <w:highlight w:val="none"/>
              </w:rPr>
              <w:t xml:space="preserve">(1) </w:t>
            </w:r>
            <w:r>
              <w:rPr>
                <w:b/>
                <w:bCs/>
                <w:spacing w:val="2"/>
                <w:sz w:val="21"/>
                <w:szCs w:val="21"/>
                <w:highlight w:val="none"/>
              </w:rPr>
              <w:t>代理经销商的企业法人营业执照副本</w:t>
            </w:r>
            <w:r>
              <w:rPr>
                <w:rFonts w:ascii="Times New Roman" w:hAnsi="Times New Roman" w:eastAsia="Times New Roman" w:cs="Times New Roman"/>
                <w:b/>
                <w:bCs/>
                <w:spacing w:val="2"/>
                <w:sz w:val="21"/>
                <w:szCs w:val="21"/>
                <w:highlight w:val="none"/>
              </w:rPr>
              <w:t>(</w:t>
            </w:r>
            <w:r>
              <w:rPr>
                <w:b/>
                <w:bCs/>
                <w:spacing w:val="2"/>
                <w:sz w:val="21"/>
                <w:szCs w:val="21"/>
                <w:highlight w:val="none"/>
              </w:rPr>
              <w:t>全本</w:t>
            </w:r>
            <w:r>
              <w:rPr>
                <w:rFonts w:ascii="Times New Roman" w:hAnsi="Times New Roman" w:eastAsia="Times New Roman" w:cs="Times New Roman"/>
                <w:b/>
                <w:bCs/>
                <w:spacing w:val="2"/>
                <w:sz w:val="21"/>
                <w:szCs w:val="21"/>
                <w:highlight w:val="none"/>
              </w:rPr>
              <w:t>)</w:t>
            </w:r>
            <w:r>
              <w:rPr>
                <w:b/>
                <w:bCs/>
                <w:spacing w:val="2"/>
                <w:sz w:val="21"/>
                <w:szCs w:val="21"/>
                <w:highlight w:val="none"/>
              </w:rPr>
              <w:t>的复印件；</w:t>
            </w:r>
          </w:p>
          <w:p w14:paraId="26FDFF30">
            <w:pPr>
              <w:pStyle w:val="167"/>
              <w:spacing w:before="164" w:line="294" w:lineRule="auto"/>
              <w:ind w:left="16" w:right="1" w:firstLine="420"/>
              <w:rPr>
                <w:sz w:val="21"/>
                <w:szCs w:val="21"/>
                <w:highlight w:val="none"/>
              </w:rPr>
            </w:pPr>
            <w:r>
              <w:rPr>
                <w:rFonts w:ascii="Times New Roman" w:hAnsi="Times New Roman" w:eastAsia="Times New Roman" w:cs="Times New Roman"/>
                <w:b/>
                <w:bCs/>
                <w:spacing w:val="5"/>
                <w:sz w:val="21"/>
                <w:szCs w:val="21"/>
                <w:highlight w:val="none"/>
              </w:rPr>
              <w:t xml:space="preserve">(2)  </w:t>
            </w:r>
            <w:r>
              <w:rPr>
                <w:b/>
                <w:bCs/>
                <w:spacing w:val="5"/>
                <w:sz w:val="21"/>
                <w:szCs w:val="21"/>
                <w:highlight w:val="none"/>
              </w:rPr>
              <w:t>代理经销商的基本账户开户许可证复印件或基本存款账户信</w:t>
            </w:r>
            <w:r>
              <w:rPr>
                <w:b/>
                <w:bCs/>
                <w:spacing w:val="-11"/>
                <w:sz w:val="21"/>
                <w:szCs w:val="21"/>
                <w:highlight w:val="none"/>
              </w:rPr>
              <w:t>息。</w:t>
            </w:r>
          </w:p>
          <w:p w14:paraId="44581482">
            <w:pPr>
              <w:pStyle w:val="167"/>
              <w:spacing w:before="162" w:line="289" w:lineRule="auto"/>
              <w:ind w:left="7" w:firstLine="429"/>
              <w:rPr>
                <w:sz w:val="21"/>
                <w:szCs w:val="21"/>
                <w:highlight w:val="none"/>
              </w:rPr>
            </w:pPr>
            <w:r>
              <w:rPr>
                <w:rFonts w:ascii="Times New Roman" w:hAnsi="Times New Roman" w:eastAsia="Times New Roman" w:cs="Times New Roman"/>
                <w:b/>
                <w:bCs/>
                <w:spacing w:val="9"/>
                <w:sz w:val="21"/>
                <w:szCs w:val="21"/>
                <w:highlight w:val="none"/>
              </w:rPr>
              <w:t>(</w:t>
            </w:r>
            <w:r>
              <w:rPr>
                <w:rFonts w:hint="eastAsia" w:ascii="Times New Roman" w:hAnsi="Times New Roman" w:eastAsia="宋体" w:cs="Times New Roman"/>
                <w:b/>
                <w:bCs/>
                <w:spacing w:val="9"/>
                <w:sz w:val="21"/>
                <w:szCs w:val="21"/>
                <w:highlight w:val="none"/>
                <w:lang w:val="en-US" w:eastAsia="zh-CN"/>
              </w:rPr>
              <w:t>3</w:t>
            </w:r>
            <w:r>
              <w:rPr>
                <w:rFonts w:ascii="Times New Roman" w:hAnsi="Times New Roman" w:eastAsia="Times New Roman" w:cs="Times New Roman"/>
                <w:b/>
                <w:bCs/>
                <w:spacing w:val="9"/>
                <w:sz w:val="21"/>
                <w:szCs w:val="21"/>
                <w:highlight w:val="none"/>
              </w:rPr>
              <w:t>)</w:t>
            </w:r>
            <w:r>
              <w:rPr>
                <w:b/>
                <w:bCs/>
                <w:spacing w:val="9"/>
                <w:sz w:val="21"/>
                <w:szCs w:val="21"/>
                <w:highlight w:val="none"/>
              </w:rPr>
              <w:t>代理商或授权生产商的第三方检测单位出具的合格的产品质</w:t>
            </w:r>
            <w:r>
              <w:rPr>
                <w:b/>
                <w:bCs/>
                <w:sz w:val="21"/>
                <w:szCs w:val="21"/>
                <w:highlight w:val="none"/>
              </w:rPr>
              <w:t>量检测报告；</w:t>
            </w:r>
          </w:p>
          <w:p w14:paraId="5D5607CB">
            <w:pPr>
              <w:topLinePunct/>
              <w:spacing w:line="440" w:lineRule="exact"/>
              <w:jc w:val="left"/>
              <w:rPr>
                <w:rFonts w:hint="eastAsia"/>
                <w:b/>
                <w:bCs/>
                <w:highlight w:val="none"/>
                <w:u w:val="single"/>
              </w:rPr>
            </w:pPr>
            <w:r>
              <w:rPr>
                <w:b/>
                <w:bCs/>
                <w:spacing w:val="6"/>
                <w:sz w:val="21"/>
                <w:szCs w:val="21"/>
                <w:highlight w:val="none"/>
              </w:rPr>
              <w:t>（</w:t>
            </w:r>
            <w:r>
              <w:rPr>
                <w:rFonts w:hint="eastAsia" w:eastAsia="宋体" w:cs="Times New Roman"/>
                <w:b/>
                <w:bCs/>
                <w:spacing w:val="6"/>
                <w:sz w:val="21"/>
                <w:szCs w:val="21"/>
                <w:highlight w:val="none"/>
                <w:lang w:val="en-US" w:eastAsia="zh-CN"/>
              </w:rPr>
              <w:t>4</w:t>
            </w:r>
            <w:r>
              <w:rPr>
                <w:b/>
                <w:bCs/>
                <w:spacing w:val="6"/>
                <w:sz w:val="21"/>
                <w:szCs w:val="21"/>
                <w:highlight w:val="none"/>
              </w:rPr>
              <w:t>）生产商出具的授权书和授权生产商在有效期内的质量管理</w:t>
            </w:r>
            <w:r>
              <w:rPr>
                <w:b/>
                <w:bCs/>
                <w:sz w:val="21"/>
                <w:szCs w:val="21"/>
                <w:highlight w:val="none"/>
              </w:rPr>
              <w:t>体系认证证书。</w:t>
            </w:r>
          </w:p>
        </w:tc>
      </w:tr>
      <w:tr w14:paraId="7ECB6EFB">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272AE3AF">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3</w:t>
            </w:r>
          </w:p>
        </w:tc>
        <w:tc>
          <w:tcPr>
            <w:tcW w:w="3164" w:type="dxa"/>
            <w:tcBorders>
              <w:top w:val="single" w:color="auto" w:sz="4" w:space="0"/>
              <w:left w:val="single" w:color="auto" w:sz="4" w:space="0"/>
              <w:bottom w:val="single" w:color="auto" w:sz="4" w:space="0"/>
              <w:right w:val="single" w:color="auto" w:sz="4" w:space="0"/>
            </w:tcBorders>
            <w:vAlign w:val="center"/>
          </w:tcPr>
          <w:p w14:paraId="3C84A6A2">
            <w:pPr>
              <w:spacing w:line="440" w:lineRule="exact"/>
              <w:jc w:val="center"/>
              <w:rPr>
                <w:rFonts w:ascii="宋体" w:hAnsi="宋体"/>
                <w:bCs/>
                <w:szCs w:val="21"/>
              </w:rPr>
            </w:pPr>
            <w:r>
              <w:rPr>
                <w:rFonts w:ascii="宋体" w:hAnsi="宋体"/>
                <w:bCs/>
              </w:rPr>
              <w:t>财务要求证明材料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A2BB64A">
            <w:pPr>
              <w:topLinePunct/>
              <w:spacing w:line="440" w:lineRule="exact"/>
              <w:jc w:val="left"/>
              <w:rPr>
                <w:bCs/>
                <w:szCs w:val="32"/>
              </w:rPr>
            </w:pPr>
            <w:r>
              <w:rPr>
                <w:rFonts w:ascii="Segoe UI Symbol" w:hAnsi="Segoe UI Symbol" w:cs="Segoe UI Symbol"/>
                <w:bCs/>
                <w:sz w:val="32"/>
                <w:szCs w:val="32"/>
              </w:rPr>
              <w:t>☑</w:t>
            </w:r>
            <w:r>
              <w:rPr>
                <w:bCs/>
              </w:rPr>
              <w:t>不适用</w:t>
            </w:r>
          </w:p>
          <w:p w14:paraId="67F6D61E">
            <w:pPr>
              <w:topLinePunct/>
              <w:spacing w:line="440" w:lineRule="exact"/>
              <w:jc w:val="left"/>
              <w:rPr>
                <w:bCs/>
              </w:rPr>
            </w:pPr>
            <w:r>
              <w:rPr>
                <w:bCs/>
                <w:sz w:val="32"/>
                <w:szCs w:val="32"/>
              </w:rPr>
              <w:t>□</w:t>
            </w:r>
            <w:r>
              <w:rPr>
                <w:bCs/>
              </w:rPr>
              <w:t>适用。</w:t>
            </w:r>
          </w:p>
          <w:p w14:paraId="18C09583">
            <w:pPr>
              <w:topLinePunct/>
              <w:spacing w:line="440" w:lineRule="exact"/>
              <w:jc w:val="left"/>
              <w:rPr>
                <w:rFonts w:ascii="宋体" w:hAnsi="宋体"/>
                <w:bCs/>
              </w:rPr>
            </w:pPr>
            <w:r>
              <w:rPr>
                <w:bCs/>
              </w:rPr>
              <w:t>近年财务会计报表年份是</w:t>
            </w:r>
            <w:r>
              <w:rPr>
                <w:rFonts w:ascii="宋体" w:hAnsi="宋体"/>
                <w:bCs/>
              </w:rPr>
              <w:t>指：</w:t>
            </w:r>
            <w:r>
              <w:rPr>
                <w:rFonts w:ascii="宋体" w:hAnsi="宋体"/>
                <w:bCs/>
                <w:u w:val="single"/>
              </w:rPr>
              <w:t xml:space="preserve">  </w:t>
            </w:r>
            <w:r>
              <w:rPr>
                <w:rFonts w:ascii="宋体" w:hAnsi="宋体"/>
                <w:bCs/>
              </w:rPr>
              <w:t>至</w:t>
            </w:r>
            <w:r>
              <w:rPr>
                <w:rFonts w:ascii="宋体" w:hAnsi="宋体"/>
                <w:bCs/>
                <w:u w:val="single"/>
              </w:rPr>
              <w:t xml:space="preserve">  </w:t>
            </w:r>
            <w:r>
              <w:rPr>
                <w:rFonts w:ascii="宋体" w:hAnsi="宋体"/>
                <w:bCs/>
              </w:rPr>
              <w:t>年。</w:t>
            </w:r>
          </w:p>
        </w:tc>
      </w:tr>
      <w:tr w14:paraId="32035494">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10CE31A">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12BAEC81">
            <w:pPr>
              <w:spacing w:line="440" w:lineRule="exact"/>
              <w:jc w:val="center"/>
              <w:rPr>
                <w:rFonts w:ascii="宋体" w:hAnsi="宋体"/>
                <w:bCs/>
                <w:szCs w:val="21"/>
              </w:rPr>
            </w:pPr>
            <w:r>
              <w:rPr>
                <w:rFonts w:ascii="宋体" w:hAnsi="宋体"/>
                <w:bCs/>
              </w:rPr>
              <w:t>业绩要求证明材料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04A3551C">
            <w:pPr>
              <w:topLinePunct/>
              <w:spacing w:line="440" w:lineRule="exact"/>
              <w:jc w:val="left"/>
              <w:rPr>
                <w:rFonts w:ascii="宋体" w:hAnsi="宋体"/>
                <w:bCs/>
                <w:highlight w:val="none"/>
              </w:rPr>
            </w:pPr>
            <w:r>
              <w:rPr>
                <w:bCs/>
                <w:sz w:val="32"/>
                <w:szCs w:val="32"/>
                <w:highlight w:val="none"/>
              </w:rPr>
              <w:t>□</w:t>
            </w:r>
            <w:r>
              <w:rPr>
                <w:rFonts w:ascii="宋体" w:hAnsi="宋体"/>
                <w:bCs/>
                <w:highlight w:val="none"/>
              </w:rPr>
              <w:t>不适用</w:t>
            </w:r>
          </w:p>
          <w:p w14:paraId="0ACCFFC2">
            <w:pPr>
              <w:topLinePunct/>
              <w:spacing w:line="440" w:lineRule="exact"/>
              <w:rPr>
                <w:rFonts w:ascii="宋体" w:hAnsi="宋体"/>
                <w:bCs/>
                <w:szCs w:val="21"/>
                <w:highlight w:val="none"/>
              </w:rPr>
            </w:pPr>
            <w:r>
              <w:rPr>
                <w:rFonts w:ascii="Segoe UI Symbol" w:hAnsi="Segoe UI Symbol" w:cs="Segoe UI Symbol"/>
                <w:bCs/>
                <w:sz w:val="32"/>
                <w:szCs w:val="32"/>
              </w:rPr>
              <w:sym w:font="Wingdings 2" w:char="0052"/>
            </w:r>
            <w:r>
              <w:rPr>
                <w:rFonts w:ascii="宋体" w:hAnsi="宋体"/>
                <w:bCs/>
                <w:highlight w:val="none"/>
              </w:rPr>
              <w:t>适用。</w:t>
            </w:r>
            <w:r>
              <w:rPr>
                <w:rFonts w:ascii="宋体" w:hAnsi="宋体"/>
                <w:bCs/>
                <w:szCs w:val="21"/>
                <w:highlight w:val="none"/>
              </w:rPr>
              <w:t>供应商应提供近年的类似项目情况表（格式见第六章“响应文件格式”七、资格审查资料（</w:t>
            </w:r>
            <w:r>
              <w:rPr>
                <w:rFonts w:hint="eastAsia" w:ascii="宋体" w:hAnsi="宋体"/>
                <w:bCs/>
                <w:szCs w:val="21"/>
                <w:highlight w:val="none"/>
                <w:lang w:val="en-US" w:eastAsia="zh-CN"/>
              </w:rPr>
              <w:t>二</w:t>
            </w:r>
            <w:r>
              <w:rPr>
                <w:rFonts w:ascii="宋体" w:hAnsi="宋体"/>
                <w:bCs/>
                <w:szCs w:val="21"/>
                <w:highlight w:val="none"/>
              </w:rPr>
              <w:t>）近年的类似项目情况表），以证明供应商具有承担本项目要求的业绩。</w:t>
            </w:r>
          </w:p>
          <w:p w14:paraId="207CA5E3">
            <w:pPr>
              <w:topLinePunct/>
              <w:spacing w:line="440" w:lineRule="exact"/>
              <w:jc w:val="left"/>
              <w:rPr>
                <w:rFonts w:ascii="宋体" w:hAnsi="宋体"/>
                <w:bCs/>
                <w:highlight w:val="none"/>
              </w:rPr>
            </w:pPr>
            <w:r>
              <w:rPr>
                <w:rFonts w:ascii="宋体" w:hAnsi="宋体"/>
                <w:bCs/>
                <w:highlight w:val="none"/>
              </w:rPr>
              <w:t>业绩证明材料要求：</w:t>
            </w:r>
          </w:p>
          <w:p w14:paraId="6D304A3A">
            <w:pPr>
              <w:topLinePunct/>
              <w:spacing w:line="440" w:lineRule="exact"/>
              <w:ind w:firstLine="420"/>
              <w:jc w:val="left"/>
              <w:rPr>
                <w:rFonts w:hint="eastAsia" w:ascii="宋体" w:hAnsi="宋体" w:eastAsia="宋体"/>
                <w:bCs/>
                <w:szCs w:val="21"/>
                <w:highlight w:val="none"/>
                <w:lang w:eastAsia="zh-CN"/>
              </w:rPr>
            </w:pPr>
            <w:r>
              <w:rPr>
                <w:rFonts w:ascii="宋体" w:hAnsi="宋体"/>
                <w:bCs/>
                <w:highlight w:val="none"/>
              </w:rPr>
              <w:sym w:font="Wingdings 2" w:char="0052"/>
            </w:r>
            <w:r>
              <w:rPr>
                <w:rFonts w:ascii="宋体" w:hAnsi="宋体"/>
                <w:bCs/>
                <w:szCs w:val="21"/>
                <w:highlight w:val="none"/>
              </w:rPr>
              <w:t>合同/订单</w:t>
            </w:r>
            <w:r>
              <w:rPr>
                <w:rFonts w:hint="eastAsia"/>
                <w:b/>
                <w:bCs/>
                <w:spacing w:val="1"/>
                <w:sz w:val="21"/>
                <w:szCs w:val="21"/>
                <w:highlight w:val="none"/>
                <w:lang w:eastAsia="zh-CN"/>
              </w:rPr>
              <w:t>（</w:t>
            </w:r>
            <w:r>
              <w:rPr>
                <w:b/>
                <w:bCs/>
                <w:spacing w:val="2"/>
                <w:sz w:val="21"/>
                <w:szCs w:val="21"/>
                <w:highlight w:val="none"/>
              </w:rPr>
              <w:t>需提供相关合同复印件且签字盖公</w:t>
            </w:r>
            <w:r>
              <w:rPr>
                <w:b/>
                <w:bCs/>
                <w:spacing w:val="1"/>
                <w:sz w:val="21"/>
                <w:szCs w:val="21"/>
                <w:highlight w:val="none"/>
              </w:rPr>
              <w:t>章齐全</w:t>
            </w:r>
            <w:r>
              <w:rPr>
                <w:rFonts w:hint="eastAsia"/>
                <w:b/>
                <w:bCs/>
                <w:spacing w:val="1"/>
                <w:sz w:val="21"/>
                <w:szCs w:val="21"/>
                <w:highlight w:val="none"/>
                <w:lang w:eastAsia="zh-CN"/>
              </w:rPr>
              <w:t>）</w:t>
            </w:r>
          </w:p>
          <w:p w14:paraId="0BF081AF">
            <w:pPr>
              <w:topLinePunct/>
              <w:spacing w:line="440" w:lineRule="exact"/>
              <w:ind w:firstLine="420"/>
              <w:jc w:val="left"/>
              <w:rPr>
                <w:rFonts w:ascii="宋体" w:hAnsi="宋体"/>
                <w:bCs/>
                <w:szCs w:val="21"/>
              </w:rPr>
            </w:pPr>
            <w:r>
              <w:rPr>
                <w:rFonts w:ascii="宋体" w:hAnsi="宋体"/>
                <w:bCs/>
                <w:szCs w:val="21"/>
                <w:highlight w:val="none"/>
              </w:rPr>
              <w:sym w:font="Wingdings 2" w:char="00A3"/>
            </w:r>
            <w:r>
              <w:rPr>
                <w:rFonts w:ascii="宋体" w:hAnsi="宋体"/>
                <w:bCs/>
                <w:szCs w:val="21"/>
                <w:highlight w:val="none"/>
              </w:rPr>
              <w:t>中标通知书/成交通知</w:t>
            </w:r>
            <w:r>
              <w:rPr>
                <w:rFonts w:ascii="宋体" w:hAnsi="宋体"/>
                <w:bCs/>
                <w:szCs w:val="21"/>
              </w:rPr>
              <w:t>书</w:t>
            </w:r>
          </w:p>
          <w:p w14:paraId="3D2BB287">
            <w:pPr>
              <w:topLinePunct/>
              <w:spacing w:line="440" w:lineRule="exact"/>
              <w:ind w:firstLine="420"/>
              <w:jc w:val="left"/>
              <w:rPr>
                <w:rFonts w:ascii="宋体" w:hAnsi="宋体"/>
                <w:bCs/>
                <w:szCs w:val="21"/>
              </w:rPr>
            </w:pPr>
            <w:r>
              <w:rPr>
                <w:rFonts w:ascii="宋体" w:hAnsi="宋体"/>
                <w:bCs/>
                <w:szCs w:val="21"/>
              </w:rPr>
              <w:t>□交（竣）工验收报告/验收证明</w:t>
            </w:r>
          </w:p>
          <w:p w14:paraId="4272A603">
            <w:pPr>
              <w:topLinePunct/>
              <w:spacing w:line="440" w:lineRule="exact"/>
              <w:rPr>
                <w:rFonts w:ascii="宋体" w:hAnsi="宋体"/>
                <w:bCs/>
                <w:szCs w:val="21"/>
                <w:highlight w:val="none"/>
              </w:rPr>
            </w:pPr>
            <w:r>
              <w:rPr>
                <w:rFonts w:hint="eastAsia" w:ascii="宋体" w:hAnsi="宋体"/>
                <w:bCs/>
                <w:szCs w:val="21"/>
                <w:lang w:eastAsia="zh-CN"/>
              </w:rPr>
              <w:t>☑</w:t>
            </w:r>
            <w:r>
              <w:rPr>
                <w:rFonts w:ascii="宋体" w:hAnsi="宋体"/>
                <w:bCs/>
                <w:szCs w:val="21"/>
              </w:rPr>
              <w:t>其他材料：</w:t>
            </w:r>
            <w:r>
              <w:rPr>
                <w:b/>
                <w:bCs/>
                <w:spacing w:val="6"/>
                <w:sz w:val="21"/>
                <w:szCs w:val="21"/>
                <w:highlight w:val="none"/>
                <w:u w:val="single"/>
              </w:rPr>
              <w:t>投标人如为代理经销商，则必须有生产商的授</w:t>
            </w:r>
            <w:r>
              <w:rPr>
                <w:b/>
                <w:bCs/>
                <w:spacing w:val="4"/>
                <w:sz w:val="21"/>
                <w:szCs w:val="21"/>
                <w:highlight w:val="none"/>
                <w:u w:val="single"/>
              </w:rPr>
              <w:t>权委托书，生产商</w:t>
            </w:r>
            <w:r>
              <w:rPr>
                <w:b/>
                <w:bCs/>
                <w:spacing w:val="3"/>
                <w:sz w:val="21"/>
                <w:szCs w:val="21"/>
                <w:highlight w:val="none"/>
                <w:u w:val="single"/>
              </w:rPr>
              <w:t>直接销售</w:t>
            </w:r>
            <w:r>
              <w:rPr>
                <w:b/>
                <w:bCs/>
                <w:spacing w:val="1"/>
                <w:sz w:val="21"/>
                <w:szCs w:val="21"/>
                <w:highlight w:val="none"/>
                <w:u w:val="single"/>
              </w:rPr>
              <w:t>的业绩视同代理经销商的业绩。</w:t>
            </w:r>
          </w:p>
          <w:p w14:paraId="7F8D2314">
            <w:pPr>
              <w:topLinePunct/>
              <w:spacing w:line="440" w:lineRule="exact"/>
              <w:rPr>
                <w:rFonts w:ascii="宋体" w:hAnsi="宋体"/>
                <w:bCs/>
                <w:u w:val="single"/>
              </w:rPr>
            </w:pPr>
            <w:r>
              <w:rPr>
                <w:rFonts w:ascii="宋体" w:hAnsi="宋体"/>
                <w:bCs/>
              </w:rPr>
              <w:t>注：</w:t>
            </w:r>
            <w:r>
              <w:rPr>
                <w:rFonts w:ascii="宋体" w:hAnsi="宋体"/>
                <w:bCs/>
                <w:u w:val="single"/>
              </w:rPr>
              <w:t>若提供相关证明材料不能完全体现业绩要求的。</w:t>
            </w:r>
          </w:p>
          <w:p w14:paraId="7E57F67E">
            <w:pPr>
              <w:topLinePunct/>
              <w:spacing w:line="440" w:lineRule="exact"/>
              <w:rPr>
                <w:rFonts w:ascii="宋体" w:hAnsi="宋体"/>
                <w:bCs/>
                <w:u w:val="single"/>
              </w:rPr>
            </w:pPr>
            <w:r>
              <w:rPr>
                <w:rFonts w:ascii="宋体" w:hAnsi="宋体"/>
                <w:bCs/>
              </w:rPr>
              <w:sym w:font="Wingdings 2" w:char="00A3"/>
            </w:r>
            <w:r>
              <w:rPr>
                <w:rFonts w:ascii="宋体" w:hAnsi="宋体"/>
                <w:bCs/>
              </w:rPr>
              <w:t>在承诺函补充说明中承诺。</w:t>
            </w:r>
          </w:p>
          <w:p w14:paraId="76D40236">
            <w:pPr>
              <w:topLinePunct/>
              <w:spacing w:line="440" w:lineRule="exact"/>
              <w:rPr>
                <w:rFonts w:ascii="宋体" w:hAnsi="宋体"/>
                <w:bCs/>
              </w:rPr>
            </w:pPr>
            <w:r>
              <w:rPr>
                <w:rFonts w:ascii="Segoe UI Symbol" w:hAnsi="Segoe UI Symbol" w:cs="Segoe UI Symbol"/>
                <w:bCs/>
                <w:sz w:val="32"/>
                <w:szCs w:val="32"/>
              </w:rPr>
              <w:sym w:font="Wingdings 2" w:char="0052"/>
            </w:r>
            <w:r>
              <w:rPr>
                <w:rFonts w:ascii="宋体" w:hAnsi="宋体"/>
                <w:bCs/>
              </w:rPr>
              <w:t>提供业主证明</w:t>
            </w:r>
          </w:p>
          <w:p w14:paraId="2EC1FCC6">
            <w:pPr>
              <w:topLinePunct/>
              <w:spacing w:line="440" w:lineRule="exact"/>
              <w:jc w:val="left"/>
              <w:rPr>
                <w:rFonts w:ascii="宋体" w:hAnsi="宋体"/>
                <w:bCs/>
                <w:u w:val="single"/>
              </w:rPr>
            </w:pPr>
            <w:r>
              <w:rPr>
                <w:rFonts w:ascii="宋体" w:hAnsi="宋体"/>
                <w:bCs/>
              </w:rPr>
              <w:t>近年是指：</w:t>
            </w:r>
            <w:r>
              <w:rPr>
                <w:rFonts w:hint="eastAsia" w:ascii="宋体" w:hAnsi="宋体"/>
                <w:bCs/>
                <w:u w:val="single"/>
                <w:lang w:val="en-US" w:eastAsia="zh-CN"/>
              </w:rPr>
              <w:t>2022年12月1日</w:t>
            </w:r>
            <w:r>
              <w:rPr>
                <w:rFonts w:ascii="宋体" w:hAnsi="宋体"/>
                <w:bCs/>
              </w:rPr>
              <w:t>至</w:t>
            </w:r>
            <w:r>
              <w:rPr>
                <w:rFonts w:hint="eastAsia" w:ascii="宋体" w:hAnsi="宋体"/>
                <w:bCs/>
                <w:lang w:val="en-US" w:eastAsia="zh-CN"/>
              </w:rPr>
              <w:t>今</w:t>
            </w:r>
            <w:r>
              <w:rPr>
                <w:rFonts w:ascii="宋体" w:hAnsi="宋体"/>
                <w:bCs/>
              </w:rPr>
              <w:t>。</w:t>
            </w:r>
          </w:p>
        </w:tc>
      </w:tr>
      <w:tr w14:paraId="5CBA361C">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B8AB2AB">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5</w:t>
            </w:r>
          </w:p>
        </w:tc>
        <w:tc>
          <w:tcPr>
            <w:tcW w:w="3164" w:type="dxa"/>
            <w:tcBorders>
              <w:top w:val="single" w:color="auto" w:sz="4" w:space="0"/>
              <w:left w:val="single" w:color="auto" w:sz="4" w:space="0"/>
              <w:bottom w:val="single" w:color="auto" w:sz="4" w:space="0"/>
              <w:right w:val="single" w:color="auto" w:sz="4" w:space="0"/>
            </w:tcBorders>
            <w:vAlign w:val="center"/>
          </w:tcPr>
          <w:p w14:paraId="645B23AA">
            <w:pPr>
              <w:spacing w:line="440" w:lineRule="exact"/>
              <w:jc w:val="center"/>
              <w:rPr>
                <w:rFonts w:ascii="宋体" w:hAnsi="宋体"/>
                <w:bCs/>
              </w:rPr>
            </w:pPr>
            <w:r>
              <w:rPr>
                <w:rFonts w:ascii="宋体" w:hAnsi="宋体"/>
                <w:bCs/>
              </w:rPr>
              <w:t>信誉要求证明材料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7C9C2912">
            <w:pPr>
              <w:topLinePunct/>
              <w:spacing w:line="440" w:lineRule="exact"/>
              <w:jc w:val="left"/>
              <w:rPr>
                <w:bCs/>
                <w:szCs w:val="32"/>
              </w:rPr>
            </w:pPr>
            <w:r>
              <w:rPr>
                <w:bCs/>
                <w:sz w:val="32"/>
                <w:szCs w:val="32"/>
              </w:rPr>
              <w:t>□</w:t>
            </w:r>
            <w:r>
              <w:rPr>
                <w:bCs/>
              </w:rPr>
              <w:t>不适用</w:t>
            </w:r>
          </w:p>
          <w:p w14:paraId="7EDCB722">
            <w:pPr>
              <w:topLinePunct/>
              <w:spacing w:line="440" w:lineRule="exact"/>
              <w:jc w:val="left"/>
              <w:rPr>
                <w:rFonts w:ascii="宋体" w:hAnsi="宋体"/>
                <w:bCs/>
              </w:rPr>
            </w:pPr>
            <w:r>
              <w:rPr>
                <w:rFonts w:ascii="Segoe UI Symbol" w:hAnsi="Segoe UI Symbol" w:cs="Segoe UI Symbol"/>
                <w:bCs/>
                <w:sz w:val="32"/>
                <w:szCs w:val="32"/>
              </w:rPr>
              <w:t>☑</w:t>
            </w:r>
            <w:r>
              <w:rPr>
                <w:bCs/>
              </w:rPr>
              <w:t>适用。供应商应提</w:t>
            </w:r>
            <w:r>
              <w:rPr>
                <w:rFonts w:ascii="宋体" w:hAnsi="宋体"/>
                <w:bCs/>
              </w:rPr>
              <w:t>供相关信誉情况的证明材料，包括：</w:t>
            </w:r>
            <w:r>
              <w:rPr>
                <w:rFonts w:hint="eastAsia"/>
                <w:bCs/>
                <w:u w:val="single"/>
              </w:rPr>
              <w:t>在“全国企业信用信息公示系统http://www.gsxt.gov.cn”中未被列入严重违法失信企业名单（不含分公司）的网页截图复印件，在“信用中国http://www.creditchina.gov.cn/”网站中未被列入失信被执行人名单、经营异常名录、重大税收违法失信主体、政府采购严重违法失信行为记录名单的（不含分公司）网页截图复印件</w:t>
            </w:r>
            <w:r>
              <w:rPr>
                <w:rFonts w:ascii="宋体" w:hAnsi="宋体"/>
                <w:bCs/>
              </w:rPr>
              <w:t>。</w:t>
            </w:r>
          </w:p>
        </w:tc>
      </w:tr>
      <w:tr w14:paraId="758A0FA0">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4BC01251">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6</w:t>
            </w:r>
          </w:p>
        </w:tc>
        <w:tc>
          <w:tcPr>
            <w:tcW w:w="3164" w:type="dxa"/>
            <w:tcBorders>
              <w:top w:val="single" w:color="auto" w:sz="4" w:space="0"/>
              <w:left w:val="single" w:color="auto" w:sz="4" w:space="0"/>
              <w:bottom w:val="single" w:color="auto" w:sz="4" w:space="0"/>
              <w:right w:val="single" w:color="auto" w:sz="4" w:space="0"/>
            </w:tcBorders>
            <w:vAlign w:val="center"/>
          </w:tcPr>
          <w:p w14:paraId="7BE08B03">
            <w:pPr>
              <w:spacing w:line="440" w:lineRule="exact"/>
              <w:jc w:val="center"/>
              <w:rPr>
                <w:rFonts w:ascii="宋体" w:hAnsi="宋体"/>
                <w:bCs/>
              </w:rPr>
            </w:pPr>
            <w:r>
              <w:rPr>
                <w:rFonts w:ascii="宋体" w:hAnsi="宋体"/>
                <w:bCs/>
              </w:rPr>
              <w:t>承担本项目的主要人员要求证明材料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0B49336">
            <w:pPr>
              <w:topLinePunct/>
              <w:spacing w:line="440" w:lineRule="exact"/>
              <w:jc w:val="left"/>
            </w:pPr>
            <w:r>
              <w:rPr>
                <w:rFonts w:ascii="Segoe UI Symbol" w:hAnsi="Segoe UI Symbol" w:cs="Segoe UI Symbol"/>
                <w:bCs/>
                <w:sz w:val="32"/>
                <w:szCs w:val="32"/>
              </w:rPr>
              <w:t>☑</w:t>
            </w:r>
            <w:r>
              <w:t>不适用</w:t>
            </w:r>
          </w:p>
          <w:p w14:paraId="38E2FFA3">
            <w:pPr>
              <w:topLinePunct/>
              <w:spacing w:line="440" w:lineRule="exact"/>
              <w:jc w:val="left"/>
            </w:pPr>
            <w:r>
              <w:rPr>
                <w:bCs/>
                <w:sz w:val="32"/>
                <w:szCs w:val="32"/>
              </w:rPr>
              <w:t>□</w:t>
            </w:r>
            <w:r>
              <w:t>适用。</w:t>
            </w:r>
          </w:p>
          <w:p w14:paraId="18D8E82E">
            <w:pPr>
              <w:topLinePunct/>
              <w:spacing w:line="440" w:lineRule="exact"/>
              <w:jc w:val="left"/>
              <w:rPr>
                <w:rFonts w:ascii="宋体" w:hAnsi="宋体"/>
              </w:rPr>
            </w:pPr>
            <w:r>
              <w:rPr>
                <w:rFonts w:ascii="宋体" w:hAnsi="宋体"/>
              </w:rPr>
              <w:t>证明文件要求：</w:t>
            </w:r>
            <w:r>
              <w:rPr>
                <w:rFonts w:ascii="宋体" w:hAnsi="宋体"/>
                <w:u w:val="single"/>
              </w:rPr>
              <w:t xml:space="preserve">             </w:t>
            </w:r>
            <w:r>
              <w:rPr>
                <w:rFonts w:ascii="宋体" w:hAnsi="宋体"/>
              </w:rPr>
              <w:t>。</w:t>
            </w:r>
          </w:p>
          <w:p w14:paraId="1974E20B">
            <w:pPr>
              <w:topLinePunct/>
              <w:spacing w:line="440" w:lineRule="exact"/>
              <w:jc w:val="left"/>
              <w:rPr>
                <w:rFonts w:ascii="宋体" w:hAnsi="宋体"/>
                <w:sz w:val="24"/>
              </w:rPr>
            </w:pPr>
            <w:r>
              <w:rPr>
                <w:rFonts w:ascii="宋体" w:hAnsi="宋体"/>
              </w:rPr>
              <w:t>除满足资格要求的证明材料外，其它要求的证明材料仅用作评审打分，不作为否决响应的依据。</w:t>
            </w:r>
          </w:p>
        </w:tc>
      </w:tr>
      <w:tr w14:paraId="2FFC14F8">
        <w:tblPrEx>
          <w:tblCellMar>
            <w:top w:w="0" w:type="dxa"/>
            <w:left w:w="108" w:type="dxa"/>
            <w:bottom w:w="0" w:type="dxa"/>
            <w:right w:w="108" w:type="dxa"/>
          </w:tblCellMar>
        </w:tblPrEx>
        <w:trPr>
          <w:trHeight w:val="906" w:hRule="atLeast"/>
        </w:trPr>
        <w:tc>
          <w:tcPr>
            <w:tcW w:w="1271" w:type="dxa"/>
            <w:tcBorders>
              <w:left w:val="single" w:color="auto" w:sz="4" w:space="0"/>
              <w:bottom w:val="single" w:color="auto" w:sz="4" w:space="0"/>
              <w:right w:val="single" w:color="auto" w:sz="4" w:space="0"/>
            </w:tcBorders>
            <w:vAlign w:val="center"/>
          </w:tcPr>
          <w:p w14:paraId="740E91C5">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7</w:t>
            </w:r>
          </w:p>
        </w:tc>
        <w:tc>
          <w:tcPr>
            <w:tcW w:w="3164" w:type="dxa"/>
            <w:tcBorders>
              <w:top w:val="single" w:color="auto" w:sz="4" w:space="0"/>
              <w:left w:val="single" w:color="auto" w:sz="4" w:space="0"/>
              <w:bottom w:val="single" w:color="auto" w:sz="4" w:space="0"/>
              <w:right w:val="single" w:color="auto" w:sz="4" w:space="0"/>
            </w:tcBorders>
            <w:vAlign w:val="center"/>
          </w:tcPr>
          <w:p w14:paraId="71FA4B6F">
            <w:pPr>
              <w:spacing w:line="440" w:lineRule="exact"/>
              <w:jc w:val="center"/>
              <w:rPr>
                <w:rFonts w:ascii="宋体" w:hAnsi="宋体"/>
                <w:bCs/>
              </w:rPr>
            </w:pPr>
            <w:r>
              <w:rPr>
                <w:rFonts w:ascii="宋体" w:hAnsi="宋体"/>
                <w:bCs/>
                <w:szCs w:val="21"/>
              </w:rPr>
              <w:t>其他要求的证明材料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455FDAFA">
            <w:pPr>
              <w:topLinePunct/>
              <w:spacing w:line="440" w:lineRule="exact"/>
              <w:jc w:val="left"/>
              <w:rPr>
                <w:rFonts w:ascii="宋体" w:hAnsi="宋体"/>
                <w:bCs/>
              </w:rPr>
            </w:pPr>
            <w:r>
              <w:rPr>
                <w:b/>
                <w:bCs/>
                <w:spacing w:val="6"/>
                <w:sz w:val="21"/>
                <w:szCs w:val="21"/>
                <w:highlight w:val="none"/>
              </w:rPr>
              <w:t>需提供自有车辆明细或运输服务合同租赁车</w:t>
            </w:r>
            <w:r>
              <w:rPr>
                <w:b/>
                <w:bCs/>
                <w:spacing w:val="3"/>
                <w:sz w:val="21"/>
                <w:szCs w:val="21"/>
                <w:highlight w:val="none"/>
              </w:rPr>
              <w:t>辆明细，且提供每辆车的行驶证复印件</w:t>
            </w:r>
          </w:p>
        </w:tc>
      </w:tr>
      <w:tr w14:paraId="3DE9990F">
        <w:tblPrEx>
          <w:tblCellMar>
            <w:top w:w="0" w:type="dxa"/>
            <w:left w:w="108" w:type="dxa"/>
            <w:bottom w:w="0" w:type="dxa"/>
            <w:right w:w="108" w:type="dxa"/>
          </w:tblCellMar>
        </w:tblPrEx>
        <w:trPr>
          <w:trHeight w:val="816" w:hRule="atLeast"/>
        </w:trPr>
        <w:tc>
          <w:tcPr>
            <w:tcW w:w="1271" w:type="dxa"/>
            <w:tcBorders>
              <w:left w:val="single" w:color="auto" w:sz="4" w:space="0"/>
              <w:bottom w:val="single" w:color="auto" w:sz="4" w:space="0"/>
              <w:right w:val="single" w:color="auto" w:sz="4" w:space="0"/>
            </w:tcBorders>
            <w:vAlign w:val="center"/>
          </w:tcPr>
          <w:p w14:paraId="1D72487D">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9</w:t>
            </w:r>
          </w:p>
        </w:tc>
        <w:tc>
          <w:tcPr>
            <w:tcW w:w="3164" w:type="dxa"/>
            <w:tcBorders>
              <w:top w:val="single" w:color="auto" w:sz="4" w:space="0"/>
              <w:left w:val="single" w:color="auto" w:sz="4" w:space="0"/>
              <w:bottom w:val="single" w:color="auto" w:sz="4" w:space="0"/>
              <w:right w:val="single" w:color="auto" w:sz="4" w:space="0"/>
            </w:tcBorders>
            <w:vAlign w:val="center"/>
          </w:tcPr>
          <w:p w14:paraId="1415B03D">
            <w:pPr>
              <w:spacing w:line="440" w:lineRule="exact"/>
              <w:jc w:val="center"/>
              <w:rPr>
                <w:rFonts w:ascii="宋体" w:hAnsi="宋体"/>
                <w:bCs/>
              </w:rPr>
            </w:pPr>
            <w:r>
              <w:rPr>
                <w:rFonts w:ascii="宋体" w:hAnsi="宋体"/>
                <w:bCs/>
                <w:szCs w:val="21"/>
              </w:rPr>
              <w:t>联合体要求的证明材料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58F68B9">
            <w:pPr>
              <w:topLinePunct/>
              <w:spacing w:line="440" w:lineRule="exact"/>
              <w:jc w:val="left"/>
              <w:rPr>
                <w:rFonts w:ascii="宋体" w:hAnsi="宋体"/>
                <w:bCs/>
              </w:rPr>
            </w:pPr>
            <w:r>
              <w:rPr>
                <w:rFonts w:hint="eastAsia" w:ascii="宋体" w:hAnsi="宋体"/>
                <w:bCs/>
              </w:rPr>
              <w:t>不适用</w:t>
            </w:r>
          </w:p>
        </w:tc>
      </w:tr>
      <w:tr w14:paraId="1036DEB0">
        <w:tblPrEx>
          <w:tblCellMar>
            <w:top w:w="0" w:type="dxa"/>
            <w:left w:w="108" w:type="dxa"/>
            <w:bottom w:w="0" w:type="dxa"/>
            <w:right w:w="108" w:type="dxa"/>
          </w:tblCellMar>
        </w:tblPrEx>
        <w:trPr>
          <w:trHeight w:val="906" w:hRule="atLeast"/>
        </w:trPr>
        <w:tc>
          <w:tcPr>
            <w:tcW w:w="1271" w:type="dxa"/>
            <w:tcBorders>
              <w:left w:val="single" w:color="auto" w:sz="4" w:space="0"/>
              <w:bottom w:val="single" w:color="auto" w:sz="4" w:space="0"/>
              <w:right w:val="single" w:color="auto" w:sz="4" w:space="0"/>
            </w:tcBorders>
            <w:vAlign w:val="center"/>
          </w:tcPr>
          <w:p w14:paraId="26B67CA3">
            <w:pPr>
              <w:spacing w:line="440" w:lineRule="exact"/>
              <w:jc w:val="center"/>
              <w:rPr>
                <w:rFonts w:ascii="宋体" w:hAnsi="宋体"/>
                <w:bCs/>
                <w:szCs w:val="21"/>
              </w:rPr>
            </w:pPr>
            <w:r>
              <w:rPr>
                <w:bCs/>
                <w:szCs w:val="21"/>
              </w:rPr>
              <w:t>3</w:t>
            </w:r>
            <w:r>
              <w:rPr>
                <w:rFonts w:ascii="宋体" w:hAnsi="宋体"/>
                <w:bCs/>
                <w:szCs w:val="21"/>
              </w:rPr>
              <w:t>.</w:t>
            </w:r>
            <w:r>
              <w:rPr>
                <w:bCs/>
                <w:szCs w:val="21"/>
              </w:rPr>
              <w:t>6</w:t>
            </w:r>
            <w:r>
              <w:rPr>
                <w:rFonts w:ascii="宋体" w:hAnsi="宋体"/>
                <w:bCs/>
                <w:szCs w:val="21"/>
              </w:rPr>
              <w:t>.</w:t>
            </w:r>
            <w:r>
              <w:rPr>
                <w:bCs/>
                <w:szCs w:val="21"/>
              </w:rPr>
              <w:t>1</w:t>
            </w:r>
          </w:p>
        </w:tc>
        <w:tc>
          <w:tcPr>
            <w:tcW w:w="3164" w:type="dxa"/>
            <w:tcBorders>
              <w:top w:val="single" w:color="auto" w:sz="4" w:space="0"/>
              <w:left w:val="single" w:color="auto" w:sz="4" w:space="0"/>
              <w:bottom w:val="single" w:color="auto" w:sz="4" w:space="0"/>
              <w:right w:val="single" w:color="auto" w:sz="4" w:space="0"/>
            </w:tcBorders>
            <w:vAlign w:val="center"/>
          </w:tcPr>
          <w:p w14:paraId="3F76D84A">
            <w:pPr>
              <w:spacing w:line="440" w:lineRule="exact"/>
              <w:jc w:val="center"/>
              <w:rPr>
                <w:rFonts w:ascii="宋体" w:hAnsi="宋体"/>
                <w:bCs/>
                <w:szCs w:val="21"/>
              </w:rPr>
            </w:pPr>
            <w:r>
              <w:rPr>
                <w:rFonts w:ascii="宋体" w:hAnsi="宋体"/>
                <w:bCs/>
              </w:rPr>
              <w:t>对关键条款进行响应的证据或证明材料要求</w:t>
            </w:r>
          </w:p>
        </w:tc>
        <w:tc>
          <w:tcPr>
            <w:tcW w:w="4887" w:type="dxa"/>
            <w:tcBorders>
              <w:top w:val="single" w:color="auto" w:sz="4" w:space="0"/>
              <w:left w:val="single" w:color="auto" w:sz="4" w:space="0"/>
              <w:bottom w:val="single" w:color="auto" w:sz="4" w:space="0"/>
              <w:right w:val="single" w:color="auto" w:sz="4" w:space="0"/>
            </w:tcBorders>
            <w:vAlign w:val="center"/>
          </w:tcPr>
          <w:p w14:paraId="7EDF385A">
            <w:pPr>
              <w:topLinePunct/>
              <w:spacing w:line="440" w:lineRule="exact"/>
              <w:jc w:val="left"/>
              <w:rPr>
                <w:rFonts w:ascii="宋体" w:hAnsi="宋体"/>
                <w:bCs/>
              </w:rPr>
            </w:pPr>
            <w:r>
              <w:rPr>
                <w:rFonts w:hint="eastAsia" w:ascii="宋体" w:hAnsi="宋体"/>
                <w:bCs/>
              </w:rPr>
              <w:t>无</w:t>
            </w:r>
          </w:p>
        </w:tc>
      </w:tr>
      <w:tr w14:paraId="7C67E4C4">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C57815B">
            <w:pPr>
              <w:spacing w:line="440" w:lineRule="exact"/>
              <w:jc w:val="center"/>
              <w:rPr>
                <w:rFonts w:ascii="宋体" w:hAnsi="宋体"/>
                <w:bCs/>
              </w:rPr>
            </w:pPr>
            <w:r>
              <w:rPr>
                <w:bCs/>
              </w:rPr>
              <w:t>3</w:t>
            </w:r>
            <w:r>
              <w:rPr>
                <w:rFonts w:ascii="宋体" w:hAnsi="宋体"/>
                <w:bCs/>
              </w:rPr>
              <w:t>.</w:t>
            </w:r>
            <w:r>
              <w:rPr>
                <w:bCs/>
              </w:rPr>
              <w:t>7</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49F27695">
            <w:pPr>
              <w:spacing w:line="400" w:lineRule="exact"/>
              <w:jc w:val="center"/>
              <w:rPr>
                <w:rFonts w:ascii="宋体" w:hAnsi="宋体"/>
                <w:bCs/>
              </w:rPr>
            </w:pPr>
            <w:r>
              <w:rPr>
                <w:rFonts w:ascii="宋体" w:hAnsi="宋体"/>
                <w:bCs/>
              </w:rPr>
              <w:t>供应商所附证书证件及证明材料</w:t>
            </w:r>
            <w:r>
              <w:rPr>
                <w:rFonts w:ascii="宋体" w:hAnsi="宋体"/>
                <w:bCs/>
                <w:color w:val="000000"/>
              </w:rPr>
              <w:t>要求</w:t>
            </w:r>
          </w:p>
        </w:tc>
        <w:tc>
          <w:tcPr>
            <w:tcW w:w="4887" w:type="dxa"/>
            <w:tcBorders>
              <w:top w:val="single" w:color="auto" w:sz="4" w:space="0"/>
              <w:left w:val="single" w:color="auto" w:sz="4" w:space="0"/>
              <w:bottom w:val="single" w:color="auto" w:sz="4" w:space="0"/>
              <w:right w:val="single" w:color="auto" w:sz="4" w:space="0"/>
            </w:tcBorders>
            <w:vAlign w:val="center"/>
          </w:tcPr>
          <w:p w14:paraId="04C2951C">
            <w:pPr>
              <w:adjustRightInd w:val="0"/>
              <w:snapToGrid w:val="0"/>
              <w:spacing w:line="440" w:lineRule="exact"/>
              <w:rPr>
                <w:rFonts w:ascii="宋体" w:hAnsi="宋体"/>
                <w:bCs/>
              </w:rPr>
            </w:pPr>
            <w:r>
              <w:rPr>
                <w:rFonts w:hint="eastAsia"/>
                <w:bCs/>
              </w:rPr>
              <w:t>见须知正文。</w:t>
            </w:r>
          </w:p>
        </w:tc>
      </w:tr>
      <w:tr w14:paraId="4665793D">
        <w:tblPrEx>
          <w:tblCellMar>
            <w:top w:w="0" w:type="dxa"/>
            <w:left w:w="108" w:type="dxa"/>
            <w:bottom w:w="0" w:type="dxa"/>
            <w:right w:w="108" w:type="dxa"/>
          </w:tblCellMar>
        </w:tblPrEx>
        <w:trPr>
          <w:trHeight w:val="544" w:hRule="atLeast"/>
        </w:trPr>
        <w:tc>
          <w:tcPr>
            <w:tcW w:w="1271" w:type="dxa"/>
            <w:tcBorders>
              <w:top w:val="single" w:color="auto" w:sz="4" w:space="0"/>
              <w:left w:val="single" w:color="auto" w:sz="4" w:space="0"/>
              <w:bottom w:val="single" w:color="auto" w:sz="4" w:space="0"/>
              <w:right w:val="single" w:color="auto" w:sz="4" w:space="0"/>
            </w:tcBorders>
            <w:vAlign w:val="center"/>
          </w:tcPr>
          <w:p w14:paraId="02582E64">
            <w:pPr>
              <w:snapToGrid w:val="0"/>
              <w:spacing w:line="400" w:lineRule="exact"/>
              <w:jc w:val="center"/>
              <w:rPr>
                <w:rFonts w:ascii="宋体" w:hAnsi="宋体"/>
                <w:bCs/>
              </w:rPr>
            </w:pPr>
            <w:r>
              <w:rPr>
                <w:sz w:val="22"/>
              </w:rPr>
              <w:t>3</w:t>
            </w:r>
            <w:r>
              <w:rPr>
                <w:rFonts w:ascii="宋体" w:hAnsi="宋体"/>
                <w:sz w:val="22"/>
              </w:rPr>
              <w:t>.</w:t>
            </w:r>
            <w:r>
              <w:rPr>
                <w:sz w:val="22"/>
              </w:rPr>
              <w:t>7</w:t>
            </w:r>
            <w:r>
              <w:rPr>
                <w:rFonts w:ascii="宋体" w:hAnsi="宋体"/>
                <w:sz w:val="22"/>
              </w:rPr>
              <w:t>.</w:t>
            </w:r>
            <w:r>
              <w:rPr>
                <w:sz w:val="22"/>
              </w:rPr>
              <w:t>4</w:t>
            </w:r>
          </w:p>
        </w:tc>
        <w:tc>
          <w:tcPr>
            <w:tcW w:w="3164" w:type="dxa"/>
            <w:tcBorders>
              <w:top w:val="single" w:color="auto" w:sz="4" w:space="0"/>
              <w:left w:val="single" w:color="auto" w:sz="4" w:space="0"/>
              <w:bottom w:val="single" w:color="auto" w:sz="4" w:space="0"/>
              <w:right w:val="single" w:color="auto" w:sz="4" w:space="0"/>
            </w:tcBorders>
            <w:vAlign w:val="center"/>
          </w:tcPr>
          <w:p w14:paraId="76533F1D">
            <w:pPr>
              <w:snapToGrid w:val="0"/>
              <w:spacing w:line="400" w:lineRule="exact"/>
              <w:jc w:val="center"/>
              <w:rPr>
                <w:rFonts w:ascii="宋体" w:hAnsi="宋体"/>
                <w:bCs/>
              </w:rPr>
            </w:pPr>
            <w:r>
              <w:rPr>
                <w:rFonts w:ascii="宋体" w:hAnsi="宋体"/>
                <w:bCs/>
              </w:rPr>
              <w:t>响应</w:t>
            </w:r>
            <w:r>
              <w:rPr>
                <w:rFonts w:ascii="宋体" w:hAnsi="宋体"/>
                <w:bCs/>
                <w:color w:val="000000"/>
              </w:rPr>
              <w:t>文件签字盖章的其他要求</w:t>
            </w:r>
          </w:p>
        </w:tc>
        <w:tc>
          <w:tcPr>
            <w:tcW w:w="4887" w:type="dxa"/>
            <w:tcBorders>
              <w:top w:val="single" w:color="auto" w:sz="4" w:space="0"/>
              <w:left w:val="single" w:color="auto" w:sz="4" w:space="0"/>
              <w:bottom w:val="single" w:color="auto" w:sz="4" w:space="0"/>
              <w:right w:val="single" w:color="auto" w:sz="4" w:space="0"/>
            </w:tcBorders>
            <w:vAlign w:val="center"/>
          </w:tcPr>
          <w:p w14:paraId="0AB1A81D">
            <w:pPr>
              <w:snapToGrid w:val="0"/>
              <w:spacing w:line="400" w:lineRule="exact"/>
              <w:rPr>
                <w:rFonts w:ascii="宋体" w:hAnsi="宋体"/>
                <w:bCs/>
              </w:rPr>
            </w:pPr>
            <w:r>
              <w:rPr>
                <w:rFonts w:hint="eastAsia"/>
                <w:bCs/>
              </w:rPr>
              <w:t>见须知正文。</w:t>
            </w:r>
          </w:p>
        </w:tc>
      </w:tr>
      <w:tr w14:paraId="3DAF73CD">
        <w:tblPrEx>
          <w:tblCellMar>
            <w:top w:w="0" w:type="dxa"/>
            <w:left w:w="108" w:type="dxa"/>
            <w:bottom w:w="0" w:type="dxa"/>
            <w:right w:w="108" w:type="dxa"/>
          </w:tblCellMar>
        </w:tblPrEx>
        <w:trPr>
          <w:trHeight w:val="565" w:hRule="atLeast"/>
        </w:trPr>
        <w:tc>
          <w:tcPr>
            <w:tcW w:w="1271" w:type="dxa"/>
            <w:tcBorders>
              <w:top w:val="single" w:color="auto" w:sz="4" w:space="0"/>
              <w:left w:val="single" w:color="auto" w:sz="4" w:space="0"/>
              <w:bottom w:val="single" w:color="auto" w:sz="4" w:space="0"/>
              <w:right w:val="single" w:color="auto" w:sz="4" w:space="0"/>
            </w:tcBorders>
            <w:vAlign w:val="center"/>
          </w:tcPr>
          <w:p w14:paraId="523C7D35">
            <w:pPr>
              <w:snapToGrid w:val="0"/>
              <w:spacing w:line="400" w:lineRule="exact"/>
              <w:jc w:val="center"/>
              <w:rPr>
                <w:rFonts w:ascii="宋体" w:hAnsi="宋体"/>
                <w:sz w:val="22"/>
              </w:rPr>
            </w:pPr>
            <w:r>
              <w:rPr>
                <w:sz w:val="22"/>
              </w:rPr>
              <w:t>4</w:t>
            </w:r>
            <w:r>
              <w:rPr>
                <w:rFonts w:ascii="宋体" w:hAnsi="宋体"/>
                <w:sz w:val="22"/>
              </w:rPr>
              <w:t>.</w:t>
            </w:r>
            <w:r>
              <w:rPr>
                <w:sz w:val="22"/>
              </w:rPr>
              <w:t>1</w:t>
            </w:r>
            <w:r>
              <w:rPr>
                <w:rFonts w:ascii="宋体" w:hAnsi="宋体"/>
                <w:sz w:val="22"/>
              </w:rPr>
              <w:t>.</w:t>
            </w:r>
            <w:r>
              <w:rPr>
                <w:sz w:val="22"/>
              </w:rPr>
              <w:t>1</w:t>
            </w:r>
          </w:p>
        </w:tc>
        <w:tc>
          <w:tcPr>
            <w:tcW w:w="3164" w:type="dxa"/>
            <w:tcBorders>
              <w:top w:val="single" w:color="auto" w:sz="4" w:space="0"/>
              <w:left w:val="single" w:color="auto" w:sz="4" w:space="0"/>
              <w:bottom w:val="single" w:color="auto" w:sz="4" w:space="0"/>
              <w:right w:val="single" w:color="auto" w:sz="4" w:space="0"/>
            </w:tcBorders>
            <w:vAlign w:val="center"/>
          </w:tcPr>
          <w:p w14:paraId="358AE2A8">
            <w:pPr>
              <w:snapToGrid w:val="0"/>
              <w:spacing w:line="400" w:lineRule="exact"/>
              <w:jc w:val="center"/>
              <w:rPr>
                <w:rFonts w:ascii="宋体" w:hAnsi="宋体"/>
                <w:bCs/>
              </w:rPr>
            </w:pPr>
            <w:r>
              <w:rPr>
                <w:rFonts w:ascii="宋体" w:hAnsi="宋体"/>
              </w:rPr>
              <w:t>响应文件加密的要求</w:t>
            </w:r>
          </w:p>
        </w:tc>
        <w:tc>
          <w:tcPr>
            <w:tcW w:w="4887" w:type="dxa"/>
            <w:tcBorders>
              <w:top w:val="single" w:color="auto" w:sz="4" w:space="0"/>
              <w:left w:val="single" w:color="auto" w:sz="4" w:space="0"/>
              <w:bottom w:val="single" w:color="auto" w:sz="4" w:space="0"/>
              <w:right w:val="single" w:color="auto" w:sz="4" w:space="0"/>
            </w:tcBorders>
            <w:vAlign w:val="center"/>
          </w:tcPr>
          <w:p w14:paraId="1555F229">
            <w:pPr>
              <w:snapToGrid w:val="0"/>
              <w:spacing w:line="400" w:lineRule="exact"/>
              <w:rPr>
                <w:rFonts w:ascii="宋体" w:hAnsi="宋体"/>
                <w:sz w:val="22"/>
              </w:rPr>
            </w:pPr>
            <w:r>
              <w:rPr>
                <w:rFonts w:hint="eastAsia"/>
                <w:bCs/>
              </w:rPr>
              <w:t>见须知正文。</w:t>
            </w:r>
          </w:p>
        </w:tc>
      </w:tr>
      <w:tr w14:paraId="6A2B92EB">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151993AD">
            <w:pPr>
              <w:spacing w:line="440" w:lineRule="exact"/>
              <w:jc w:val="center"/>
              <w:rPr>
                <w:rFonts w:ascii="宋体" w:hAnsi="宋体"/>
                <w:bCs/>
              </w:rPr>
            </w:pPr>
            <w:r>
              <w:rPr>
                <w:bCs/>
              </w:rPr>
              <w:t>4</w:t>
            </w:r>
            <w:r>
              <w:rPr>
                <w:rFonts w:ascii="宋体" w:hAnsi="宋体"/>
                <w:bCs/>
              </w:rPr>
              <w:t>.</w:t>
            </w:r>
            <w:r>
              <w:rPr>
                <w:bCs/>
              </w:rPr>
              <w:t>2</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1F950894">
            <w:pPr>
              <w:spacing w:line="440" w:lineRule="exact"/>
              <w:jc w:val="center"/>
              <w:rPr>
                <w:rFonts w:ascii="宋体" w:hAnsi="宋体"/>
                <w:bCs/>
              </w:rPr>
            </w:pPr>
            <w:r>
              <w:rPr>
                <w:rFonts w:ascii="宋体" w:hAnsi="宋体"/>
                <w:bCs/>
              </w:rPr>
              <w:t>递交响应文件截止时间和地点</w:t>
            </w:r>
          </w:p>
        </w:tc>
        <w:tc>
          <w:tcPr>
            <w:tcW w:w="4887" w:type="dxa"/>
            <w:tcBorders>
              <w:top w:val="single" w:color="auto" w:sz="4" w:space="0"/>
              <w:left w:val="single" w:color="auto" w:sz="4" w:space="0"/>
              <w:bottom w:val="single" w:color="auto" w:sz="4" w:space="0"/>
              <w:right w:val="single" w:color="auto" w:sz="4" w:space="0"/>
            </w:tcBorders>
            <w:vAlign w:val="center"/>
          </w:tcPr>
          <w:p w14:paraId="06AC6EAF">
            <w:pPr>
              <w:spacing w:line="440" w:lineRule="exact"/>
              <w:rPr>
                <w:rFonts w:ascii="宋体" w:hAnsi="宋体"/>
                <w:bCs/>
              </w:rPr>
            </w:pPr>
            <w:r>
              <w:rPr>
                <w:rFonts w:ascii="宋体" w:hAnsi="宋体"/>
                <w:bCs/>
              </w:rPr>
              <w:t>见框架协议采购公告</w:t>
            </w:r>
          </w:p>
        </w:tc>
      </w:tr>
      <w:tr w14:paraId="3B646505">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15273151">
            <w:pPr>
              <w:spacing w:line="440" w:lineRule="exact"/>
              <w:jc w:val="center"/>
              <w:rPr>
                <w:rFonts w:ascii="宋体" w:hAnsi="宋体"/>
                <w:bCs/>
              </w:rPr>
            </w:pPr>
            <w:r>
              <w:rPr>
                <w:bCs/>
              </w:rPr>
              <w:t>5</w:t>
            </w:r>
            <w:r>
              <w:rPr>
                <w:rFonts w:ascii="宋体" w:hAnsi="宋体"/>
                <w:bCs/>
              </w:rPr>
              <w:t>.</w:t>
            </w:r>
            <w:r>
              <w:rPr>
                <w:bCs/>
              </w:rPr>
              <w:t>2</w:t>
            </w:r>
            <w:r>
              <w:rPr>
                <w:rFonts w:ascii="宋体" w:hAnsi="宋体"/>
                <w:bCs/>
              </w:rPr>
              <w:t>（</w:t>
            </w:r>
            <w:r>
              <w:rPr>
                <w:bCs/>
              </w:rPr>
              <w:t>2</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02B496F6">
            <w:pPr>
              <w:spacing w:line="440" w:lineRule="exact"/>
              <w:jc w:val="center"/>
              <w:rPr>
                <w:rFonts w:ascii="宋体" w:hAnsi="宋体"/>
                <w:bCs/>
              </w:rPr>
            </w:pPr>
            <w:r>
              <w:rPr>
                <w:rFonts w:ascii="宋体" w:hAnsi="宋体"/>
                <w:bCs/>
              </w:rPr>
              <w:t>开启程序</w:t>
            </w:r>
          </w:p>
        </w:tc>
        <w:tc>
          <w:tcPr>
            <w:tcW w:w="4887" w:type="dxa"/>
            <w:tcBorders>
              <w:top w:val="single" w:color="auto" w:sz="4" w:space="0"/>
              <w:left w:val="single" w:color="auto" w:sz="4" w:space="0"/>
              <w:bottom w:val="single" w:color="auto" w:sz="4" w:space="0"/>
              <w:right w:val="single" w:color="auto" w:sz="4" w:space="0"/>
            </w:tcBorders>
            <w:vAlign w:val="center"/>
          </w:tcPr>
          <w:p w14:paraId="7606D33D">
            <w:pPr>
              <w:spacing w:line="440" w:lineRule="exact"/>
              <w:rPr>
                <w:rFonts w:ascii="宋体" w:hAnsi="宋体"/>
              </w:rPr>
            </w:pPr>
            <w:r>
              <w:rPr>
                <w:rFonts w:ascii="宋体" w:hAnsi="宋体"/>
              </w:rPr>
              <w:t>其他应公布的信息：</w:t>
            </w:r>
            <w:r>
              <w:rPr>
                <w:rFonts w:hint="eastAsia" w:ascii="宋体" w:hAnsi="宋体"/>
              </w:rPr>
              <w:t>无</w:t>
            </w:r>
          </w:p>
        </w:tc>
      </w:tr>
      <w:tr w14:paraId="0BD97B5F">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0CDD77E8">
            <w:pPr>
              <w:spacing w:line="440" w:lineRule="exact"/>
              <w:jc w:val="center"/>
              <w:rPr>
                <w:rFonts w:ascii="宋体" w:hAnsi="宋体"/>
                <w:bCs/>
              </w:rPr>
            </w:pPr>
            <w:r>
              <w:rPr>
                <w:bCs/>
              </w:rPr>
              <w:t>5</w:t>
            </w:r>
            <w:r>
              <w:rPr>
                <w:rFonts w:ascii="宋体" w:hAnsi="宋体"/>
                <w:bCs/>
              </w:rPr>
              <w:t>.</w:t>
            </w:r>
            <w:r>
              <w:rPr>
                <w:bCs/>
              </w:rPr>
              <w:t>4</w:t>
            </w:r>
          </w:p>
        </w:tc>
        <w:tc>
          <w:tcPr>
            <w:tcW w:w="3164" w:type="dxa"/>
            <w:tcBorders>
              <w:top w:val="single" w:color="auto" w:sz="4" w:space="0"/>
              <w:left w:val="single" w:color="auto" w:sz="4" w:space="0"/>
              <w:bottom w:val="single" w:color="auto" w:sz="4" w:space="0"/>
              <w:right w:val="single" w:color="auto" w:sz="4" w:space="0"/>
            </w:tcBorders>
            <w:vAlign w:val="center"/>
          </w:tcPr>
          <w:p w14:paraId="03E18EE5">
            <w:pPr>
              <w:spacing w:line="440" w:lineRule="exact"/>
              <w:jc w:val="center"/>
              <w:rPr>
                <w:rFonts w:ascii="宋体" w:hAnsi="宋体"/>
                <w:bCs/>
              </w:rPr>
            </w:pPr>
            <w:r>
              <w:rPr>
                <w:rFonts w:ascii="宋体" w:hAnsi="宋体"/>
                <w:bCs/>
              </w:rPr>
              <w:t>递交响应文件的供应商不足的情形</w:t>
            </w:r>
          </w:p>
        </w:tc>
        <w:tc>
          <w:tcPr>
            <w:tcW w:w="4887" w:type="dxa"/>
            <w:tcBorders>
              <w:top w:val="single" w:color="auto" w:sz="4" w:space="0"/>
              <w:left w:val="single" w:color="auto" w:sz="4" w:space="0"/>
              <w:bottom w:val="single" w:color="auto" w:sz="4" w:space="0"/>
              <w:right w:val="single" w:color="auto" w:sz="4" w:space="0"/>
            </w:tcBorders>
            <w:vAlign w:val="center"/>
          </w:tcPr>
          <w:p w14:paraId="2ED0A613">
            <w:pPr>
              <w:spacing w:line="440" w:lineRule="exact"/>
              <w:rPr>
                <w:rFonts w:ascii="宋体" w:hAnsi="宋体"/>
                <w:bCs/>
                <w:szCs w:val="21"/>
                <w:u w:val="single"/>
              </w:rPr>
            </w:pPr>
            <w:r>
              <w:rPr>
                <w:rFonts w:ascii="宋体" w:hAnsi="宋体"/>
                <w:bCs/>
              </w:rPr>
              <w:t>入围供应商为多家时，供应商不足的数量要求：</w:t>
            </w:r>
            <w:r>
              <w:rPr>
                <w:rFonts w:hint="eastAsia" w:ascii="宋体" w:hAnsi="宋体"/>
                <w:bCs/>
                <w:lang w:val="en-US" w:eastAsia="zh-CN"/>
              </w:rPr>
              <w:t>少于</w:t>
            </w:r>
            <w:r>
              <w:rPr>
                <w:rFonts w:hint="eastAsia" w:ascii="宋体" w:hAnsi="宋体"/>
                <w:bCs/>
                <w:u w:val="single"/>
              </w:rPr>
              <w:t>3</w:t>
            </w:r>
            <w:r>
              <w:rPr>
                <w:rFonts w:ascii="宋体" w:hAnsi="宋体"/>
                <w:bCs/>
              </w:rPr>
              <w:t>家</w:t>
            </w:r>
          </w:p>
        </w:tc>
      </w:tr>
      <w:tr w14:paraId="48C70069">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7280B1F7">
            <w:pPr>
              <w:snapToGrid w:val="0"/>
              <w:spacing w:line="400" w:lineRule="exact"/>
              <w:jc w:val="center"/>
              <w:rPr>
                <w:rFonts w:ascii="宋体" w:hAnsi="宋体"/>
                <w:bCs/>
              </w:rPr>
            </w:pPr>
            <w:r>
              <w:rPr>
                <w:sz w:val="22"/>
              </w:rPr>
              <w:t>6</w:t>
            </w:r>
            <w:r>
              <w:rPr>
                <w:rFonts w:ascii="宋体" w:hAnsi="宋体"/>
                <w:sz w:val="22"/>
              </w:rPr>
              <w:t>.</w:t>
            </w:r>
            <w:r>
              <w:rPr>
                <w:sz w:val="22"/>
              </w:rPr>
              <w:t>1</w:t>
            </w:r>
            <w:r>
              <w:rPr>
                <w:rFonts w:ascii="宋体" w:hAnsi="宋体"/>
                <w:sz w:val="22"/>
              </w:rPr>
              <w:t>.</w:t>
            </w:r>
            <w:r>
              <w:rPr>
                <w:sz w:val="22"/>
              </w:rPr>
              <w:t>1</w:t>
            </w:r>
          </w:p>
        </w:tc>
        <w:tc>
          <w:tcPr>
            <w:tcW w:w="3164" w:type="dxa"/>
            <w:tcBorders>
              <w:top w:val="single" w:color="auto" w:sz="4" w:space="0"/>
              <w:left w:val="single" w:color="auto" w:sz="4" w:space="0"/>
              <w:bottom w:val="single" w:color="auto" w:sz="4" w:space="0"/>
              <w:right w:val="single" w:color="auto" w:sz="4" w:space="0"/>
            </w:tcBorders>
            <w:vAlign w:val="center"/>
          </w:tcPr>
          <w:p w14:paraId="0A9234E0">
            <w:pPr>
              <w:snapToGrid w:val="0"/>
              <w:spacing w:line="400" w:lineRule="exact"/>
              <w:jc w:val="center"/>
              <w:rPr>
                <w:rFonts w:ascii="宋体" w:hAnsi="宋体"/>
                <w:bCs/>
                <w:szCs w:val="21"/>
              </w:rPr>
            </w:pPr>
            <w:r>
              <w:rPr>
                <w:rFonts w:ascii="宋体" w:hAnsi="宋体"/>
                <w:szCs w:val="21"/>
              </w:rPr>
              <w:t>评审小组</w:t>
            </w:r>
          </w:p>
        </w:tc>
        <w:tc>
          <w:tcPr>
            <w:tcW w:w="4887" w:type="dxa"/>
            <w:tcBorders>
              <w:top w:val="single" w:color="auto" w:sz="4" w:space="0"/>
              <w:left w:val="single" w:color="auto" w:sz="4" w:space="0"/>
              <w:bottom w:val="single" w:color="auto" w:sz="4" w:space="0"/>
              <w:right w:val="single" w:color="auto" w:sz="4" w:space="0"/>
            </w:tcBorders>
            <w:vAlign w:val="center"/>
          </w:tcPr>
          <w:p w14:paraId="0AF46215">
            <w:pPr>
              <w:snapToGrid w:val="0"/>
              <w:spacing w:line="400" w:lineRule="exact"/>
              <w:jc w:val="left"/>
              <w:rPr>
                <w:rFonts w:ascii="宋体" w:hAnsi="宋体"/>
              </w:rPr>
            </w:pPr>
            <w:r>
              <w:rPr>
                <w:rFonts w:ascii="宋体" w:hAnsi="宋体"/>
              </w:rPr>
              <w:t>评审小组人数：</w:t>
            </w:r>
            <w:r>
              <w:rPr>
                <w:rFonts w:ascii="宋体" w:hAnsi="宋体"/>
                <w:u w:val="single"/>
              </w:rPr>
              <w:t xml:space="preserve"> </w:t>
            </w:r>
            <w:r>
              <w:rPr>
                <w:rFonts w:hint="eastAsia" w:ascii="宋体" w:hAnsi="宋体"/>
                <w:u w:val="single"/>
              </w:rPr>
              <w:t>5</w:t>
            </w:r>
            <w:r>
              <w:rPr>
                <w:rFonts w:ascii="宋体" w:hAnsi="宋体"/>
                <w:u w:val="single"/>
              </w:rPr>
              <w:t xml:space="preserve"> </w:t>
            </w:r>
            <w:r>
              <w:rPr>
                <w:rFonts w:ascii="宋体" w:hAnsi="宋体"/>
              </w:rPr>
              <w:t>人，其中采购人代表</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ascii="宋体" w:hAnsi="宋体"/>
              </w:rPr>
              <w:t>人，评审专家</w:t>
            </w:r>
            <w:r>
              <w:rPr>
                <w:rFonts w:ascii="宋体" w:hAnsi="宋体"/>
                <w:u w:val="single"/>
              </w:rPr>
              <w:t xml:space="preserve"> </w:t>
            </w:r>
            <w:r>
              <w:rPr>
                <w:rFonts w:hint="eastAsia" w:ascii="宋体" w:hAnsi="宋体"/>
                <w:u w:val="single"/>
              </w:rPr>
              <w:t>4</w:t>
            </w:r>
            <w:r>
              <w:rPr>
                <w:rFonts w:ascii="宋体" w:hAnsi="宋体"/>
                <w:u w:val="single"/>
              </w:rPr>
              <w:t xml:space="preserve"> </w:t>
            </w:r>
            <w:r>
              <w:rPr>
                <w:rFonts w:ascii="宋体" w:hAnsi="宋体"/>
              </w:rPr>
              <w:t>人。</w:t>
            </w:r>
          </w:p>
          <w:p w14:paraId="40E21F60">
            <w:pPr>
              <w:spacing w:line="440" w:lineRule="exact"/>
              <w:jc w:val="left"/>
              <w:rPr>
                <w:rFonts w:ascii="宋体" w:hAnsi="宋体"/>
              </w:rPr>
            </w:pPr>
            <w:r>
              <w:rPr>
                <w:rFonts w:ascii="宋体" w:hAnsi="宋体"/>
              </w:rPr>
              <w:t>抽取形式：</w:t>
            </w:r>
            <w:r>
              <w:rPr>
                <w:rFonts w:ascii="宋体" w:hAnsi="宋体"/>
                <w:bCs/>
                <w:szCs w:val="32"/>
              </w:rPr>
              <w:t>□</w:t>
            </w:r>
            <w:r>
              <w:rPr>
                <w:rFonts w:ascii="宋体" w:hAnsi="宋体"/>
              </w:rPr>
              <w:t>随机抽取</w:t>
            </w:r>
            <w:r>
              <w:rPr>
                <w:rFonts w:hint="eastAsia" w:ascii="宋体" w:hAnsi="宋体"/>
                <w:bCs/>
                <w:szCs w:val="32"/>
              </w:rPr>
              <w:t>☑</w:t>
            </w:r>
            <w:r>
              <w:rPr>
                <w:rFonts w:ascii="宋体" w:hAnsi="宋体"/>
              </w:rPr>
              <w:t>邀请</w:t>
            </w:r>
          </w:p>
          <w:p w14:paraId="27204EE9">
            <w:pPr>
              <w:snapToGrid w:val="0"/>
              <w:spacing w:line="400" w:lineRule="exact"/>
              <w:jc w:val="left"/>
              <w:rPr>
                <w:rFonts w:ascii="宋体" w:hAnsi="宋体"/>
              </w:rPr>
            </w:pPr>
            <w:r>
              <w:rPr>
                <w:rFonts w:ascii="宋体" w:hAnsi="宋体"/>
              </w:rPr>
              <w:t>评审专家来源：河北交投招标采购评审专家库。</w:t>
            </w:r>
          </w:p>
          <w:p w14:paraId="38AE69CF">
            <w:pPr>
              <w:snapToGrid w:val="0"/>
              <w:spacing w:line="400" w:lineRule="exact"/>
              <w:jc w:val="left"/>
              <w:rPr>
                <w:rFonts w:ascii="宋体" w:hAnsi="宋体"/>
                <w:bCs/>
                <w:szCs w:val="21"/>
              </w:rPr>
            </w:pPr>
            <w:r>
              <w:rPr>
                <w:rFonts w:ascii="宋体" w:hAnsi="宋体"/>
                <w:bCs/>
              </w:rPr>
              <w:sym w:font="Wingdings 2" w:char="00A3"/>
            </w:r>
            <w:r>
              <w:rPr>
                <w:rFonts w:ascii="宋体" w:hAnsi="宋体"/>
                <w:bCs/>
                <w:szCs w:val="21"/>
              </w:rPr>
              <w:t>其他方式：</w:t>
            </w:r>
            <w:r>
              <w:rPr>
                <w:rFonts w:ascii="宋体" w:hAnsi="宋体"/>
                <w:bCs/>
                <w:szCs w:val="21"/>
                <w:u w:val="single"/>
              </w:rPr>
              <w:t xml:space="preserve">      </w:t>
            </w:r>
          </w:p>
        </w:tc>
      </w:tr>
      <w:tr w14:paraId="52DAABE3">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314D730F">
            <w:pPr>
              <w:spacing w:line="440" w:lineRule="exact"/>
              <w:jc w:val="center"/>
              <w:rPr>
                <w:rFonts w:ascii="宋体" w:hAnsi="宋体"/>
                <w:bCs/>
              </w:rPr>
            </w:pPr>
            <w:r>
              <w:rPr>
                <w:bCs/>
              </w:rPr>
              <w:t>6</w:t>
            </w:r>
            <w:r>
              <w:rPr>
                <w:rFonts w:ascii="宋体" w:hAnsi="宋体"/>
                <w:bCs/>
              </w:rPr>
              <w:t>.</w:t>
            </w:r>
            <w:r>
              <w:rPr>
                <w:bCs/>
              </w:rPr>
              <w:t>2</w:t>
            </w:r>
            <w:r>
              <w:rPr>
                <w:rFonts w:ascii="宋体" w:hAnsi="宋体"/>
                <w:bCs/>
              </w:rPr>
              <w:t>.</w:t>
            </w:r>
            <w:r>
              <w:rPr>
                <w:bCs/>
              </w:rPr>
              <w:t>2</w:t>
            </w:r>
          </w:p>
        </w:tc>
        <w:tc>
          <w:tcPr>
            <w:tcW w:w="3164" w:type="dxa"/>
            <w:tcBorders>
              <w:top w:val="single" w:color="auto" w:sz="4" w:space="0"/>
              <w:left w:val="single" w:color="auto" w:sz="4" w:space="0"/>
              <w:bottom w:val="single" w:color="auto" w:sz="4" w:space="0"/>
              <w:right w:val="single" w:color="auto" w:sz="4" w:space="0"/>
            </w:tcBorders>
            <w:vAlign w:val="center"/>
          </w:tcPr>
          <w:p w14:paraId="7B86770D">
            <w:pPr>
              <w:spacing w:line="440" w:lineRule="exact"/>
              <w:jc w:val="center"/>
              <w:rPr>
                <w:rFonts w:ascii="宋体" w:hAnsi="宋体"/>
                <w:bCs/>
                <w:highlight w:val="none"/>
              </w:rPr>
            </w:pPr>
            <w:r>
              <w:rPr>
                <w:rFonts w:ascii="宋体" w:hAnsi="宋体"/>
                <w:bCs/>
                <w:highlight w:val="none"/>
              </w:rPr>
              <w:t>推荐候选入围供应商的数量</w:t>
            </w:r>
          </w:p>
        </w:tc>
        <w:tc>
          <w:tcPr>
            <w:tcW w:w="4887" w:type="dxa"/>
            <w:tcBorders>
              <w:top w:val="single" w:color="auto" w:sz="4" w:space="0"/>
              <w:left w:val="single" w:color="auto" w:sz="4" w:space="0"/>
              <w:bottom w:val="single" w:color="auto" w:sz="4" w:space="0"/>
              <w:right w:val="single" w:color="auto" w:sz="4" w:space="0"/>
            </w:tcBorders>
            <w:vAlign w:val="center"/>
          </w:tcPr>
          <w:p w14:paraId="03A9D3B7">
            <w:pPr>
              <w:spacing w:line="440" w:lineRule="exact"/>
              <w:rPr>
                <w:rFonts w:hint="eastAsia" w:ascii="宋体" w:hAnsi="宋体"/>
                <w:highlight w:val="none"/>
              </w:rPr>
            </w:pPr>
            <w:r>
              <w:rPr>
                <w:rFonts w:ascii="宋体" w:hAnsi="宋体"/>
                <w:highlight w:val="none"/>
              </w:rPr>
              <w:t>数量：</w:t>
            </w:r>
            <w:r>
              <w:rPr>
                <w:rFonts w:hint="eastAsia" w:ascii="宋体" w:hAnsi="宋体"/>
                <w:highlight w:val="none"/>
                <w:u w:val="single"/>
              </w:rPr>
              <w:t>1-</w:t>
            </w:r>
            <w:r>
              <w:rPr>
                <w:rFonts w:hint="eastAsia" w:ascii="宋体" w:hAnsi="宋体"/>
                <w:highlight w:val="none"/>
                <w:u w:val="single"/>
                <w:lang w:val="en-US" w:eastAsia="zh-CN"/>
              </w:rPr>
              <w:t>8</w:t>
            </w:r>
            <w:r>
              <w:rPr>
                <w:rFonts w:hint="eastAsia" w:ascii="宋体" w:hAnsi="宋体"/>
                <w:highlight w:val="none"/>
              </w:rPr>
              <w:t>家</w:t>
            </w:r>
          </w:p>
          <w:p w14:paraId="08DB617D">
            <w:pPr>
              <w:spacing w:line="440" w:lineRule="exact"/>
              <w:rPr>
                <w:rFonts w:hint="eastAsia" w:ascii="宋体" w:hAnsi="宋体"/>
                <w:highlight w:val="none"/>
                <w:lang w:eastAsia="zh-CN"/>
              </w:rPr>
            </w:pPr>
            <w:r>
              <w:rPr>
                <w:rFonts w:hint="eastAsia" w:ascii="宋体" w:hAnsi="宋体"/>
                <w:b/>
                <w:bCs/>
                <w:highlight w:val="none"/>
              </w:rPr>
              <w:t>满足资格审查要求，且综合评分不得低于80分的供应商均推荐候选入围</w:t>
            </w:r>
            <w:r>
              <w:rPr>
                <w:rFonts w:hint="eastAsia" w:ascii="宋体" w:hAnsi="宋体"/>
                <w:b/>
                <w:bCs/>
                <w:highlight w:val="none"/>
                <w:lang w:eastAsia="zh-CN"/>
              </w:rPr>
              <w:t>。</w:t>
            </w:r>
          </w:p>
        </w:tc>
      </w:tr>
      <w:tr w14:paraId="749650EA">
        <w:tblPrEx>
          <w:tblCellMar>
            <w:top w:w="0" w:type="dxa"/>
            <w:left w:w="108" w:type="dxa"/>
            <w:bottom w:w="0" w:type="dxa"/>
            <w:right w:w="108" w:type="dxa"/>
          </w:tblCellMar>
        </w:tblPrEx>
        <w:trPr>
          <w:trHeight w:val="678" w:hRule="atLeast"/>
        </w:trPr>
        <w:tc>
          <w:tcPr>
            <w:tcW w:w="1271" w:type="dxa"/>
            <w:tcBorders>
              <w:top w:val="single" w:color="auto" w:sz="4" w:space="0"/>
              <w:left w:val="single" w:color="auto" w:sz="4" w:space="0"/>
              <w:bottom w:val="single" w:color="auto" w:sz="4" w:space="0"/>
              <w:right w:val="single" w:color="auto" w:sz="4" w:space="0"/>
            </w:tcBorders>
            <w:vAlign w:val="center"/>
          </w:tcPr>
          <w:p w14:paraId="0A6CAFD6">
            <w:pPr>
              <w:spacing w:line="440" w:lineRule="exact"/>
              <w:jc w:val="center"/>
              <w:rPr>
                <w:rFonts w:ascii="宋体" w:hAnsi="宋体"/>
                <w:bCs/>
              </w:rPr>
            </w:pPr>
            <w:r>
              <w:rPr>
                <w:bCs/>
              </w:rPr>
              <w:t>7</w:t>
            </w:r>
            <w:r>
              <w:rPr>
                <w:rFonts w:ascii="宋体" w:hAnsi="宋体"/>
                <w:bCs/>
              </w:rPr>
              <w:t>.</w:t>
            </w:r>
            <w:r>
              <w:rPr>
                <w:bCs/>
              </w:rPr>
              <w:t>2</w:t>
            </w:r>
          </w:p>
        </w:tc>
        <w:tc>
          <w:tcPr>
            <w:tcW w:w="3164" w:type="dxa"/>
            <w:tcBorders>
              <w:top w:val="single" w:color="auto" w:sz="4" w:space="0"/>
              <w:left w:val="single" w:color="auto" w:sz="4" w:space="0"/>
              <w:bottom w:val="single" w:color="auto" w:sz="4" w:space="0"/>
              <w:right w:val="single" w:color="auto" w:sz="4" w:space="0"/>
            </w:tcBorders>
            <w:vAlign w:val="center"/>
          </w:tcPr>
          <w:p w14:paraId="1734B38E">
            <w:pPr>
              <w:spacing w:line="440" w:lineRule="exact"/>
              <w:jc w:val="center"/>
              <w:rPr>
                <w:rFonts w:ascii="宋体" w:hAnsi="宋体"/>
                <w:bCs/>
              </w:rPr>
            </w:pPr>
            <w:r>
              <w:rPr>
                <w:rFonts w:ascii="宋体" w:hAnsi="宋体"/>
                <w:bCs/>
              </w:rPr>
              <w:t>候选入围供应商公示</w:t>
            </w:r>
          </w:p>
        </w:tc>
        <w:tc>
          <w:tcPr>
            <w:tcW w:w="4887" w:type="dxa"/>
            <w:tcBorders>
              <w:top w:val="single" w:color="auto" w:sz="4" w:space="0"/>
              <w:left w:val="single" w:color="auto" w:sz="4" w:space="0"/>
              <w:bottom w:val="single" w:color="auto" w:sz="4" w:space="0"/>
              <w:right w:val="single" w:color="auto" w:sz="4" w:space="0"/>
            </w:tcBorders>
            <w:vAlign w:val="center"/>
          </w:tcPr>
          <w:p w14:paraId="1064653D">
            <w:pPr>
              <w:spacing w:line="440" w:lineRule="exact"/>
              <w:rPr>
                <w:rFonts w:ascii="宋体" w:hAnsi="宋体"/>
              </w:rPr>
            </w:pPr>
            <w:r>
              <w:rPr>
                <w:rFonts w:ascii="宋体" w:hAnsi="宋体"/>
              </w:rPr>
              <w:t>公示期限：</w:t>
            </w:r>
            <w:r>
              <w:rPr>
                <w:rFonts w:ascii="宋体" w:hAnsi="宋体"/>
                <w:u w:val="single"/>
              </w:rPr>
              <w:t xml:space="preserve"> </w:t>
            </w:r>
            <w:r>
              <w:rPr>
                <w:rFonts w:hint="eastAsia" w:ascii="宋体" w:hAnsi="宋体"/>
                <w:u w:val="single"/>
              </w:rPr>
              <w:t>3</w:t>
            </w:r>
            <w:r>
              <w:rPr>
                <w:rFonts w:ascii="宋体" w:hAnsi="宋体"/>
                <w:u w:val="single"/>
              </w:rPr>
              <w:t xml:space="preserve"> </w:t>
            </w:r>
            <w:r>
              <w:rPr>
                <w:rFonts w:ascii="宋体" w:hAnsi="宋体"/>
              </w:rPr>
              <w:t>日</w:t>
            </w:r>
          </w:p>
          <w:p w14:paraId="7085651B">
            <w:pPr>
              <w:spacing w:line="440" w:lineRule="exact"/>
              <w:rPr>
                <w:rFonts w:ascii="宋体" w:hAnsi="宋体"/>
              </w:rPr>
            </w:pPr>
            <w:r>
              <w:rPr>
                <w:rFonts w:ascii="宋体" w:hAnsi="宋体"/>
              </w:rPr>
              <w:t>公示内容：候选入围供应商名称</w:t>
            </w:r>
          </w:p>
          <w:p w14:paraId="64555361">
            <w:pPr>
              <w:spacing w:line="440" w:lineRule="exact"/>
              <w:rPr>
                <w:rFonts w:ascii="宋体" w:hAnsi="宋体"/>
              </w:rPr>
            </w:pPr>
            <w:r>
              <w:rPr>
                <w:rFonts w:ascii="宋体" w:hAnsi="宋体"/>
                <w:bCs/>
              </w:rPr>
              <w:sym w:font="Wingdings 2" w:char="00A3"/>
            </w:r>
            <w:r>
              <w:rPr>
                <w:rFonts w:ascii="宋体" w:hAnsi="宋体"/>
              </w:rPr>
              <w:t>响应价格</w:t>
            </w:r>
          </w:p>
          <w:p w14:paraId="56FDC366">
            <w:pPr>
              <w:spacing w:line="440" w:lineRule="exact"/>
              <w:rPr>
                <w:rFonts w:ascii="宋体" w:hAnsi="宋体"/>
              </w:rPr>
            </w:pPr>
            <w:r>
              <w:rPr>
                <w:rFonts w:ascii="宋体" w:hAnsi="宋体"/>
                <w:bCs/>
              </w:rPr>
              <w:sym w:font="Wingdings 2" w:char="00A3"/>
            </w:r>
            <w:r>
              <w:t>A</w:t>
            </w:r>
            <w:r>
              <w:rPr>
                <w:rFonts w:ascii="宋体" w:hAnsi="宋体"/>
              </w:rPr>
              <w:t>工期/</w:t>
            </w:r>
            <w:r>
              <w:rPr>
                <w:rFonts w:ascii="宋体" w:hAnsi="宋体"/>
                <w:bCs/>
              </w:rPr>
              <w:sym w:font="Wingdings 2" w:char="0052"/>
            </w:r>
            <w:r>
              <w:t>B</w:t>
            </w:r>
            <w:r>
              <w:rPr>
                <w:rFonts w:ascii="宋体" w:hAnsi="宋体"/>
              </w:rPr>
              <w:t>交货期/</w:t>
            </w:r>
            <w:r>
              <w:rPr>
                <w:rFonts w:ascii="宋体" w:hAnsi="宋体"/>
                <w:bCs/>
              </w:rPr>
              <w:sym w:font="Wingdings 2" w:char="00A3"/>
            </w:r>
            <w:r>
              <w:t>C</w:t>
            </w:r>
            <w:r>
              <w:rPr>
                <w:rFonts w:ascii="宋体" w:hAnsi="宋体"/>
              </w:rPr>
              <w:t>服务期限</w:t>
            </w:r>
          </w:p>
          <w:p w14:paraId="7355F5E1">
            <w:pPr>
              <w:spacing w:line="440" w:lineRule="exact"/>
              <w:rPr>
                <w:rFonts w:ascii="宋体" w:hAnsi="宋体"/>
              </w:rPr>
            </w:pPr>
            <w:r>
              <w:rPr>
                <w:rFonts w:ascii="宋体" w:hAnsi="宋体"/>
                <w:bCs/>
              </w:rPr>
              <w:sym w:font="Wingdings 2" w:char="0052"/>
            </w:r>
            <w:r>
              <w:rPr>
                <w:rFonts w:ascii="宋体" w:hAnsi="宋体"/>
              </w:rPr>
              <w:t>供应商排名</w:t>
            </w:r>
          </w:p>
          <w:p w14:paraId="223EF033">
            <w:pPr>
              <w:spacing w:line="440" w:lineRule="exact"/>
              <w:rPr>
                <w:rFonts w:ascii="宋体" w:hAnsi="宋体"/>
              </w:rPr>
            </w:pPr>
            <w:r>
              <w:rPr>
                <w:rFonts w:ascii="宋体" w:hAnsi="宋体"/>
                <w:bCs/>
              </w:rPr>
              <w:sym w:font="Wingdings 2" w:char="00A3"/>
            </w:r>
            <w:r>
              <w:rPr>
                <w:rFonts w:ascii="宋体" w:hAnsi="宋体"/>
              </w:rPr>
              <w:t>供应商综合得分</w:t>
            </w:r>
          </w:p>
          <w:p w14:paraId="63AFD106">
            <w:pPr>
              <w:spacing w:line="440" w:lineRule="exact"/>
              <w:rPr>
                <w:rFonts w:ascii="宋体" w:hAnsi="宋体"/>
              </w:rPr>
            </w:pPr>
            <w:r>
              <w:rPr>
                <w:rFonts w:ascii="宋体" w:hAnsi="宋体"/>
                <w:bCs/>
              </w:rPr>
              <w:sym w:font="Wingdings 2" w:char="0052"/>
            </w:r>
            <w:r>
              <w:rPr>
                <w:rFonts w:ascii="宋体" w:hAnsi="宋体"/>
              </w:rPr>
              <w:t>提出异议渠道和方式</w:t>
            </w:r>
          </w:p>
          <w:p w14:paraId="3BF89B9A">
            <w:pPr>
              <w:spacing w:line="440" w:lineRule="exact"/>
              <w:rPr>
                <w:rFonts w:ascii="宋体" w:hAnsi="宋体"/>
              </w:rPr>
            </w:pPr>
            <w:r>
              <w:rPr>
                <w:rFonts w:ascii="宋体" w:hAnsi="宋体"/>
                <w:bCs/>
              </w:rPr>
              <w:sym w:font="Wingdings 2" w:char="00A3"/>
            </w:r>
            <w:r>
              <w:rPr>
                <w:rFonts w:ascii="宋体" w:hAnsi="宋体"/>
              </w:rPr>
              <w:t>其他内容：</w:t>
            </w:r>
            <w:r>
              <w:rPr>
                <w:rFonts w:ascii="宋体" w:hAnsi="宋体"/>
                <w:u w:val="single"/>
              </w:rPr>
              <w:t xml:space="preserve">            </w:t>
            </w:r>
          </w:p>
        </w:tc>
      </w:tr>
      <w:tr w14:paraId="0BF54A48">
        <w:tblPrEx>
          <w:tblCellMar>
            <w:top w:w="0" w:type="dxa"/>
            <w:left w:w="108" w:type="dxa"/>
            <w:bottom w:w="0" w:type="dxa"/>
            <w:right w:w="108" w:type="dxa"/>
          </w:tblCellMar>
        </w:tblPrEx>
        <w:trPr>
          <w:trHeight w:val="678" w:hRule="atLeast"/>
        </w:trPr>
        <w:tc>
          <w:tcPr>
            <w:tcW w:w="1271" w:type="dxa"/>
            <w:tcBorders>
              <w:top w:val="single" w:color="auto" w:sz="4" w:space="0"/>
              <w:left w:val="single" w:color="auto" w:sz="4" w:space="0"/>
              <w:bottom w:val="single" w:color="auto" w:sz="4" w:space="0"/>
              <w:right w:val="single" w:color="auto" w:sz="4" w:space="0"/>
            </w:tcBorders>
            <w:vAlign w:val="center"/>
          </w:tcPr>
          <w:p w14:paraId="5367A828">
            <w:pPr>
              <w:spacing w:line="440" w:lineRule="exact"/>
              <w:jc w:val="center"/>
              <w:rPr>
                <w:rFonts w:ascii="宋体" w:hAnsi="宋体"/>
                <w:bCs/>
              </w:rPr>
            </w:pPr>
            <w:r>
              <w:rPr>
                <w:bCs/>
              </w:rPr>
              <w:t>7</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189CC37A">
            <w:pPr>
              <w:spacing w:line="440" w:lineRule="exact"/>
              <w:jc w:val="center"/>
              <w:rPr>
                <w:rFonts w:ascii="宋体" w:hAnsi="宋体"/>
                <w:bCs/>
              </w:rPr>
            </w:pPr>
            <w:r>
              <w:rPr>
                <w:rFonts w:ascii="宋体" w:hAnsi="宋体"/>
                <w:bCs/>
              </w:rPr>
              <w:t>定标</w:t>
            </w:r>
          </w:p>
        </w:tc>
        <w:tc>
          <w:tcPr>
            <w:tcW w:w="4887" w:type="dxa"/>
            <w:tcBorders>
              <w:top w:val="single" w:color="auto" w:sz="4" w:space="0"/>
              <w:left w:val="single" w:color="auto" w:sz="4" w:space="0"/>
              <w:bottom w:val="single" w:color="auto" w:sz="4" w:space="0"/>
              <w:right w:val="single" w:color="auto" w:sz="4" w:space="0"/>
            </w:tcBorders>
            <w:vAlign w:val="center"/>
          </w:tcPr>
          <w:p w14:paraId="21E680F5">
            <w:pPr>
              <w:spacing w:line="440" w:lineRule="exact"/>
              <w:rPr>
                <w:rFonts w:ascii="宋体" w:hAnsi="宋体"/>
                <w:bCs/>
              </w:rPr>
            </w:pPr>
            <w:r>
              <w:rPr>
                <w:rFonts w:ascii="宋体" w:hAnsi="宋体"/>
                <w:bCs/>
              </w:rPr>
              <w:t>是否授权评审小组确定入围供应商</w:t>
            </w:r>
          </w:p>
          <w:p w14:paraId="302BA334">
            <w:pPr>
              <w:spacing w:line="440" w:lineRule="exact"/>
              <w:rPr>
                <w:rFonts w:ascii="宋体" w:hAnsi="宋体"/>
                <w:bCs/>
              </w:rPr>
            </w:pPr>
            <w:r>
              <w:rPr>
                <w:rFonts w:ascii="宋体" w:hAnsi="宋体"/>
                <w:bCs/>
              </w:rPr>
              <w:sym w:font="Wingdings 2" w:char="00A3"/>
            </w:r>
            <w:r>
              <w:rPr>
                <w:rFonts w:ascii="宋体" w:hAnsi="宋体"/>
                <w:bCs/>
              </w:rPr>
              <w:t>是</w:t>
            </w:r>
          </w:p>
          <w:p w14:paraId="2FDF981D">
            <w:pPr>
              <w:spacing w:line="440" w:lineRule="exact"/>
              <w:rPr>
                <w:rFonts w:ascii="宋体" w:hAnsi="宋体"/>
                <w:bCs/>
              </w:rPr>
            </w:pPr>
            <w:r>
              <w:rPr>
                <w:rFonts w:ascii="宋体" w:hAnsi="宋体"/>
                <w:bCs/>
              </w:rPr>
              <w:sym w:font="Wingdings 2" w:char="0052"/>
            </w:r>
            <w:r>
              <w:rPr>
                <w:rFonts w:ascii="宋体" w:hAnsi="宋体"/>
                <w:bCs/>
              </w:rPr>
              <w:t>否</w:t>
            </w:r>
          </w:p>
          <w:p w14:paraId="2D7777EB">
            <w:pPr>
              <w:spacing w:line="440" w:lineRule="exact"/>
              <w:rPr>
                <w:rFonts w:ascii="宋体" w:hAnsi="宋体"/>
                <w:bCs/>
              </w:rPr>
            </w:pPr>
            <w:r>
              <w:rPr>
                <w:rFonts w:ascii="宋体" w:hAnsi="宋体"/>
                <w:bCs/>
              </w:rPr>
              <w:t>定标原则：采购人根据评审小组推荐的有排序的候选入围供应商情况，确定候选入围供应商为成交供应商。候选入围供应商发生如下情形导致不符合成交条件的，采购人可以按照评审小组提出的供应商名单排序依次确定其他供应商为成交供应商或重新采购：</w:t>
            </w:r>
          </w:p>
          <w:p w14:paraId="6183ADE1">
            <w:pPr>
              <w:spacing w:line="440" w:lineRule="exact"/>
              <w:rPr>
                <w:rFonts w:ascii="宋体" w:hAnsi="宋体"/>
                <w:bCs/>
              </w:rPr>
            </w:pPr>
            <w:r>
              <w:rPr>
                <w:rFonts w:ascii="宋体" w:hAnsi="宋体"/>
                <w:bCs/>
              </w:rPr>
              <w:t>（</w:t>
            </w:r>
            <w:r>
              <w:rPr>
                <w:bCs/>
              </w:rPr>
              <w:t>1</w:t>
            </w:r>
            <w:r>
              <w:rPr>
                <w:rFonts w:ascii="宋体" w:hAnsi="宋体"/>
                <w:bCs/>
              </w:rPr>
              <w:t>）放弃成交的；</w:t>
            </w:r>
          </w:p>
          <w:p w14:paraId="670117AE">
            <w:pPr>
              <w:spacing w:line="440" w:lineRule="exact"/>
              <w:rPr>
                <w:rFonts w:ascii="宋体" w:hAnsi="宋体"/>
                <w:bCs/>
              </w:rPr>
            </w:pPr>
            <w:r>
              <w:rPr>
                <w:rFonts w:ascii="宋体" w:hAnsi="宋体"/>
                <w:bCs/>
              </w:rPr>
              <w:t>（</w:t>
            </w:r>
            <w:r>
              <w:rPr>
                <w:bCs/>
              </w:rPr>
              <w:t>2</w:t>
            </w:r>
            <w:r>
              <w:rPr>
                <w:rFonts w:ascii="宋体" w:hAnsi="宋体"/>
                <w:bCs/>
              </w:rPr>
              <w:t xml:space="preserve">）采购文件规定应当提交履约担保而在规定的期限内未能提交的； </w:t>
            </w:r>
          </w:p>
          <w:p w14:paraId="355EFB60">
            <w:pPr>
              <w:spacing w:line="440" w:lineRule="exact"/>
              <w:rPr>
                <w:rFonts w:ascii="宋体" w:hAnsi="宋体"/>
                <w:bCs/>
              </w:rPr>
            </w:pPr>
            <w:r>
              <w:rPr>
                <w:rFonts w:ascii="宋体" w:hAnsi="宋体"/>
                <w:bCs/>
              </w:rPr>
              <w:t>（</w:t>
            </w:r>
            <w:r>
              <w:rPr>
                <w:bCs/>
              </w:rPr>
              <w:t>3</w:t>
            </w:r>
            <w:r>
              <w:rPr>
                <w:rFonts w:ascii="宋体" w:hAnsi="宋体"/>
                <w:bCs/>
              </w:rPr>
              <w:t xml:space="preserve">）因不可抗力提出不能履行合同的； </w:t>
            </w:r>
          </w:p>
          <w:p w14:paraId="10F7B756">
            <w:pPr>
              <w:spacing w:line="440" w:lineRule="exact"/>
              <w:rPr>
                <w:rFonts w:ascii="宋体" w:hAnsi="宋体"/>
                <w:bCs/>
              </w:rPr>
            </w:pPr>
            <w:r>
              <w:rPr>
                <w:rFonts w:ascii="宋体" w:hAnsi="宋体"/>
                <w:bCs/>
              </w:rPr>
              <w:t>（</w:t>
            </w:r>
            <w:r>
              <w:rPr>
                <w:bCs/>
              </w:rPr>
              <w:t>4</w:t>
            </w:r>
            <w:r>
              <w:rPr>
                <w:rFonts w:ascii="宋体" w:hAnsi="宋体"/>
                <w:bCs/>
              </w:rPr>
              <w:t xml:space="preserve">）被查实存在影响成交结果的违法行为等情形的； </w:t>
            </w:r>
          </w:p>
          <w:p w14:paraId="092BE71A">
            <w:pPr>
              <w:spacing w:line="440" w:lineRule="exact"/>
              <w:rPr>
                <w:rFonts w:ascii="宋体" w:hAnsi="宋体"/>
                <w:bCs/>
              </w:rPr>
            </w:pPr>
            <w:r>
              <w:rPr>
                <w:rFonts w:ascii="宋体" w:hAnsi="宋体"/>
                <w:bCs/>
              </w:rPr>
              <w:t>（</w:t>
            </w:r>
            <w:r>
              <w:rPr>
                <w:bCs/>
              </w:rPr>
              <w:t>5</w:t>
            </w:r>
            <w:r>
              <w:rPr>
                <w:rFonts w:ascii="宋体" w:hAnsi="宋体"/>
                <w:bCs/>
              </w:rPr>
              <w:t xml:space="preserve">）不符合成交条件的； </w:t>
            </w:r>
          </w:p>
          <w:p w14:paraId="78A81BCC">
            <w:pPr>
              <w:spacing w:line="440" w:lineRule="exact"/>
              <w:rPr>
                <w:rFonts w:ascii="宋体" w:hAnsi="宋体"/>
              </w:rPr>
            </w:pPr>
            <w:r>
              <w:rPr>
                <w:rFonts w:ascii="宋体" w:hAnsi="宋体"/>
                <w:bCs/>
              </w:rPr>
              <w:t>（</w:t>
            </w:r>
            <w:r>
              <w:rPr>
                <w:bCs/>
              </w:rPr>
              <w:t>6</w:t>
            </w:r>
            <w:r>
              <w:rPr>
                <w:rFonts w:ascii="宋体" w:hAnsi="宋体"/>
                <w:bCs/>
              </w:rPr>
              <w:t>）拟派项目负责人不能履约的。</w:t>
            </w:r>
          </w:p>
        </w:tc>
      </w:tr>
      <w:tr w14:paraId="58179185">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501C7D2E">
            <w:pPr>
              <w:spacing w:line="440" w:lineRule="exact"/>
              <w:jc w:val="center"/>
              <w:rPr>
                <w:rFonts w:ascii="宋体" w:hAnsi="宋体"/>
                <w:bCs/>
              </w:rPr>
            </w:pPr>
            <w:r>
              <w:rPr>
                <w:bCs/>
              </w:rPr>
              <w:t>7</w:t>
            </w:r>
            <w:r>
              <w:rPr>
                <w:rFonts w:ascii="宋体" w:hAnsi="宋体"/>
                <w:bCs/>
              </w:rPr>
              <w:t>.</w:t>
            </w:r>
            <w:r>
              <w:rPr>
                <w:bCs/>
              </w:rPr>
              <w:t>5</w:t>
            </w:r>
          </w:p>
        </w:tc>
        <w:tc>
          <w:tcPr>
            <w:tcW w:w="3164" w:type="dxa"/>
            <w:tcBorders>
              <w:top w:val="single" w:color="auto" w:sz="4" w:space="0"/>
              <w:left w:val="single" w:color="auto" w:sz="4" w:space="0"/>
              <w:bottom w:val="single" w:color="auto" w:sz="4" w:space="0"/>
              <w:right w:val="single" w:color="auto" w:sz="4" w:space="0"/>
            </w:tcBorders>
            <w:vAlign w:val="center"/>
          </w:tcPr>
          <w:p w14:paraId="60CD69BC">
            <w:pPr>
              <w:spacing w:line="440" w:lineRule="exact"/>
              <w:jc w:val="center"/>
              <w:rPr>
                <w:rFonts w:ascii="宋体" w:hAnsi="宋体"/>
                <w:bCs/>
              </w:rPr>
            </w:pPr>
            <w:r>
              <w:rPr>
                <w:rFonts w:ascii="宋体" w:hAnsi="宋体"/>
                <w:bCs/>
              </w:rPr>
              <w:t>入围供应商公告</w:t>
            </w:r>
          </w:p>
        </w:tc>
        <w:tc>
          <w:tcPr>
            <w:tcW w:w="4887" w:type="dxa"/>
            <w:tcBorders>
              <w:top w:val="single" w:color="auto" w:sz="4" w:space="0"/>
              <w:left w:val="single" w:color="auto" w:sz="4" w:space="0"/>
              <w:bottom w:val="single" w:color="auto" w:sz="4" w:space="0"/>
              <w:right w:val="single" w:color="auto" w:sz="4" w:space="0"/>
            </w:tcBorders>
            <w:vAlign w:val="center"/>
          </w:tcPr>
          <w:p w14:paraId="528D8373">
            <w:pPr>
              <w:spacing w:line="440" w:lineRule="exact"/>
              <w:rPr>
                <w:rFonts w:ascii="宋体" w:hAnsi="宋体"/>
              </w:rPr>
            </w:pPr>
            <w:r>
              <w:rPr>
                <w:rFonts w:ascii="宋体" w:hAnsi="宋体"/>
              </w:rPr>
              <w:t>公告内容：入围供应商名称</w:t>
            </w:r>
          </w:p>
        </w:tc>
      </w:tr>
      <w:tr w14:paraId="5374DE6E">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5429D323">
            <w:pPr>
              <w:spacing w:line="440" w:lineRule="exact"/>
              <w:jc w:val="center"/>
              <w:rPr>
                <w:rFonts w:ascii="宋体" w:hAnsi="宋体"/>
                <w:bCs/>
              </w:rPr>
            </w:pPr>
            <w:r>
              <w:rPr>
                <w:bCs/>
              </w:rPr>
              <w:t>7</w:t>
            </w:r>
            <w:r>
              <w:rPr>
                <w:rFonts w:ascii="宋体" w:hAnsi="宋体"/>
                <w:bCs/>
              </w:rPr>
              <w:t>.</w:t>
            </w:r>
            <w:r>
              <w:rPr>
                <w:bCs/>
              </w:rPr>
              <w:t>7</w:t>
            </w:r>
          </w:p>
        </w:tc>
        <w:tc>
          <w:tcPr>
            <w:tcW w:w="3164" w:type="dxa"/>
            <w:tcBorders>
              <w:top w:val="single" w:color="auto" w:sz="4" w:space="0"/>
              <w:left w:val="single" w:color="auto" w:sz="4" w:space="0"/>
              <w:bottom w:val="single" w:color="auto" w:sz="4" w:space="0"/>
              <w:right w:val="single" w:color="auto" w:sz="4" w:space="0"/>
            </w:tcBorders>
            <w:vAlign w:val="center"/>
          </w:tcPr>
          <w:p w14:paraId="0C25A4DD">
            <w:pPr>
              <w:spacing w:line="440" w:lineRule="exact"/>
              <w:jc w:val="center"/>
              <w:rPr>
                <w:rFonts w:ascii="宋体" w:hAnsi="宋体"/>
                <w:bCs/>
              </w:rPr>
            </w:pPr>
            <w:r>
              <w:rPr>
                <w:rFonts w:ascii="宋体" w:hAnsi="宋体"/>
                <w:bCs/>
                <w:szCs w:val="21"/>
              </w:rPr>
              <w:t>履约保证金</w:t>
            </w:r>
          </w:p>
        </w:tc>
        <w:tc>
          <w:tcPr>
            <w:tcW w:w="4887" w:type="dxa"/>
            <w:tcBorders>
              <w:top w:val="single" w:color="auto" w:sz="4" w:space="0"/>
              <w:left w:val="single" w:color="auto" w:sz="4" w:space="0"/>
              <w:bottom w:val="single" w:color="auto" w:sz="4" w:space="0"/>
              <w:right w:val="single" w:color="auto" w:sz="4" w:space="0"/>
            </w:tcBorders>
            <w:vAlign w:val="center"/>
          </w:tcPr>
          <w:p w14:paraId="73963A92">
            <w:pPr>
              <w:spacing w:line="440" w:lineRule="exact"/>
              <w:rPr>
                <w:rFonts w:ascii="宋体" w:hAnsi="宋体"/>
                <w:bCs/>
              </w:rPr>
            </w:pPr>
            <w:r>
              <w:rPr>
                <w:rFonts w:ascii="宋体" w:hAnsi="宋体"/>
                <w:bCs/>
              </w:rPr>
              <w:sym w:font="Wingdings 2" w:char="0052"/>
            </w:r>
            <w:r>
              <w:rPr>
                <w:rFonts w:ascii="宋体" w:hAnsi="宋体"/>
                <w:bCs/>
              </w:rPr>
              <w:t>不要求递交</w:t>
            </w:r>
          </w:p>
          <w:p w14:paraId="177D16CB">
            <w:pPr>
              <w:spacing w:line="440" w:lineRule="exact"/>
              <w:rPr>
                <w:rFonts w:ascii="宋体" w:hAnsi="宋体"/>
                <w:bCs/>
              </w:rPr>
            </w:pPr>
            <w:r>
              <w:rPr>
                <w:rFonts w:ascii="宋体" w:hAnsi="宋体"/>
                <w:bCs/>
              </w:rPr>
              <w:sym w:font="Wingdings 2" w:char="00A3"/>
            </w:r>
            <w:r>
              <w:rPr>
                <w:rFonts w:ascii="宋体" w:hAnsi="宋体"/>
                <w:bCs/>
              </w:rPr>
              <w:t>要求递交</w:t>
            </w:r>
          </w:p>
          <w:p w14:paraId="022163D4">
            <w:pPr>
              <w:spacing w:line="440" w:lineRule="exact"/>
              <w:ind w:firstLine="214" w:firstLineChars="102"/>
              <w:rPr>
                <w:rFonts w:ascii="宋体" w:hAnsi="宋体"/>
                <w:bCs/>
              </w:rPr>
            </w:pPr>
            <w:r>
              <w:rPr>
                <w:rFonts w:ascii="宋体" w:hAnsi="宋体"/>
                <w:bCs/>
              </w:rPr>
              <w:t>履约保证金金额：</w:t>
            </w:r>
          </w:p>
          <w:p w14:paraId="08F24B72">
            <w:pPr>
              <w:spacing w:line="440" w:lineRule="exact"/>
              <w:ind w:firstLine="214" w:firstLineChars="102"/>
              <w:rPr>
                <w:rFonts w:ascii="宋体" w:hAnsi="宋体"/>
                <w:b/>
              </w:rPr>
            </w:pPr>
            <w:r>
              <w:rPr>
                <w:rFonts w:ascii="宋体" w:hAnsi="宋体"/>
                <w:bCs/>
                <w:szCs w:val="21"/>
              </w:rPr>
              <w:t>履约保证金</w:t>
            </w:r>
            <w:r>
              <w:rPr>
                <w:rFonts w:ascii="宋体" w:hAnsi="宋体"/>
                <w:bCs/>
              </w:rPr>
              <w:t>形式：</w:t>
            </w:r>
          </w:p>
          <w:p w14:paraId="61B5BF18">
            <w:pPr>
              <w:spacing w:line="440" w:lineRule="exact"/>
              <w:ind w:firstLine="214" w:firstLineChars="102"/>
              <w:rPr>
                <w:rFonts w:ascii="宋体" w:hAnsi="宋体"/>
                <w:bCs/>
              </w:rPr>
            </w:pPr>
            <w:r>
              <w:rPr>
                <w:rFonts w:ascii="宋体" w:hAnsi="宋体"/>
                <w:bCs/>
                <w:szCs w:val="21"/>
              </w:rPr>
              <w:t>履约保证金</w:t>
            </w:r>
            <w:r>
              <w:rPr>
                <w:rFonts w:ascii="宋体" w:hAnsi="宋体"/>
                <w:bCs/>
              </w:rPr>
              <w:t>有效期限：</w:t>
            </w:r>
          </w:p>
          <w:p w14:paraId="7536A556">
            <w:pPr>
              <w:spacing w:line="440" w:lineRule="exact"/>
              <w:ind w:firstLine="214" w:firstLineChars="102"/>
              <w:rPr>
                <w:rFonts w:ascii="宋体" w:hAnsi="宋体"/>
                <w:bCs/>
              </w:rPr>
            </w:pPr>
            <w:r>
              <w:rPr>
                <w:rFonts w:ascii="宋体" w:hAnsi="宋体"/>
                <w:bCs/>
              </w:rPr>
              <w:t>递交时间：</w:t>
            </w:r>
          </w:p>
          <w:p w14:paraId="1B1FF9C5">
            <w:pPr>
              <w:spacing w:line="440" w:lineRule="exact"/>
              <w:ind w:firstLine="214" w:firstLineChars="102"/>
              <w:rPr>
                <w:rFonts w:ascii="宋体" w:hAnsi="宋体"/>
                <w:bCs/>
              </w:rPr>
            </w:pPr>
            <w:r>
              <w:rPr>
                <w:rFonts w:ascii="宋体" w:hAnsi="宋体"/>
                <w:bCs/>
              </w:rPr>
              <w:t>其他要求：</w:t>
            </w:r>
          </w:p>
        </w:tc>
      </w:tr>
      <w:tr w14:paraId="0815F5A3">
        <w:tblPrEx>
          <w:tblCellMar>
            <w:top w:w="0" w:type="dxa"/>
            <w:left w:w="108" w:type="dxa"/>
            <w:bottom w:w="0" w:type="dxa"/>
            <w:right w:w="108" w:type="dxa"/>
          </w:tblCellMar>
        </w:tblPrEx>
        <w:trPr>
          <w:trHeight w:val="658" w:hRule="atLeast"/>
        </w:trPr>
        <w:tc>
          <w:tcPr>
            <w:tcW w:w="1271" w:type="dxa"/>
            <w:tcBorders>
              <w:top w:val="single" w:color="auto" w:sz="4" w:space="0"/>
              <w:left w:val="single" w:color="auto" w:sz="4" w:space="0"/>
              <w:bottom w:val="single" w:color="auto" w:sz="4" w:space="0"/>
              <w:right w:val="single" w:color="auto" w:sz="4" w:space="0"/>
            </w:tcBorders>
            <w:vAlign w:val="center"/>
          </w:tcPr>
          <w:p w14:paraId="3D74E1B5">
            <w:pPr>
              <w:spacing w:line="440" w:lineRule="exact"/>
              <w:jc w:val="center"/>
              <w:rPr>
                <w:rFonts w:ascii="宋体" w:hAnsi="宋体"/>
                <w:bCs/>
                <w:szCs w:val="21"/>
              </w:rPr>
            </w:pPr>
            <w:r>
              <w:rPr>
                <w:bCs/>
                <w:szCs w:val="21"/>
              </w:rPr>
              <w:t>8</w:t>
            </w:r>
            <w:r>
              <w:rPr>
                <w:rFonts w:ascii="宋体" w:hAnsi="宋体"/>
                <w:bCs/>
                <w:szCs w:val="21"/>
              </w:rPr>
              <w:t>.</w:t>
            </w:r>
            <w:r>
              <w:rPr>
                <w:bCs/>
                <w:szCs w:val="21"/>
              </w:rPr>
              <w:t>1</w:t>
            </w:r>
            <w:r>
              <w:rPr>
                <w:rFonts w:ascii="宋体" w:hAnsi="宋体"/>
                <w:bCs/>
                <w:szCs w:val="21"/>
              </w:rPr>
              <w:t>（</w:t>
            </w:r>
            <w:r>
              <w:rPr>
                <w:bCs/>
                <w:szCs w:val="21"/>
              </w:rPr>
              <w:t>1</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332F95F9">
            <w:pPr>
              <w:spacing w:line="440" w:lineRule="exact"/>
              <w:jc w:val="center"/>
              <w:rPr>
                <w:rFonts w:ascii="宋体" w:hAnsi="宋体"/>
                <w:bCs/>
                <w:szCs w:val="21"/>
              </w:rPr>
            </w:pPr>
            <w:r>
              <w:rPr>
                <w:rFonts w:ascii="宋体" w:hAnsi="宋体"/>
                <w:bCs/>
                <w:szCs w:val="21"/>
              </w:rPr>
              <w:t>对采购文件提出异议的时间</w:t>
            </w:r>
          </w:p>
        </w:tc>
        <w:tc>
          <w:tcPr>
            <w:tcW w:w="4887" w:type="dxa"/>
            <w:tcBorders>
              <w:top w:val="single" w:color="auto" w:sz="4" w:space="0"/>
              <w:left w:val="single" w:color="auto" w:sz="4" w:space="0"/>
              <w:bottom w:val="single" w:color="auto" w:sz="4" w:space="0"/>
              <w:right w:val="single" w:color="auto" w:sz="4" w:space="0"/>
            </w:tcBorders>
            <w:vAlign w:val="center"/>
          </w:tcPr>
          <w:p w14:paraId="2DFB6571">
            <w:pPr>
              <w:spacing w:line="440" w:lineRule="exact"/>
              <w:jc w:val="left"/>
              <w:outlineLvl w:val="8"/>
              <w:rPr>
                <w:rFonts w:ascii="宋体" w:hAnsi="宋体"/>
              </w:rPr>
            </w:pPr>
            <w:r>
              <w:rPr>
                <w:rFonts w:ascii="宋体" w:hAnsi="宋体"/>
                <w:bCs/>
              </w:rPr>
              <w:sym w:font="Wingdings 2" w:char="0052"/>
            </w:r>
            <w:r>
              <w:rPr>
                <w:rFonts w:ascii="宋体" w:hAnsi="宋体"/>
              </w:rPr>
              <w:t>递交响应文件截止时间</w:t>
            </w:r>
            <w:r>
              <w:rPr>
                <w:rFonts w:ascii="宋体" w:hAnsi="宋体"/>
                <w:u w:val="single"/>
              </w:rPr>
              <w:t xml:space="preserve"> </w:t>
            </w:r>
            <w:r>
              <w:rPr>
                <w:rFonts w:hint="eastAsia" w:ascii="宋体" w:hAnsi="宋体"/>
                <w:u w:val="single"/>
              </w:rPr>
              <w:t>3</w:t>
            </w:r>
            <w:r>
              <w:rPr>
                <w:rFonts w:ascii="宋体" w:hAnsi="宋体"/>
                <w:u w:val="single"/>
              </w:rPr>
              <w:t xml:space="preserve"> </w:t>
            </w:r>
            <w:r>
              <w:rPr>
                <w:rFonts w:ascii="宋体" w:hAnsi="宋体"/>
              </w:rPr>
              <w:t>日前提出。</w:t>
            </w:r>
          </w:p>
          <w:p w14:paraId="13E8F94C">
            <w:pPr>
              <w:spacing w:line="440" w:lineRule="exact"/>
              <w:jc w:val="left"/>
              <w:outlineLvl w:val="8"/>
              <w:rPr>
                <w:rFonts w:ascii="宋体" w:hAnsi="宋体"/>
              </w:rPr>
            </w:pPr>
            <w:r>
              <w:rPr>
                <w:rFonts w:ascii="宋体" w:hAnsi="宋体"/>
                <w:bCs/>
              </w:rPr>
              <w:sym w:font="Wingdings 2" w:char="00A3"/>
            </w:r>
            <w:r>
              <w:rPr>
                <w:rFonts w:ascii="宋体" w:hAnsi="宋体"/>
                <w:bCs/>
                <w:szCs w:val="32"/>
              </w:rPr>
              <w:t>在公告有效期内</w:t>
            </w:r>
          </w:p>
        </w:tc>
      </w:tr>
      <w:tr w14:paraId="59A1FE37">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40D2F9C8">
            <w:pPr>
              <w:spacing w:line="440" w:lineRule="exact"/>
              <w:jc w:val="center"/>
              <w:rPr>
                <w:rFonts w:ascii="宋体" w:hAnsi="宋体"/>
                <w:bCs/>
                <w:szCs w:val="21"/>
              </w:rPr>
            </w:pPr>
            <w:bookmarkStart w:id="97" w:name="_Hlk117762897"/>
            <w:r>
              <w:rPr>
                <w:bCs/>
                <w:szCs w:val="21"/>
              </w:rPr>
              <w:t>8</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162E5E88">
            <w:pPr>
              <w:spacing w:line="440" w:lineRule="exact"/>
              <w:jc w:val="center"/>
              <w:rPr>
                <w:rFonts w:ascii="宋体" w:hAnsi="宋体"/>
                <w:bCs/>
                <w:szCs w:val="21"/>
              </w:rPr>
            </w:pPr>
            <w:r>
              <w:rPr>
                <w:rFonts w:ascii="宋体" w:hAnsi="宋体"/>
                <w:bCs/>
                <w:szCs w:val="21"/>
              </w:rPr>
              <w:t>异议受理人和联系电话</w:t>
            </w:r>
          </w:p>
        </w:tc>
        <w:tc>
          <w:tcPr>
            <w:tcW w:w="4887" w:type="dxa"/>
            <w:tcBorders>
              <w:top w:val="single" w:color="auto" w:sz="4" w:space="0"/>
              <w:left w:val="single" w:color="auto" w:sz="4" w:space="0"/>
              <w:bottom w:val="single" w:color="auto" w:sz="4" w:space="0"/>
              <w:right w:val="single" w:color="auto" w:sz="4" w:space="0"/>
            </w:tcBorders>
            <w:vAlign w:val="center"/>
          </w:tcPr>
          <w:p w14:paraId="635B39AD">
            <w:pPr>
              <w:pStyle w:val="108"/>
              <w:spacing w:line="400" w:lineRule="exact"/>
              <w:ind w:firstLine="0"/>
              <w:rPr>
                <w:rFonts w:ascii="宋体" w:hAnsi="宋体" w:eastAsia="宋体"/>
                <w:kern w:val="2"/>
                <w:szCs w:val="24"/>
              </w:rPr>
            </w:pPr>
            <w:r>
              <w:rPr>
                <w:rFonts w:ascii="宋体" w:hAnsi="宋体" w:eastAsia="宋体"/>
                <w:kern w:val="2"/>
                <w:szCs w:val="24"/>
              </w:rPr>
              <w:t>受理人：</w:t>
            </w:r>
            <w:r>
              <w:rPr>
                <w:rFonts w:hint="eastAsia" w:ascii="宋体" w:hAnsi="宋体" w:eastAsia="宋体"/>
                <w:kern w:val="2"/>
                <w:szCs w:val="24"/>
              </w:rPr>
              <w:t>庄荣丽</w:t>
            </w:r>
          </w:p>
          <w:p w14:paraId="75946D7D">
            <w:pPr>
              <w:pStyle w:val="108"/>
              <w:spacing w:line="400" w:lineRule="exact"/>
              <w:ind w:firstLine="0"/>
              <w:rPr>
                <w:rFonts w:ascii="宋体" w:hAnsi="宋体" w:eastAsia="宋体"/>
                <w:b/>
                <w:kern w:val="44"/>
              </w:rPr>
            </w:pPr>
            <w:bookmarkStart w:id="98" w:name="_Toc118806222"/>
            <w:bookmarkStart w:id="99" w:name="_Toc118805474"/>
            <w:bookmarkStart w:id="100" w:name="_Toc118805097"/>
            <w:bookmarkStart w:id="101" w:name="_Toc118805851"/>
            <w:r>
              <w:rPr>
                <w:rFonts w:ascii="宋体" w:hAnsi="宋体" w:eastAsia="宋体"/>
                <w:kern w:val="2"/>
                <w:szCs w:val="24"/>
              </w:rPr>
              <w:t>联系电话：</w:t>
            </w:r>
            <w:bookmarkEnd w:id="98"/>
            <w:bookmarkEnd w:id="99"/>
            <w:bookmarkEnd w:id="100"/>
            <w:bookmarkEnd w:id="101"/>
            <w:r>
              <w:rPr>
                <w:rFonts w:hint="eastAsia" w:ascii="Times New Roman" w:hAnsi="Times New Roman"/>
              </w:rPr>
              <w:t>15133994592</w:t>
            </w:r>
          </w:p>
        </w:tc>
      </w:tr>
      <w:bookmarkEnd w:id="97"/>
      <w:tr w14:paraId="2C663AF2">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6406E50F">
            <w:pPr>
              <w:spacing w:line="440" w:lineRule="exact"/>
              <w:jc w:val="center"/>
              <w:rPr>
                <w:rFonts w:ascii="宋体" w:hAnsi="宋体"/>
                <w:bCs/>
                <w:szCs w:val="21"/>
              </w:rPr>
            </w:pPr>
            <w:r>
              <w:rPr>
                <w:bCs/>
                <w:szCs w:val="21"/>
              </w:rPr>
              <w:t>10</w:t>
            </w:r>
            <w:r>
              <w:rPr>
                <w:rFonts w:ascii="宋体" w:hAnsi="宋体"/>
                <w:bCs/>
                <w:szCs w:val="21"/>
              </w:rPr>
              <w:t>.</w:t>
            </w:r>
            <w:r>
              <w:rPr>
                <w:bCs/>
                <w:szCs w:val="21"/>
              </w:rPr>
              <w:t>3</w:t>
            </w:r>
          </w:p>
        </w:tc>
        <w:tc>
          <w:tcPr>
            <w:tcW w:w="3164" w:type="dxa"/>
            <w:tcBorders>
              <w:top w:val="single" w:color="auto" w:sz="4" w:space="0"/>
              <w:left w:val="single" w:color="auto" w:sz="4" w:space="0"/>
              <w:bottom w:val="single" w:color="auto" w:sz="4" w:space="0"/>
              <w:right w:val="single" w:color="auto" w:sz="4" w:space="0"/>
            </w:tcBorders>
            <w:vAlign w:val="center"/>
          </w:tcPr>
          <w:p w14:paraId="15A01D2F">
            <w:pPr>
              <w:spacing w:line="440" w:lineRule="exact"/>
              <w:jc w:val="center"/>
              <w:rPr>
                <w:rFonts w:ascii="宋体" w:hAnsi="宋体"/>
                <w:bCs/>
                <w:szCs w:val="21"/>
              </w:rPr>
            </w:pPr>
            <w:r>
              <w:rPr>
                <w:rFonts w:ascii="宋体" w:hAnsi="宋体"/>
                <w:bCs/>
                <w:szCs w:val="21"/>
              </w:rPr>
              <w:t>采购代理服务费</w:t>
            </w:r>
          </w:p>
        </w:tc>
        <w:tc>
          <w:tcPr>
            <w:tcW w:w="4887" w:type="dxa"/>
            <w:tcBorders>
              <w:top w:val="single" w:color="auto" w:sz="4" w:space="0"/>
              <w:left w:val="single" w:color="auto" w:sz="4" w:space="0"/>
              <w:bottom w:val="single" w:color="auto" w:sz="4" w:space="0"/>
              <w:right w:val="single" w:color="auto" w:sz="4" w:space="0"/>
            </w:tcBorders>
            <w:vAlign w:val="center"/>
          </w:tcPr>
          <w:p w14:paraId="3CFAB7CE">
            <w:pPr>
              <w:spacing w:line="440" w:lineRule="exact"/>
              <w:rPr>
                <w:rFonts w:ascii="宋体" w:hAnsi="宋体"/>
                <w:bCs/>
              </w:rPr>
            </w:pPr>
            <w:r>
              <w:rPr>
                <w:rFonts w:ascii="宋体" w:hAnsi="宋体"/>
                <w:bCs/>
              </w:rPr>
              <w:sym w:font="Wingdings 2" w:char="00A3"/>
            </w:r>
            <w:r>
              <w:rPr>
                <w:rFonts w:ascii="宋体" w:hAnsi="宋体"/>
                <w:bCs/>
              </w:rPr>
              <w:t>不要求承担</w:t>
            </w:r>
          </w:p>
          <w:p w14:paraId="62A83E4E">
            <w:pPr>
              <w:spacing w:line="440" w:lineRule="exact"/>
              <w:rPr>
                <w:rFonts w:ascii="宋体" w:hAnsi="宋体"/>
                <w:bCs/>
              </w:rPr>
            </w:pPr>
            <w:r>
              <w:rPr>
                <w:rFonts w:ascii="宋体" w:hAnsi="宋体"/>
                <w:bCs/>
              </w:rPr>
              <w:sym w:font="Wingdings 2" w:char="0052"/>
            </w:r>
            <w:r>
              <w:rPr>
                <w:rFonts w:ascii="宋体" w:hAnsi="宋体"/>
                <w:bCs/>
              </w:rPr>
              <w:t>要求承担</w:t>
            </w:r>
          </w:p>
          <w:p w14:paraId="7820034D">
            <w:pPr>
              <w:spacing w:line="440" w:lineRule="exact"/>
              <w:rPr>
                <w:rFonts w:ascii="宋体" w:hAnsi="宋体"/>
                <w:bCs/>
              </w:rPr>
            </w:pPr>
            <w:r>
              <w:rPr>
                <w:rFonts w:ascii="宋体" w:hAnsi="宋体"/>
                <w:b/>
              </w:rPr>
              <w:t>费用标准或金额：</w:t>
            </w:r>
            <w:r>
              <w:rPr>
                <w:b/>
                <w:spacing w:val="4"/>
              </w:rPr>
              <w:t>每家</w:t>
            </w:r>
            <w:r>
              <w:rPr>
                <w:rFonts w:hint="eastAsia"/>
                <w:b/>
                <w:spacing w:val="4"/>
              </w:rPr>
              <w:t>中标入库供应商10</w:t>
            </w:r>
            <w:r>
              <w:rPr>
                <w:b/>
                <w:spacing w:val="4"/>
              </w:rPr>
              <w:t>00元</w:t>
            </w:r>
            <w:r>
              <w:rPr>
                <w:rFonts w:hint="eastAsia"/>
                <w:spacing w:val="4"/>
              </w:rPr>
              <w:t>。</w:t>
            </w:r>
          </w:p>
          <w:p w14:paraId="1919FDF4">
            <w:pPr>
              <w:spacing w:line="440" w:lineRule="exact"/>
              <w:rPr>
                <w:rFonts w:ascii="宋体" w:hAnsi="宋体"/>
                <w:bCs/>
              </w:rPr>
            </w:pPr>
            <w:r>
              <w:rPr>
                <w:rFonts w:ascii="宋体" w:hAnsi="宋体"/>
                <w:bCs/>
              </w:rPr>
              <w:t>交费时间：</w:t>
            </w:r>
            <w:r>
              <w:rPr>
                <w:spacing w:val="4"/>
              </w:rPr>
              <w:t>在代理单位发出中标通知书前由</w:t>
            </w:r>
            <w:r>
              <w:rPr>
                <w:rFonts w:hint="eastAsia"/>
                <w:spacing w:val="4"/>
              </w:rPr>
              <w:t>中标入库供应商</w:t>
            </w:r>
            <w:r>
              <w:rPr>
                <w:spacing w:val="4"/>
              </w:rPr>
              <w:t>一次性支付</w:t>
            </w:r>
            <w:r>
              <w:rPr>
                <w:rFonts w:hint="eastAsia"/>
                <w:spacing w:val="4"/>
              </w:rPr>
              <w:t>。</w:t>
            </w:r>
          </w:p>
          <w:p w14:paraId="01BAC425">
            <w:pPr>
              <w:spacing w:line="440" w:lineRule="exact"/>
              <w:rPr>
                <w:rFonts w:ascii="宋体" w:hAnsi="宋体"/>
                <w:bCs/>
                <w:szCs w:val="21"/>
              </w:rPr>
            </w:pPr>
            <w:r>
              <w:rPr>
                <w:rFonts w:ascii="宋体" w:hAnsi="宋体"/>
                <w:bCs/>
              </w:rPr>
              <w:t>交费方式：</w:t>
            </w:r>
            <w:r>
              <w:rPr>
                <w:rFonts w:hint="eastAsia" w:ascii="宋体" w:hAnsi="宋体"/>
                <w:bCs/>
              </w:rPr>
              <w:t>现金或转账。</w:t>
            </w:r>
          </w:p>
        </w:tc>
      </w:tr>
      <w:tr w14:paraId="2FF3C2A3">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0171FAF5">
            <w:pPr>
              <w:spacing w:line="440" w:lineRule="exact"/>
              <w:jc w:val="center"/>
              <w:rPr>
                <w:rFonts w:ascii="宋体" w:hAnsi="宋体"/>
                <w:bCs/>
                <w:szCs w:val="21"/>
              </w:rPr>
            </w:pPr>
            <w:r>
              <w:rPr>
                <w:bCs/>
                <w:szCs w:val="21"/>
              </w:rPr>
              <w:t>10</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0113BF95">
            <w:pPr>
              <w:spacing w:line="440" w:lineRule="exact"/>
              <w:jc w:val="center"/>
              <w:rPr>
                <w:rFonts w:ascii="宋体" w:hAnsi="宋体"/>
                <w:bCs/>
                <w:szCs w:val="21"/>
              </w:rPr>
            </w:pPr>
            <w:r>
              <w:rPr>
                <w:rFonts w:ascii="宋体" w:hAnsi="宋体"/>
                <w:bCs/>
              </w:rPr>
              <w:t>需要补充的其他内容</w:t>
            </w:r>
          </w:p>
        </w:tc>
        <w:tc>
          <w:tcPr>
            <w:tcW w:w="4887" w:type="dxa"/>
            <w:tcBorders>
              <w:top w:val="single" w:color="auto" w:sz="4" w:space="0"/>
              <w:left w:val="single" w:color="auto" w:sz="4" w:space="0"/>
              <w:bottom w:val="single" w:color="auto" w:sz="4" w:space="0"/>
              <w:right w:val="single" w:color="auto" w:sz="4" w:space="0"/>
            </w:tcBorders>
            <w:vAlign w:val="center"/>
          </w:tcPr>
          <w:p w14:paraId="1D839CCB">
            <w:pPr>
              <w:spacing w:line="440" w:lineRule="exact"/>
              <w:rPr>
                <w:rFonts w:ascii="宋体" w:hAnsi="宋体"/>
                <w:bCs/>
              </w:rPr>
            </w:pPr>
            <w:r>
              <w:rPr>
                <w:rFonts w:hint="eastAsia" w:ascii="宋体" w:hAnsi="宋体" w:cs="宋体"/>
                <w:szCs w:val="21"/>
              </w:rPr>
              <w:t>本项目成交供应商应在合同签订前向采购人提交2份纸质响应文件（“河北交投招标与采购服务平台”响应文件打印输出件），并逐页加盖供应商单位章。</w:t>
            </w:r>
          </w:p>
        </w:tc>
      </w:tr>
    </w:tbl>
    <w:p w14:paraId="745E59AA">
      <w:pPr>
        <w:keepNext/>
        <w:keepLines/>
        <w:widowControl/>
        <w:spacing w:before="260" w:after="260"/>
        <w:outlineLvl w:val="1"/>
        <w:rPr>
          <w:rFonts w:ascii="宋体" w:hAnsi="宋体"/>
          <w:b/>
          <w:bCs/>
          <w:szCs w:val="21"/>
        </w:rPr>
      </w:pPr>
      <w:r>
        <w:rPr>
          <w:rFonts w:ascii="宋体" w:hAnsi="宋体"/>
          <w:szCs w:val="21"/>
        </w:rPr>
        <w:br w:type="page"/>
      </w:r>
      <w:bookmarkStart w:id="102" w:name="_Toc149140190"/>
      <w:r>
        <w:rPr>
          <w:rFonts w:eastAsia="黑体"/>
          <w:b/>
          <w:sz w:val="28"/>
          <w:szCs w:val="18"/>
        </w:rPr>
        <w:t>1 总则</w:t>
      </w:r>
      <w:bookmarkEnd w:id="102"/>
    </w:p>
    <w:p w14:paraId="0461D2CC">
      <w:pPr>
        <w:widowControl/>
        <w:spacing w:before="100" w:beforeAutospacing="1" w:after="100" w:afterAutospacing="1" w:line="400" w:lineRule="exact"/>
        <w:ind w:left="2" w:leftChars="1"/>
        <w:jc w:val="left"/>
        <w:outlineLvl w:val="2"/>
        <w:rPr>
          <w:rFonts w:eastAsia="黑体"/>
          <w:sz w:val="24"/>
        </w:rPr>
      </w:pPr>
      <w:bookmarkStart w:id="103" w:name="_Toc143102135"/>
      <w:bookmarkStart w:id="104" w:name="_Toc149140191"/>
      <w:bookmarkStart w:id="105" w:name="_Hlk138877806"/>
      <w:r>
        <w:rPr>
          <w:rFonts w:eastAsia="黑体"/>
          <w:sz w:val="24"/>
        </w:rPr>
        <w:t>1.1 采购方式</w:t>
      </w:r>
      <w:bookmarkEnd w:id="103"/>
      <w:bookmarkEnd w:id="104"/>
    </w:p>
    <w:bookmarkEnd w:id="105"/>
    <w:p w14:paraId="4CB0B79C">
      <w:pPr>
        <w:spacing w:line="400" w:lineRule="exact"/>
        <w:ind w:firstLine="420" w:firstLineChars="200"/>
        <w:rPr>
          <w:rFonts w:ascii="宋体" w:hAnsi="宋体"/>
        </w:rPr>
      </w:pPr>
      <w:r>
        <w:rPr>
          <w:rFonts w:ascii="宋体" w:hAnsi="宋体"/>
        </w:rPr>
        <w:t>本项目采用</w:t>
      </w:r>
      <w:r>
        <w:rPr>
          <w:rFonts w:ascii="宋体" w:hAnsi="宋体"/>
          <w:spacing w:val="1"/>
          <w:kern w:val="0"/>
          <w:szCs w:val="21"/>
        </w:rPr>
        <w:t>河北交通投资集团有限公司</w:t>
      </w:r>
      <w:r>
        <w:rPr>
          <w:rFonts w:ascii="宋体" w:hAnsi="宋体"/>
        </w:rPr>
        <w:t>发布的《非招标方式采购管理办法》规定的框架协议采购方式。</w:t>
      </w:r>
    </w:p>
    <w:p w14:paraId="2EF7A387">
      <w:pPr>
        <w:spacing w:line="400" w:lineRule="exact"/>
        <w:ind w:firstLine="420" w:firstLineChars="200"/>
        <w:rPr>
          <w:rFonts w:ascii="宋体" w:hAnsi="宋体"/>
        </w:rPr>
      </w:pPr>
      <w:r>
        <w:rPr>
          <w:rFonts w:ascii="宋体" w:hAnsi="宋体"/>
        </w:rPr>
        <w:t>框架协议是指采购人组建评审小组对响应采购的供应商按照采购文件规定的规则和时间一次递交的响应文件进行评审，采购人根据评审小组的评审结果确定入围供应商名单，以框架协议约定工程、货物或服务的采购单价或定价方式、交易条件、质量标准、协议有效期限等内容；第二阶段采购人根据实际采购数量需求与供应商订立采购合同的采购方式。</w:t>
      </w:r>
    </w:p>
    <w:p w14:paraId="297DE55A">
      <w:pPr>
        <w:widowControl/>
        <w:spacing w:before="100" w:beforeAutospacing="1" w:after="100" w:afterAutospacing="1" w:line="400" w:lineRule="exact"/>
        <w:ind w:left="2" w:leftChars="1"/>
        <w:jc w:val="left"/>
        <w:outlineLvl w:val="2"/>
        <w:rPr>
          <w:rFonts w:eastAsia="黑体"/>
          <w:sz w:val="24"/>
        </w:rPr>
      </w:pPr>
      <w:bookmarkStart w:id="106" w:name="_Toc143102136"/>
      <w:bookmarkStart w:id="107" w:name="_Toc149140192"/>
      <w:bookmarkStart w:id="108" w:name="_Hlk138877812"/>
      <w:r>
        <w:rPr>
          <w:rFonts w:eastAsia="黑体"/>
          <w:sz w:val="24"/>
        </w:rPr>
        <w:t>1.2 采购项目概况和供应商资格要求</w:t>
      </w:r>
      <w:bookmarkEnd w:id="106"/>
      <w:bookmarkEnd w:id="107"/>
    </w:p>
    <w:bookmarkEnd w:id="108"/>
    <w:p w14:paraId="5979A71C">
      <w:pPr>
        <w:spacing w:line="400" w:lineRule="exact"/>
        <w:ind w:firstLine="420" w:firstLineChars="200"/>
        <w:rPr>
          <w:rFonts w:ascii="宋体" w:hAnsi="宋体"/>
          <w:szCs w:val="21"/>
        </w:rPr>
      </w:pPr>
      <w:r>
        <w:rPr>
          <w:rFonts w:ascii="宋体" w:hAnsi="宋体"/>
          <w:szCs w:val="21"/>
        </w:rPr>
        <w:t>采购项目概况和供应商资格要求见第一章</w:t>
      </w:r>
      <w:r>
        <w:rPr>
          <w:rFonts w:ascii="宋体" w:hAnsi="宋体"/>
        </w:rPr>
        <w:t>“框架协议</w:t>
      </w:r>
      <w:r>
        <w:rPr>
          <w:rFonts w:ascii="宋体" w:hAnsi="宋体"/>
          <w:szCs w:val="21"/>
        </w:rPr>
        <w:t>采购公告”。</w:t>
      </w:r>
    </w:p>
    <w:p w14:paraId="0883148C">
      <w:pPr>
        <w:widowControl/>
        <w:spacing w:before="100" w:beforeAutospacing="1" w:after="100" w:afterAutospacing="1" w:line="400" w:lineRule="exact"/>
        <w:ind w:left="2" w:leftChars="1"/>
        <w:jc w:val="left"/>
        <w:outlineLvl w:val="2"/>
        <w:rPr>
          <w:rFonts w:eastAsia="黑体"/>
          <w:sz w:val="24"/>
        </w:rPr>
      </w:pPr>
      <w:bookmarkStart w:id="109" w:name="_Toc143102137"/>
      <w:bookmarkStart w:id="110" w:name="_Toc149140193"/>
      <w:r>
        <w:rPr>
          <w:rFonts w:eastAsia="黑体"/>
          <w:sz w:val="24"/>
        </w:rPr>
        <w:t>1.3 费用承担</w:t>
      </w:r>
      <w:bookmarkEnd w:id="109"/>
      <w:bookmarkEnd w:id="110"/>
    </w:p>
    <w:p w14:paraId="2CC7389B">
      <w:pPr>
        <w:spacing w:line="400" w:lineRule="exact"/>
        <w:ind w:firstLine="420" w:firstLineChars="200"/>
        <w:rPr>
          <w:rFonts w:ascii="宋体" w:hAnsi="宋体"/>
          <w:szCs w:val="21"/>
        </w:rPr>
      </w:pPr>
      <w:r>
        <w:rPr>
          <w:rFonts w:ascii="宋体" w:hAnsi="宋体"/>
          <w:szCs w:val="21"/>
        </w:rPr>
        <w:t>供应商准备和参加采购</w:t>
      </w:r>
      <w:r>
        <w:rPr>
          <w:rFonts w:ascii="宋体" w:hAnsi="宋体"/>
          <w:spacing w:val="1"/>
          <w:kern w:val="0"/>
          <w:szCs w:val="21"/>
        </w:rPr>
        <w:t>活动</w:t>
      </w:r>
      <w:r>
        <w:rPr>
          <w:rFonts w:ascii="宋体" w:hAnsi="宋体"/>
          <w:szCs w:val="21"/>
        </w:rPr>
        <w:t>所发生的各种费用由供应商自行承担。</w:t>
      </w:r>
    </w:p>
    <w:p w14:paraId="59E6CF2C">
      <w:pPr>
        <w:widowControl/>
        <w:spacing w:before="100" w:beforeAutospacing="1" w:after="100" w:afterAutospacing="1" w:line="400" w:lineRule="exact"/>
        <w:ind w:left="2" w:leftChars="1"/>
        <w:jc w:val="left"/>
        <w:outlineLvl w:val="2"/>
        <w:rPr>
          <w:rFonts w:eastAsia="黑体"/>
          <w:sz w:val="24"/>
        </w:rPr>
      </w:pPr>
      <w:bookmarkStart w:id="111" w:name="_Toc143102138"/>
      <w:bookmarkStart w:id="112" w:name="_Toc149140194"/>
      <w:r>
        <w:rPr>
          <w:rFonts w:eastAsia="黑体"/>
          <w:sz w:val="24"/>
        </w:rPr>
        <w:t>1.4 保密</w:t>
      </w:r>
      <w:bookmarkEnd w:id="111"/>
      <w:bookmarkEnd w:id="112"/>
    </w:p>
    <w:p w14:paraId="3FC3AB2D">
      <w:pPr>
        <w:spacing w:line="400" w:lineRule="exact"/>
        <w:ind w:firstLine="420" w:firstLineChars="200"/>
        <w:rPr>
          <w:rFonts w:ascii="宋体" w:hAnsi="宋体"/>
        </w:rPr>
      </w:pPr>
      <w:r>
        <w:rPr>
          <w:rFonts w:ascii="宋体" w:hAnsi="宋体"/>
        </w:rPr>
        <w:t>参加采购活动的各方应对采购文件和响应文件中的商业和技术等秘密保密，否则应承担相应的法律责任。</w:t>
      </w:r>
    </w:p>
    <w:p w14:paraId="510153EF">
      <w:pPr>
        <w:widowControl/>
        <w:spacing w:before="100" w:beforeAutospacing="1" w:after="100" w:afterAutospacing="1" w:line="400" w:lineRule="exact"/>
        <w:ind w:left="2" w:leftChars="1"/>
        <w:jc w:val="left"/>
        <w:outlineLvl w:val="2"/>
        <w:rPr>
          <w:rFonts w:eastAsia="黑体"/>
          <w:sz w:val="24"/>
        </w:rPr>
      </w:pPr>
      <w:bookmarkStart w:id="113" w:name="_Toc149140195"/>
      <w:bookmarkStart w:id="114" w:name="_Toc143102139"/>
      <w:r>
        <w:rPr>
          <w:rFonts w:eastAsia="黑体"/>
          <w:sz w:val="24"/>
        </w:rPr>
        <w:t>1.5 语言文字</w:t>
      </w:r>
      <w:bookmarkEnd w:id="113"/>
      <w:bookmarkEnd w:id="114"/>
    </w:p>
    <w:p w14:paraId="24A6E439">
      <w:pPr>
        <w:spacing w:line="400" w:lineRule="exact"/>
        <w:ind w:firstLine="420" w:firstLineChars="200"/>
        <w:rPr>
          <w:rFonts w:ascii="宋体" w:hAnsi="宋体"/>
        </w:rPr>
      </w:pPr>
      <w:r>
        <w:rPr>
          <w:rFonts w:ascii="宋体" w:hAnsi="宋体"/>
        </w:rPr>
        <w:t>采购文件和响应文件</w:t>
      </w:r>
      <w:r>
        <w:rPr>
          <w:rFonts w:ascii="宋体" w:hAnsi="宋体"/>
          <w:spacing w:val="1"/>
          <w:kern w:val="0"/>
          <w:szCs w:val="21"/>
        </w:rPr>
        <w:t>使用</w:t>
      </w:r>
      <w:r>
        <w:rPr>
          <w:rFonts w:ascii="宋体" w:hAnsi="宋体"/>
        </w:rPr>
        <w:t>的语言文字为中文。专用术语使用外文的，应附有中文注释。</w:t>
      </w:r>
    </w:p>
    <w:p w14:paraId="42999661">
      <w:pPr>
        <w:widowControl/>
        <w:spacing w:before="100" w:beforeAutospacing="1" w:after="100" w:afterAutospacing="1" w:line="400" w:lineRule="exact"/>
        <w:ind w:left="2" w:leftChars="1"/>
        <w:jc w:val="left"/>
        <w:outlineLvl w:val="2"/>
        <w:rPr>
          <w:rFonts w:eastAsia="黑体"/>
          <w:sz w:val="24"/>
        </w:rPr>
      </w:pPr>
      <w:bookmarkStart w:id="115" w:name="_Toc149140196"/>
      <w:bookmarkStart w:id="116" w:name="_Toc143102140"/>
      <w:r>
        <w:rPr>
          <w:rFonts w:eastAsia="黑体"/>
          <w:sz w:val="24"/>
        </w:rPr>
        <w:t>1.6 计量单位</w:t>
      </w:r>
      <w:bookmarkEnd w:id="115"/>
      <w:bookmarkEnd w:id="116"/>
    </w:p>
    <w:p w14:paraId="6FDA7091">
      <w:pPr>
        <w:spacing w:line="400" w:lineRule="exact"/>
        <w:ind w:firstLine="420" w:firstLineChars="200"/>
        <w:rPr>
          <w:rFonts w:ascii="宋体" w:hAnsi="宋体"/>
        </w:rPr>
      </w:pPr>
      <w:r>
        <w:rPr>
          <w:rFonts w:ascii="宋体" w:hAnsi="宋体"/>
        </w:rPr>
        <w:t>所有计量均采用中华人民共和国</w:t>
      </w:r>
      <w:r>
        <w:rPr>
          <w:rFonts w:ascii="宋体" w:hAnsi="宋体"/>
          <w:spacing w:val="1"/>
          <w:kern w:val="0"/>
          <w:szCs w:val="21"/>
        </w:rPr>
        <w:t>法定</w:t>
      </w:r>
      <w:r>
        <w:rPr>
          <w:rFonts w:ascii="宋体" w:hAnsi="宋体"/>
        </w:rPr>
        <w:t>计量单位。</w:t>
      </w:r>
    </w:p>
    <w:p w14:paraId="74B7528C">
      <w:pPr>
        <w:widowControl/>
        <w:spacing w:before="100" w:beforeAutospacing="1" w:after="100" w:afterAutospacing="1" w:line="400" w:lineRule="exact"/>
        <w:ind w:left="2" w:leftChars="1"/>
        <w:jc w:val="left"/>
        <w:outlineLvl w:val="2"/>
        <w:rPr>
          <w:rFonts w:eastAsia="黑体"/>
          <w:sz w:val="24"/>
        </w:rPr>
      </w:pPr>
      <w:bookmarkStart w:id="117" w:name="_Toc149140197"/>
      <w:bookmarkStart w:id="118" w:name="_Toc143102141"/>
      <w:r>
        <w:rPr>
          <w:rFonts w:eastAsia="黑体"/>
          <w:sz w:val="24"/>
        </w:rPr>
        <w:t>1.7 踏勘现场</w:t>
      </w:r>
      <w:bookmarkEnd w:id="117"/>
      <w:bookmarkEnd w:id="118"/>
    </w:p>
    <w:p w14:paraId="0AE93CAE">
      <w:pPr>
        <w:spacing w:line="400" w:lineRule="exact"/>
        <w:ind w:firstLine="420" w:firstLineChars="200"/>
        <w:rPr>
          <w:rFonts w:ascii="宋体" w:hAnsi="宋体"/>
        </w:rPr>
      </w:pPr>
      <w:r>
        <w:t>1</w:t>
      </w:r>
      <w:r>
        <w:rPr>
          <w:rFonts w:ascii="宋体" w:hAnsi="宋体"/>
        </w:rPr>
        <w:t>.</w:t>
      </w:r>
      <w:r>
        <w:t>7</w:t>
      </w:r>
      <w:r>
        <w:rPr>
          <w:rFonts w:ascii="宋体" w:hAnsi="宋体"/>
        </w:rPr>
        <w:t>.</w:t>
      </w:r>
      <w:r>
        <w:t>1</w:t>
      </w:r>
      <w:r>
        <w:rPr>
          <w:rFonts w:ascii="宋体" w:hAnsi="宋体"/>
        </w:rPr>
        <w:t>供应商须知前附表</w:t>
      </w:r>
      <w:r>
        <w:rPr>
          <w:rFonts w:ascii="宋体" w:hAnsi="宋体"/>
          <w:spacing w:val="1"/>
          <w:kern w:val="0"/>
          <w:szCs w:val="21"/>
        </w:rPr>
        <w:t>规定</w:t>
      </w:r>
      <w:r>
        <w:rPr>
          <w:rFonts w:ascii="宋体" w:hAnsi="宋体"/>
        </w:rPr>
        <w:t>组织踏勘现场的，采购人按供应商须知前附表规定的时间、地点组织供应商踏勘项目现场部分供应商未按时参加踏勘现场的，不影响踏勘现场的正常进行。</w:t>
      </w:r>
    </w:p>
    <w:p w14:paraId="4CDB7575">
      <w:pPr>
        <w:spacing w:line="400" w:lineRule="exact"/>
        <w:ind w:firstLine="420" w:firstLineChars="200"/>
        <w:rPr>
          <w:rFonts w:ascii="宋体" w:hAnsi="宋体"/>
        </w:rPr>
      </w:pPr>
      <w:r>
        <w:t>1</w:t>
      </w:r>
      <w:r>
        <w:rPr>
          <w:rFonts w:ascii="宋体" w:hAnsi="宋体"/>
        </w:rPr>
        <w:t>.</w:t>
      </w:r>
      <w:r>
        <w:t>7</w:t>
      </w:r>
      <w:r>
        <w:rPr>
          <w:rFonts w:ascii="宋体" w:hAnsi="宋体"/>
        </w:rPr>
        <w:t>.</w:t>
      </w:r>
      <w:r>
        <w:t>2</w:t>
      </w:r>
      <w:r>
        <w:rPr>
          <w:rFonts w:ascii="宋体" w:hAnsi="宋体"/>
        </w:rPr>
        <w:t>供应商可自愿参加踏勘现场活动。除采购人的原因外，采购人对供应商参加踏勘现场中所发生的人员伤亡和财产损失不承担责任。</w:t>
      </w:r>
    </w:p>
    <w:p w14:paraId="497DE7A5">
      <w:pPr>
        <w:spacing w:line="400" w:lineRule="exact"/>
        <w:ind w:firstLine="420" w:firstLineChars="200"/>
        <w:rPr>
          <w:rFonts w:ascii="宋体" w:hAnsi="宋体"/>
        </w:rPr>
      </w:pPr>
      <w:r>
        <w:t>1</w:t>
      </w:r>
      <w:r>
        <w:rPr>
          <w:rFonts w:ascii="宋体" w:hAnsi="宋体"/>
        </w:rPr>
        <w:t>.</w:t>
      </w:r>
      <w:r>
        <w:t>7</w:t>
      </w:r>
      <w:r>
        <w:rPr>
          <w:rFonts w:ascii="宋体" w:hAnsi="宋体"/>
        </w:rPr>
        <w:t>.</w:t>
      </w:r>
      <w:r>
        <w:t>3</w:t>
      </w:r>
      <w:r>
        <w:rPr>
          <w:rFonts w:ascii="宋体" w:hAnsi="宋体"/>
        </w:rPr>
        <w:t>采购人在踏勘</w:t>
      </w:r>
      <w:r>
        <w:rPr>
          <w:rFonts w:ascii="宋体" w:hAnsi="宋体"/>
          <w:spacing w:val="1"/>
          <w:kern w:val="0"/>
          <w:szCs w:val="21"/>
        </w:rPr>
        <w:t>现场</w:t>
      </w:r>
      <w:r>
        <w:rPr>
          <w:rFonts w:ascii="宋体" w:hAnsi="宋体"/>
        </w:rPr>
        <w:t>中介绍的工程场地和相关的周边环境情况，仅作为供应商编制响应文件的参考，采购人不对供应商据此作出的判断和决策负责。</w:t>
      </w:r>
    </w:p>
    <w:p w14:paraId="260C57BB">
      <w:pPr>
        <w:widowControl/>
        <w:spacing w:before="100" w:beforeAutospacing="1" w:after="100" w:afterAutospacing="1" w:line="400" w:lineRule="exact"/>
        <w:ind w:left="2" w:leftChars="1"/>
        <w:jc w:val="left"/>
        <w:outlineLvl w:val="2"/>
        <w:rPr>
          <w:rFonts w:eastAsia="黑体"/>
          <w:sz w:val="24"/>
        </w:rPr>
      </w:pPr>
      <w:bookmarkStart w:id="119" w:name="_Toc143102142"/>
      <w:bookmarkStart w:id="120" w:name="_Toc149140198"/>
      <w:r>
        <w:rPr>
          <w:rFonts w:eastAsia="黑体"/>
          <w:sz w:val="24"/>
        </w:rPr>
        <w:t>1.8 采购预备会</w:t>
      </w:r>
      <w:bookmarkEnd w:id="119"/>
      <w:bookmarkEnd w:id="120"/>
    </w:p>
    <w:p w14:paraId="7C2451D7">
      <w:pPr>
        <w:spacing w:line="400" w:lineRule="exact"/>
        <w:ind w:firstLine="420" w:firstLineChars="200"/>
        <w:rPr>
          <w:rFonts w:ascii="宋体" w:hAnsi="宋体"/>
        </w:rPr>
      </w:pPr>
      <w:r>
        <w:rPr>
          <w:rFonts w:ascii="宋体" w:hAnsi="宋体"/>
        </w:rPr>
        <w:t>供应商须知前附表规定召开采购预备会的，采购人按供应商须知前附表规定的时间和地点召开采购预备会</w:t>
      </w:r>
    </w:p>
    <w:p w14:paraId="40B3CDA2">
      <w:pPr>
        <w:widowControl/>
        <w:spacing w:before="100" w:beforeAutospacing="1" w:after="100" w:afterAutospacing="1" w:line="400" w:lineRule="exact"/>
        <w:ind w:left="2" w:leftChars="1"/>
        <w:jc w:val="left"/>
        <w:outlineLvl w:val="2"/>
        <w:rPr>
          <w:rFonts w:eastAsia="黑体"/>
          <w:sz w:val="24"/>
        </w:rPr>
      </w:pPr>
      <w:bookmarkStart w:id="121" w:name="_Toc149140199"/>
      <w:bookmarkStart w:id="122" w:name="_Toc143102143"/>
      <w:r>
        <w:rPr>
          <w:rFonts w:eastAsia="黑体"/>
          <w:sz w:val="24"/>
        </w:rPr>
        <w:t>1.9 分包（A、C）</w:t>
      </w:r>
      <w:bookmarkEnd w:id="121"/>
      <w:bookmarkEnd w:id="122"/>
    </w:p>
    <w:p w14:paraId="61119028">
      <w:pPr>
        <w:spacing w:line="400" w:lineRule="exact"/>
        <w:ind w:firstLine="420" w:firstLineChars="200"/>
        <w:rPr>
          <w:rFonts w:ascii="宋体" w:hAnsi="宋体"/>
        </w:rPr>
      </w:pPr>
      <w:r>
        <w:rPr>
          <w:rFonts w:ascii="宋体" w:hAnsi="宋体"/>
        </w:rPr>
        <w:t>供应商拟在成交后将成交项目的部分工作进行分包的，应符合供应商须知前附表的规定，并在响应文件中作出</w:t>
      </w:r>
      <w:r>
        <w:rPr>
          <w:rFonts w:ascii="宋体" w:hAnsi="宋体"/>
          <w:spacing w:val="1"/>
          <w:kern w:val="0"/>
          <w:szCs w:val="21"/>
        </w:rPr>
        <w:t>说明</w:t>
      </w:r>
      <w:r>
        <w:rPr>
          <w:rFonts w:ascii="宋体" w:hAnsi="宋体"/>
        </w:rPr>
        <w:t>。</w:t>
      </w:r>
    </w:p>
    <w:p w14:paraId="6C79B105">
      <w:pPr>
        <w:spacing w:line="400" w:lineRule="exact"/>
        <w:ind w:firstLine="420" w:firstLineChars="200"/>
        <w:rPr>
          <w:rFonts w:ascii="宋体" w:hAnsi="宋体"/>
        </w:rPr>
      </w:pPr>
      <w:r>
        <w:rPr>
          <w:rFonts w:ascii="宋体" w:hAnsi="宋体"/>
        </w:rPr>
        <w:t>分包供应商不得将分包项目再次分包。入围供应商应当就分包项目向采购人负责，分包供应商就分包项目承担</w:t>
      </w:r>
      <w:r>
        <w:rPr>
          <w:rFonts w:ascii="宋体" w:hAnsi="宋体"/>
          <w:spacing w:val="1"/>
          <w:kern w:val="0"/>
          <w:szCs w:val="21"/>
        </w:rPr>
        <w:t>连带责任</w:t>
      </w:r>
      <w:r>
        <w:rPr>
          <w:rFonts w:ascii="宋体" w:hAnsi="宋体"/>
        </w:rPr>
        <w:t>。</w:t>
      </w:r>
    </w:p>
    <w:p w14:paraId="4AB9E42D">
      <w:pPr>
        <w:widowControl/>
        <w:spacing w:before="100" w:beforeAutospacing="1" w:after="100" w:afterAutospacing="1" w:line="400" w:lineRule="exact"/>
        <w:ind w:left="2" w:leftChars="1"/>
        <w:jc w:val="left"/>
        <w:outlineLvl w:val="2"/>
        <w:rPr>
          <w:rFonts w:eastAsia="黑体"/>
          <w:sz w:val="24"/>
        </w:rPr>
      </w:pPr>
      <w:bookmarkStart w:id="123" w:name="_Toc118806233"/>
      <w:bookmarkStart w:id="124" w:name="_Toc143102144"/>
      <w:bookmarkStart w:id="125" w:name="_Toc118805485"/>
      <w:bookmarkStart w:id="126" w:name="_Toc149140200"/>
      <w:bookmarkStart w:id="127" w:name="_Toc118805862"/>
      <w:bookmarkStart w:id="128" w:name="_Toc118805108"/>
      <w:bookmarkStart w:id="129" w:name="_Toc118806972"/>
      <w:bookmarkStart w:id="130" w:name="_Toc30839"/>
      <w:bookmarkStart w:id="131" w:name="_Toc28086"/>
      <w:r>
        <w:rPr>
          <w:rFonts w:eastAsia="黑体"/>
          <w:sz w:val="24"/>
        </w:rPr>
        <w:t>1.9 主要材料和关键部件外购（B）</w:t>
      </w:r>
      <w:bookmarkEnd w:id="123"/>
      <w:bookmarkEnd w:id="124"/>
      <w:bookmarkEnd w:id="125"/>
      <w:bookmarkEnd w:id="126"/>
      <w:bookmarkEnd w:id="127"/>
      <w:bookmarkEnd w:id="128"/>
      <w:bookmarkEnd w:id="129"/>
      <w:bookmarkEnd w:id="130"/>
      <w:bookmarkEnd w:id="131"/>
    </w:p>
    <w:p w14:paraId="76573B3D">
      <w:pPr>
        <w:spacing w:line="400" w:lineRule="exact"/>
        <w:ind w:firstLine="420" w:firstLineChars="200"/>
        <w:rPr>
          <w:rFonts w:ascii="宋体" w:hAnsi="宋体"/>
        </w:rPr>
      </w:pPr>
      <w:r>
        <w:rPr>
          <w:rFonts w:ascii="宋体" w:hAnsi="宋体"/>
        </w:rPr>
        <w:t>供应商拟对主要材料和关键部件进行外购的，应符合第五章“采购需求”中提出的或允许外购的相关规定，并在响应</w:t>
      </w:r>
      <w:r>
        <w:rPr>
          <w:rFonts w:ascii="宋体" w:hAnsi="宋体"/>
          <w:spacing w:val="1"/>
          <w:kern w:val="0"/>
          <w:szCs w:val="21"/>
        </w:rPr>
        <w:t>文件</w:t>
      </w:r>
      <w:r>
        <w:rPr>
          <w:rFonts w:ascii="宋体" w:hAnsi="宋体"/>
        </w:rPr>
        <w:t>中作出说明。</w:t>
      </w:r>
    </w:p>
    <w:p w14:paraId="6551D7EB">
      <w:pPr>
        <w:widowControl/>
        <w:spacing w:before="100" w:beforeAutospacing="1" w:after="100" w:afterAutospacing="1" w:line="400" w:lineRule="exact"/>
        <w:ind w:left="2" w:leftChars="1"/>
        <w:jc w:val="left"/>
        <w:outlineLvl w:val="2"/>
        <w:rPr>
          <w:rFonts w:eastAsia="黑体"/>
          <w:sz w:val="24"/>
        </w:rPr>
      </w:pPr>
      <w:bookmarkStart w:id="132" w:name="_Toc149140201"/>
      <w:bookmarkStart w:id="133" w:name="_Toc143102145"/>
      <w:r>
        <w:rPr>
          <w:rFonts w:eastAsia="黑体"/>
          <w:sz w:val="24"/>
        </w:rPr>
        <w:t>1.10 响应和偏差</w:t>
      </w:r>
      <w:bookmarkEnd w:id="132"/>
      <w:bookmarkEnd w:id="133"/>
    </w:p>
    <w:p w14:paraId="7E5ACD95">
      <w:pPr>
        <w:spacing w:line="400" w:lineRule="exact"/>
        <w:ind w:firstLine="420" w:firstLineChars="200"/>
        <w:rPr>
          <w:rFonts w:ascii="宋体" w:hAnsi="宋体"/>
        </w:rPr>
      </w:pPr>
      <w:r>
        <w:t>1</w:t>
      </w:r>
      <w:r>
        <w:rPr>
          <w:rFonts w:ascii="宋体" w:hAnsi="宋体"/>
        </w:rPr>
        <w:t>.</w:t>
      </w:r>
      <w:r>
        <w:t>10</w:t>
      </w:r>
      <w:r>
        <w:rPr>
          <w:rFonts w:ascii="宋体" w:hAnsi="宋体"/>
        </w:rPr>
        <w:t>.</w:t>
      </w:r>
      <w:r>
        <w:t>1</w:t>
      </w:r>
      <w:r>
        <w:rPr>
          <w:rFonts w:ascii="宋体" w:hAnsi="宋体"/>
        </w:rPr>
        <w:t>采购需求和合同条款及格式中的关键条款均以" * "符号标记。响应文件不得对采购需求和合同条款及格式中的关键条款作出不满足性或不利于采购人的响应</w:t>
      </w:r>
      <w:bookmarkStart w:id="134" w:name="_Hlk148687374"/>
      <w:r>
        <w:rPr>
          <w:rFonts w:ascii="宋体" w:hAnsi="宋体"/>
        </w:rPr>
        <w:t>，否则，供应商的响应文件将被视为无效。</w:t>
      </w:r>
      <w:bookmarkEnd w:id="134"/>
    </w:p>
    <w:p w14:paraId="1367C34F">
      <w:pPr>
        <w:spacing w:line="400" w:lineRule="exact"/>
        <w:ind w:firstLine="420" w:firstLineChars="200"/>
        <w:rPr>
          <w:rFonts w:ascii="宋体" w:hAnsi="宋体"/>
        </w:rPr>
      </w:pPr>
      <w:r>
        <w:t>1</w:t>
      </w:r>
      <w:r>
        <w:rPr>
          <w:rFonts w:ascii="宋体" w:hAnsi="宋体"/>
        </w:rPr>
        <w:t>.</w:t>
      </w:r>
      <w:r>
        <w:t>10</w:t>
      </w:r>
      <w:r>
        <w:rPr>
          <w:rFonts w:ascii="宋体" w:hAnsi="宋体"/>
        </w:rPr>
        <w:t>.</w:t>
      </w:r>
      <w:r>
        <w:t>2</w:t>
      </w:r>
      <w:r>
        <w:rPr>
          <w:rFonts w:ascii="宋体" w:hAnsi="宋体"/>
        </w:rPr>
        <w:t>供应商须知前附表规定了对非关键条款允许偏差的范围和可以偏差的项数的，如响应文件存在的偏差超出上述范围或项数，将被视为无效。</w:t>
      </w:r>
    </w:p>
    <w:p w14:paraId="0B70FF7D">
      <w:pPr>
        <w:keepNext/>
        <w:keepLines/>
        <w:widowControl/>
        <w:spacing w:before="260" w:after="260"/>
        <w:outlineLvl w:val="1"/>
        <w:rPr>
          <w:rFonts w:eastAsia="黑体"/>
          <w:b/>
          <w:sz w:val="28"/>
          <w:szCs w:val="18"/>
        </w:rPr>
      </w:pPr>
      <w:bookmarkStart w:id="135" w:name="_Toc149140202"/>
      <w:bookmarkStart w:id="136" w:name="_Hlk138877967"/>
      <w:r>
        <w:rPr>
          <w:rFonts w:eastAsia="黑体"/>
          <w:b/>
          <w:sz w:val="28"/>
          <w:szCs w:val="18"/>
        </w:rPr>
        <w:t>2 采购文件</w:t>
      </w:r>
      <w:bookmarkEnd w:id="135"/>
    </w:p>
    <w:p w14:paraId="6A16D626">
      <w:pPr>
        <w:widowControl/>
        <w:spacing w:before="100" w:beforeAutospacing="1" w:after="100" w:afterAutospacing="1" w:line="400" w:lineRule="exact"/>
        <w:ind w:left="2" w:leftChars="1"/>
        <w:jc w:val="left"/>
        <w:outlineLvl w:val="2"/>
        <w:rPr>
          <w:rFonts w:eastAsia="黑体"/>
          <w:sz w:val="24"/>
        </w:rPr>
      </w:pPr>
      <w:bookmarkStart w:id="137" w:name="_Toc149140203"/>
      <w:bookmarkStart w:id="138" w:name="_Toc143102147"/>
      <w:r>
        <w:rPr>
          <w:rFonts w:eastAsia="黑体"/>
          <w:sz w:val="24"/>
        </w:rPr>
        <w:t>2.1 采购文件的组成</w:t>
      </w:r>
      <w:bookmarkEnd w:id="137"/>
      <w:bookmarkEnd w:id="138"/>
    </w:p>
    <w:bookmarkEnd w:id="136"/>
    <w:p w14:paraId="214F6B78">
      <w:pPr>
        <w:spacing w:line="400" w:lineRule="exact"/>
        <w:ind w:firstLine="420" w:firstLineChars="200"/>
        <w:rPr>
          <w:rFonts w:ascii="宋体" w:hAnsi="宋体"/>
        </w:rPr>
      </w:pPr>
      <w:bookmarkStart w:id="139" w:name="_Hlk138877982"/>
      <w:r>
        <w:rPr>
          <w:rFonts w:ascii="宋体" w:hAnsi="宋体"/>
        </w:rPr>
        <w:t>本采购</w:t>
      </w:r>
      <w:r>
        <w:rPr>
          <w:rFonts w:ascii="宋体" w:hAnsi="宋体"/>
          <w:spacing w:val="1"/>
          <w:kern w:val="0"/>
          <w:szCs w:val="21"/>
        </w:rPr>
        <w:t>文件</w:t>
      </w:r>
      <w:r>
        <w:rPr>
          <w:rFonts w:ascii="宋体" w:hAnsi="宋体"/>
        </w:rPr>
        <w:t>包括：</w:t>
      </w:r>
    </w:p>
    <w:p w14:paraId="5A0418CC">
      <w:pPr>
        <w:spacing w:line="400" w:lineRule="exact"/>
        <w:ind w:firstLine="420" w:firstLineChars="200"/>
        <w:rPr>
          <w:rFonts w:ascii="宋体" w:hAnsi="宋体"/>
        </w:rPr>
      </w:pPr>
      <w:r>
        <w:rPr>
          <w:rFonts w:ascii="宋体" w:hAnsi="宋体"/>
        </w:rPr>
        <w:t>（</w:t>
      </w:r>
      <w:r>
        <w:t>1</w:t>
      </w:r>
      <w:r>
        <w:rPr>
          <w:rFonts w:ascii="宋体" w:hAnsi="宋体"/>
        </w:rPr>
        <w:t>）采购公告；</w:t>
      </w:r>
    </w:p>
    <w:p w14:paraId="566A8DCA">
      <w:pPr>
        <w:spacing w:line="400" w:lineRule="exact"/>
        <w:ind w:firstLine="420" w:firstLineChars="200"/>
        <w:rPr>
          <w:rFonts w:ascii="宋体" w:hAnsi="宋体"/>
        </w:rPr>
      </w:pPr>
      <w:r>
        <w:rPr>
          <w:rFonts w:ascii="宋体" w:hAnsi="宋体"/>
        </w:rPr>
        <w:t>（</w:t>
      </w:r>
      <w:r>
        <w:t>2</w:t>
      </w:r>
      <w:r>
        <w:rPr>
          <w:rFonts w:ascii="宋体" w:hAnsi="宋体"/>
        </w:rPr>
        <w:t>）供应商须知；</w:t>
      </w:r>
    </w:p>
    <w:p w14:paraId="2489C460">
      <w:pPr>
        <w:spacing w:line="400" w:lineRule="exact"/>
        <w:ind w:firstLine="420" w:firstLineChars="200"/>
        <w:rPr>
          <w:rFonts w:ascii="宋体" w:hAnsi="宋体"/>
        </w:rPr>
      </w:pPr>
      <w:r>
        <w:rPr>
          <w:rFonts w:ascii="宋体" w:hAnsi="宋体"/>
        </w:rPr>
        <w:t>（</w:t>
      </w:r>
      <w:r>
        <w:t>3</w:t>
      </w:r>
      <w:r>
        <w:rPr>
          <w:rFonts w:ascii="宋体" w:hAnsi="宋体"/>
        </w:rPr>
        <w:t>）评审</w:t>
      </w:r>
      <w:r>
        <w:rPr>
          <w:rFonts w:ascii="宋体" w:hAnsi="宋体"/>
          <w:spacing w:val="1"/>
          <w:kern w:val="0"/>
          <w:szCs w:val="21"/>
        </w:rPr>
        <w:t>办法</w:t>
      </w:r>
      <w:r>
        <w:rPr>
          <w:rFonts w:ascii="宋体" w:hAnsi="宋体"/>
        </w:rPr>
        <w:t>；</w:t>
      </w:r>
    </w:p>
    <w:p w14:paraId="4AF607E3">
      <w:pPr>
        <w:spacing w:line="400" w:lineRule="exact"/>
        <w:ind w:firstLine="420" w:firstLineChars="200"/>
        <w:rPr>
          <w:rFonts w:ascii="宋体" w:hAnsi="宋体"/>
        </w:rPr>
      </w:pPr>
      <w:r>
        <w:rPr>
          <w:rFonts w:ascii="宋体" w:hAnsi="宋体"/>
        </w:rPr>
        <w:t>（</w:t>
      </w:r>
      <w:r>
        <w:t>4</w:t>
      </w:r>
      <w:r>
        <w:rPr>
          <w:rFonts w:ascii="宋体" w:hAnsi="宋体"/>
        </w:rPr>
        <w:t>）合同条款及格式；</w:t>
      </w:r>
    </w:p>
    <w:p w14:paraId="33A172F3">
      <w:pPr>
        <w:spacing w:line="400" w:lineRule="exact"/>
        <w:ind w:firstLine="420" w:firstLineChars="200"/>
        <w:rPr>
          <w:rFonts w:ascii="宋体" w:hAnsi="宋体"/>
        </w:rPr>
      </w:pPr>
      <w:r>
        <w:rPr>
          <w:rFonts w:ascii="宋体" w:hAnsi="宋体"/>
        </w:rPr>
        <w:t>（</w:t>
      </w:r>
      <w:r>
        <w:t>5</w:t>
      </w:r>
      <w:r>
        <w:rPr>
          <w:rFonts w:ascii="宋体" w:hAnsi="宋体"/>
        </w:rPr>
        <w:t>）采购</w:t>
      </w:r>
      <w:r>
        <w:rPr>
          <w:rFonts w:ascii="宋体" w:hAnsi="宋体"/>
          <w:spacing w:val="1"/>
          <w:kern w:val="0"/>
          <w:szCs w:val="21"/>
        </w:rPr>
        <w:t>需求</w:t>
      </w:r>
      <w:r>
        <w:rPr>
          <w:rFonts w:ascii="宋体" w:hAnsi="宋体"/>
        </w:rPr>
        <w:t>；</w:t>
      </w:r>
    </w:p>
    <w:p w14:paraId="7F18C9CE">
      <w:pPr>
        <w:spacing w:line="400" w:lineRule="exact"/>
        <w:ind w:firstLine="420" w:firstLineChars="200"/>
        <w:rPr>
          <w:rFonts w:ascii="宋体" w:hAnsi="宋体"/>
        </w:rPr>
      </w:pPr>
      <w:r>
        <w:rPr>
          <w:rFonts w:ascii="宋体" w:hAnsi="宋体"/>
        </w:rPr>
        <w:t>（</w:t>
      </w:r>
      <w:r>
        <w:t>6</w:t>
      </w:r>
      <w:r>
        <w:rPr>
          <w:rFonts w:ascii="宋体" w:hAnsi="宋体"/>
        </w:rPr>
        <w:t>）响应</w:t>
      </w:r>
      <w:r>
        <w:rPr>
          <w:rFonts w:ascii="宋体" w:hAnsi="宋体"/>
          <w:spacing w:val="1"/>
          <w:kern w:val="0"/>
          <w:szCs w:val="21"/>
        </w:rPr>
        <w:t>文件</w:t>
      </w:r>
      <w:r>
        <w:rPr>
          <w:rFonts w:ascii="宋体" w:hAnsi="宋体"/>
        </w:rPr>
        <w:t>格式；</w:t>
      </w:r>
    </w:p>
    <w:p w14:paraId="575F35CD">
      <w:pPr>
        <w:spacing w:line="400" w:lineRule="exact"/>
        <w:ind w:firstLine="420" w:firstLineChars="200"/>
        <w:rPr>
          <w:rFonts w:ascii="宋体" w:hAnsi="宋体"/>
        </w:rPr>
      </w:pPr>
      <w:r>
        <w:rPr>
          <w:rFonts w:ascii="宋体" w:hAnsi="宋体"/>
        </w:rPr>
        <w:t>（</w:t>
      </w:r>
      <w:r>
        <w:t>7</w:t>
      </w:r>
      <w:r>
        <w:rPr>
          <w:rFonts w:ascii="宋体" w:hAnsi="宋体"/>
        </w:rPr>
        <w:t>）供应商须知前附表规定的其他资料。</w:t>
      </w:r>
    </w:p>
    <w:p w14:paraId="31747EBD">
      <w:pPr>
        <w:spacing w:line="400" w:lineRule="exact"/>
        <w:ind w:firstLine="420" w:firstLineChars="200"/>
        <w:rPr>
          <w:rFonts w:ascii="宋体" w:hAnsi="宋体"/>
        </w:rPr>
      </w:pPr>
      <w:r>
        <w:rPr>
          <w:rFonts w:ascii="宋体" w:hAnsi="宋体"/>
        </w:rPr>
        <w:t>采购人依照本章</w:t>
      </w:r>
      <w:r>
        <w:rPr>
          <w:rFonts w:ascii="宋体" w:hAnsi="宋体"/>
          <w:spacing w:val="1"/>
          <w:kern w:val="0"/>
          <w:szCs w:val="21"/>
        </w:rPr>
        <w:t>规定</w:t>
      </w:r>
      <w:r>
        <w:rPr>
          <w:rFonts w:ascii="宋体" w:hAnsi="宋体"/>
        </w:rPr>
        <w:t>，对采购文件所做的澄清补遗、修改，构成采购文件的组成部分。</w:t>
      </w:r>
    </w:p>
    <w:bookmarkEnd w:id="139"/>
    <w:p w14:paraId="6FB3ECC5">
      <w:pPr>
        <w:widowControl/>
        <w:spacing w:before="100" w:beforeAutospacing="1" w:after="100" w:afterAutospacing="1" w:line="400" w:lineRule="exact"/>
        <w:ind w:left="2" w:leftChars="1"/>
        <w:jc w:val="left"/>
        <w:outlineLvl w:val="2"/>
        <w:rPr>
          <w:rFonts w:eastAsia="黑体"/>
          <w:sz w:val="24"/>
        </w:rPr>
      </w:pPr>
      <w:bookmarkStart w:id="140" w:name="_Toc143102148"/>
      <w:bookmarkStart w:id="141" w:name="_Toc149140204"/>
      <w:r>
        <w:rPr>
          <w:rFonts w:eastAsia="黑体"/>
          <w:sz w:val="24"/>
        </w:rPr>
        <w:t>2.2 采购文件的澄清和修改</w:t>
      </w:r>
      <w:bookmarkEnd w:id="140"/>
      <w:bookmarkEnd w:id="141"/>
    </w:p>
    <w:p w14:paraId="6DDABF98">
      <w:pPr>
        <w:spacing w:line="400" w:lineRule="exact"/>
        <w:ind w:firstLine="420" w:firstLineChars="200"/>
        <w:rPr>
          <w:rFonts w:ascii="宋体" w:hAnsi="宋体"/>
          <w:szCs w:val="21"/>
        </w:rPr>
      </w:pPr>
      <w:r>
        <w:rPr>
          <w:szCs w:val="21"/>
        </w:rPr>
        <w:t>2</w:t>
      </w:r>
      <w:r>
        <w:rPr>
          <w:rFonts w:ascii="宋体" w:hAnsi="宋体"/>
          <w:szCs w:val="21"/>
        </w:rPr>
        <w:t>.</w:t>
      </w:r>
      <w:r>
        <w:rPr>
          <w:szCs w:val="21"/>
        </w:rPr>
        <w:t>2</w:t>
      </w:r>
      <w:r>
        <w:rPr>
          <w:rFonts w:ascii="宋体" w:hAnsi="宋体"/>
          <w:szCs w:val="21"/>
        </w:rPr>
        <w:t>.</w:t>
      </w:r>
      <w:r>
        <w:rPr>
          <w:szCs w:val="21"/>
        </w:rPr>
        <w:t>1</w:t>
      </w:r>
      <w:r>
        <w:rPr>
          <w:rFonts w:ascii="宋体" w:hAnsi="宋体"/>
          <w:szCs w:val="21"/>
        </w:rPr>
        <w:t>供应商应仔细阅读和检查采购文件的全部。如发现缺页或内容不全，应及时向采购人提出，以便补齐。如有疑问，应在供应商须知前附表规定的时间前，</w:t>
      </w:r>
      <w:bookmarkStart w:id="142" w:name="_Hlk138878014"/>
      <w:r>
        <w:rPr>
          <w:rFonts w:ascii="宋体" w:hAnsi="宋体"/>
          <w:szCs w:val="21"/>
        </w:rPr>
        <w:t>按照规定形式要求采购人对采购文件予以澄清。</w:t>
      </w:r>
      <w:bookmarkEnd w:id="142"/>
    </w:p>
    <w:p w14:paraId="2C4E79BF">
      <w:pPr>
        <w:spacing w:line="400" w:lineRule="exact"/>
        <w:ind w:firstLine="420" w:firstLineChars="200"/>
        <w:rPr>
          <w:rFonts w:ascii="宋体" w:hAnsi="宋体"/>
          <w:strike/>
        </w:rPr>
      </w:pPr>
      <w:r>
        <w:rPr>
          <w:szCs w:val="21"/>
        </w:rPr>
        <w:t>2</w:t>
      </w:r>
      <w:r>
        <w:rPr>
          <w:rFonts w:ascii="宋体" w:hAnsi="宋体"/>
          <w:szCs w:val="21"/>
        </w:rPr>
        <w:t>.</w:t>
      </w:r>
      <w:r>
        <w:rPr>
          <w:szCs w:val="21"/>
        </w:rPr>
        <w:t>2</w:t>
      </w:r>
      <w:r>
        <w:rPr>
          <w:rFonts w:ascii="宋体" w:hAnsi="宋体"/>
          <w:szCs w:val="21"/>
        </w:rPr>
        <w:t>.</w:t>
      </w:r>
      <w:r>
        <w:rPr>
          <w:szCs w:val="21"/>
        </w:rPr>
        <w:t>2</w:t>
      </w:r>
      <w:r>
        <w:rPr>
          <w:rFonts w:ascii="宋体" w:hAnsi="宋体"/>
          <w:szCs w:val="21"/>
        </w:rPr>
        <w:t>采购人可根据供应商的要求或主动对采购文件进行</w:t>
      </w:r>
      <w:bookmarkStart w:id="143" w:name="_Hlk148688928"/>
      <w:r>
        <w:rPr>
          <w:rFonts w:ascii="宋体" w:hAnsi="宋体"/>
        </w:rPr>
        <w:t>补遗</w:t>
      </w:r>
      <w:bookmarkEnd w:id="143"/>
      <w:r>
        <w:rPr>
          <w:rFonts w:ascii="宋体" w:hAnsi="宋体"/>
          <w:szCs w:val="21"/>
        </w:rPr>
        <w:t>或修改。</w:t>
      </w:r>
      <w:r>
        <w:rPr>
          <w:rFonts w:ascii="宋体" w:hAnsi="宋体"/>
        </w:rPr>
        <w:t>补遗</w:t>
      </w:r>
      <w:r>
        <w:rPr>
          <w:rFonts w:ascii="宋体" w:hAnsi="宋体"/>
          <w:szCs w:val="21"/>
        </w:rPr>
        <w:t>或修改的内容以补充文件的形式发给所有</w:t>
      </w:r>
      <w:r>
        <w:rPr>
          <w:rFonts w:ascii="宋体" w:hAnsi="宋体"/>
          <w:spacing w:val="1"/>
          <w:kern w:val="0"/>
          <w:szCs w:val="21"/>
        </w:rPr>
        <w:t>获取</w:t>
      </w:r>
      <w:r>
        <w:rPr>
          <w:rFonts w:ascii="宋体" w:hAnsi="宋体"/>
          <w:szCs w:val="21"/>
        </w:rPr>
        <w:t>采购文件的供应商。</w:t>
      </w:r>
      <w:r>
        <w:rPr>
          <w:rFonts w:ascii="宋体" w:hAnsi="宋体"/>
        </w:rPr>
        <w:t>补遗发出的时间距本章第</w:t>
      </w:r>
      <w:r>
        <w:t>4</w:t>
      </w:r>
      <w:r>
        <w:rPr>
          <w:rFonts w:ascii="宋体" w:hAnsi="宋体"/>
        </w:rPr>
        <w:t>.</w:t>
      </w:r>
      <w:r>
        <w:t>2</w:t>
      </w:r>
      <w:r>
        <w:rPr>
          <w:rFonts w:ascii="宋体" w:hAnsi="宋体"/>
        </w:rPr>
        <w:t>.</w:t>
      </w:r>
      <w:r>
        <w:t>1</w:t>
      </w:r>
      <w:r>
        <w:rPr>
          <w:rFonts w:ascii="宋体" w:hAnsi="宋体"/>
        </w:rPr>
        <w:t>项规定的投标截止时间不足</w:t>
      </w:r>
      <w:r>
        <w:t>3</w:t>
      </w:r>
      <w:r>
        <w:rPr>
          <w:rFonts w:ascii="宋体" w:hAnsi="宋体"/>
        </w:rPr>
        <w:t>日的，并且补遗内容可能影响响应文件编制的，将相应延长响应文件递交截止时间。</w:t>
      </w:r>
    </w:p>
    <w:p w14:paraId="65C5AAE6">
      <w:pPr>
        <w:spacing w:line="400" w:lineRule="exact"/>
        <w:ind w:firstLine="420" w:firstLineChars="200"/>
        <w:rPr>
          <w:rFonts w:ascii="宋体" w:hAnsi="宋体"/>
        </w:rPr>
      </w:pPr>
      <w:r>
        <w:rPr>
          <w:szCs w:val="21"/>
        </w:rPr>
        <w:t>2</w:t>
      </w:r>
      <w:r>
        <w:rPr>
          <w:rFonts w:ascii="宋体" w:hAnsi="宋体"/>
          <w:szCs w:val="21"/>
        </w:rPr>
        <w:t>.</w:t>
      </w:r>
      <w:r>
        <w:rPr>
          <w:szCs w:val="21"/>
        </w:rPr>
        <w:t>2</w:t>
      </w:r>
      <w:r>
        <w:rPr>
          <w:rFonts w:ascii="宋体" w:hAnsi="宋体"/>
          <w:szCs w:val="21"/>
        </w:rPr>
        <w:t>.</w:t>
      </w:r>
      <w:r>
        <w:rPr>
          <w:szCs w:val="21"/>
        </w:rPr>
        <w:t>3</w:t>
      </w:r>
      <w:bookmarkStart w:id="144" w:name="_Hlk137483486"/>
      <w:r>
        <w:rPr>
          <w:rFonts w:ascii="宋体" w:hAnsi="宋体"/>
        </w:rPr>
        <w:t>采购</w:t>
      </w:r>
      <w:r>
        <w:rPr>
          <w:rFonts w:ascii="宋体" w:hAnsi="宋体"/>
          <w:kern w:val="0"/>
        </w:rPr>
        <w:t>人对采购文件的澄清</w:t>
      </w:r>
      <w:r>
        <w:rPr>
          <w:rFonts w:ascii="宋体" w:hAnsi="宋体"/>
        </w:rPr>
        <w:t>补遗</w:t>
      </w:r>
      <w:r>
        <w:rPr>
          <w:rFonts w:ascii="宋体" w:hAnsi="宋体"/>
          <w:kern w:val="0"/>
        </w:rPr>
        <w:t>在</w:t>
      </w:r>
      <w:bookmarkStart w:id="145" w:name="_Hlk24118477"/>
      <w:r>
        <w:rPr>
          <w:rFonts w:ascii="宋体" w:hAnsi="宋体"/>
          <w:kern w:val="0"/>
        </w:rPr>
        <w:t>“招采平台”</w:t>
      </w:r>
      <w:r>
        <w:rPr>
          <w:rFonts w:ascii="宋体" w:hAnsi="宋体"/>
          <w:szCs w:val="21"/>
        </w:rPr>
        <w:t>“答疑澄清文件”</w:t>
      </w:r>
      <w:bookmarkEnd w:id="145"/>
      <w:r>
        <w:rPr>
          <w:rFonts w:ascii="宋体" w:hAnsi="宋体"/>
          <w:szCs w:val="21"/>
        </w:rPr>
        <w:t>菜单</w:t>
      </w:r>
      <w:r>
        <w:rPr>
          <w:rFonts w:ascii="宋体" w:hAnsi="宋体"/>
          <w:kern w:val="0"/>
        </w:rPr>
        <w:t>中一经发出则视为送达所有供应商。</w:t>
      </w:r>
      <w:r>
        <w:rPr>
          <w:rFonts w:ascii="宋体" w:hAnsi="宋体"/>
        </w:rPr>
        <w:t>供应商应及时浏览</w:t>
      </w:r>
      <w:r>
        <w:rPr>
          <w:rFonts w:ascii="宋体" w:hAnsi="宋体"/>
          <w:szCs w:val="21"/>
        </w:rPr>
        <w:t>该平台</w:t>
      </w:r>
      <w:r>
        <w:rPr>
          <w:rFonts w:ascii="宋体" w:hAnsi="宋体"/>
        </w:rPr>
        <w:t>发出的澄清补遗并在“答疑澄清文件领取”下载</w:t>
      </w:r>
      <w:r>
        <w:rPr>
          <w:rFonts w:ascii="宋体" w:hAnsi="宋体"/>
          <w:kern w:val="0"/>
        </w:rPr>
        <w:t>，因供应商未及时查阅下载上述澄清</w:t>
      </w:r>
      <w:r>
        <w:rPr>
          <w:rFonts w:ascii="宋体" w:hAnsi="宋体"/>
        </w:rPr>
        <w:t>补遗</w:t>
      </w:r>
      <w:r>
        <w:rPr>
          <w:rFonts w:ascii="宋体" w:hAnsi="宋体"/>
          <w:kern w:val="0"/>
        </w:rPr>
        <w:t>而导致的后果由供应商自行承担。</w:t>
      </w:r>
      <w:bookmarkEnd w:id="144"/>
    </w:p>
    <w:p w14:paraId="1C8CB577">
      <w:pPr>
        <w:spacing w:line="400" w:lineRule="exact"/>
        <w:ind w:firstLine="420" w:firstLineChars="200"/>
        <w:rPr>
          <w:rFonts w:ascii="宋体" w:hAnsi="宋体"/>
          <w:szCs w:val="21"/>
        </w:rPr>
      </w:pPr>
      <w:r>
        <w:rPr>
          <w:szCs w:val="21"/>
        </w:rPr>
        <w:t>2</w:t>
      </w:r>
      <w:r>
        <w:rPr>
          <w:rFonts w:ascii="宋体" w:hAnsi="宋体"/>
          <w:szCs w:val="21"/>
        </w:rPr>
        <w:t>.</w:t>
      </w:r>
      <w:r>
        <w:rPr>
          <w:szCs w:val="21"/>
        </w:rPr>
        <w:t>2</w:t>
      </w:r>
      <w:r>
        <w:rPr>
          <w:rFonts w:ascii="宋体" w:hAnsi="宋体"/>
          <w:szCs w:val="21"/>
        </w:rPr>
        <w:t>.</w:t>
      </w:r>
      <w:r>
        <w:rPr>
          <w:szCs w:val="21"/>
        </w:rPr>
        <w:t>4</w:t>
      </w:r>
      <w:r>
        <w:rPr>
          <w:rFonts w:ascii="宋体" w:hAnsi="宋体"/>
          <w:szCs w:val="21"/>
        </w:rPr>
        <w:t>除非确有必要，采购人有权拒绝回复供应商在本章第</w:t>
      </w:r>
      <w:r>
        <w:rPr>
          <w:szCs w:val="21"/>
        </w:rPr>
        <w:t>2</w:t>
      </w:r>
      <w:r>
        <w:rPr>
          <w:rFonts w:ascii="宋体" w:hAnsi="宋体"/>
          <w:szCs w:val="21"/>
        </w:rPr>
        <w:t>.</w:t>
      </w:r>
      <w:r>
        <w:rPr>
          <w:szCs w:val="21"/>
        </w:rPr>
        <w:t>2</w:t>
      </w:r>
      <w:r>
        <w:rPr>
          <w:rFonts w:ascii="宋体" w:hAnsi="宋体"/>
          <w:szCs w:val="21"/>
        </w:rPr>
        <w:t>.</w:t>
      </w:r>
      <w:r>
        <w:rPr>
          <w:szCs w:val="21"/>
        </w:rPr>
        <w:t>1</w:t>
      </w:r>
      <w:r>
        <w:rPr>
          <w:rFonts w:ascii="宋体" w:hAnsi="宋体"/>
          <w:szCs w:val="21"/>
        </w:rPr>
        <w:t>项规定的时间后提出的任何澄清要求。</w:t>
      </w:r>
    </w:p>
    <w:p w14:paraId="29B535AA">
      <w:pPr>
        <w:keepNext/>
        <w:keepLines/>
        <w:widowControl/>
        <w:spacing w:before="260" w:after="260"/>
        <w:outlineLvl w:val="1"/>
        <w:rPr>
          <w:rFonts w:eastAsia="黑体"/>
          <w:b/>
          <w:sz w:val="28"/>
          <w:szCs w:val="18"/>
        </w:rPr>
      </w:pPr>
      <w:bookmarkStart w:id="146" w:name="_Toc149140205"/>
      <w:r>
        <w:rPr>
          <w:rFonts w:eastAsia="黑体"/>
          <w:b/>
          <w:sz w:val="28"/>
          <w:szCs w:val="18"/>
        </w:rPr>
        <w:t>3 响应文件</w:t>
      </w:r>
      <w:bookmarkEnd w:id="146"/>
    </w:p>
    <w:p w14:paraId="68320007">
      <w:pPr>
        <w:widowControl/>
        <w:spacing w:before="100" w:beforeAutospacing="1" w:after="100" w:afterAutospacing="1" w:line="400" w:lineRule="exact"/>
        <w:ind w:left="2" w:leftChars="1"/>
        <w:jc w:val="left"/>
        <w:outlineLvl w:val="2"/>
        <w:rPr>
          <w:rFonts w:eastAsia="黑体"/>
          <w:sz w:val="24"/>
        </w:rPr>
      </w:pPr>
      <w:bookmarkStart w:id="147" w:name="_Toc143102150"/>
      <w:bookmarkStart w:id="148" w:name="_Toc149140206"/>
      <w:r>
        <w:rPr>
          <w:rFonts w:eastAsia="黑体"/>
          <w:sz w:val="24"/>
        </w:rPr>
        <w:t>3.1 响应文件的组成</w:t>
      </w:r>
      <w:bookmarkEnd w:id="147"/>
      <w:bookmarkEnd w:id="148"/>
    </w:p>
    <w:p w14:paraId="1B0D23B7">
      <w:pPr>
        <w:spacing w:line="400" w:lineRule="exact"/>
        <w:ind w:firstLine="420" w:firstLineChars="200"/>
        <w:rPr>
          <w:rFonts w:ascii="宋体" w:hAnsi="宋体"/>
          <w:szCs w:val="21"/>
        </w:rPr>
      </w:pPr>
      <w:r>
        <w:rPr>
          <w:szCs w:val="21"/>
        </w:rPr>
        <w:t>3</w:t>
      </w:r>
      <w:r>
        <w:rPr>
          <w:rFonts w:ascii="宋体" w:hAnsi="宋体"/>
          <w:szCs w:val="21"/>
        </w:rPr>
        <w:t>.</w:t>
      </w:r>
      <w:r>
        <w:rPr>
          <w:szCs w:val="21"/>
        </w:rPr>
        <w:t>1</w:t>
      </w:r>
      <w:r>
        <w:rPr>
          <w:rFonts w:ascii="宋体" w:hAnsi="宋体"/>
          <w:szCs w:val="21"/>
        </w:rPr>
        <w:t>.</w:t>
      </w:r>
      <w:r>
        <w:rPr>
          <w:szCs w:val="21"/>
        </w:rPr>
        <w:t>1</w:t>
      </w:r>
      <w:r>
        <w:rPr>
          <w:rFonts w:ascii="宋体" w:hAnsi="宋体"/>
          <w:szCs w:val="21"/>
        </w:rPr>
        <w:t xml:space="preserve"> 响应文件应包括下列内容：</w:t>
      </w:r>
    </w:p>
    <w:p w14:paraId="687FCD12">
      <w:pPr>
        <w:spacing w:line="400" w:lineRule="exact"/>
        <w:ind w:firstLine="420" w:firstLineChars="200"/>
        <w:rPr>
          <w:rFonts w:ascii="宋体" w:hAnsi="宋体"/>
          <w:szCs w:val="21"/>
        </w:rPr>
      </w:pPr>
      <w:bookmarkStart w:id="149" w:name="_Hlk138878154"/>
      <w:r>
        <w:rPr>
          <w:rFonts w:ascii="宋体" w:hAnsi="宋体"/>
          <w:szCs w:val="21"/>
        </w:rPr>
        <w:t>（</w:t>
      </w:r>
      <w:r>
        <w:rPr>
          <w:szCs w:val="21"/>
        </w:rPr>
        <w:t>1</w:t>
      </w:r>
      <w:r>
        <w:rPr>
          <w:rFonts w:ascii="宋体" w:hAnsi="宋体"/>
          <w:szCs w:val="21"/>
        </w:rPr>
        <w:t>）响应函；</w:t>
      </w:r>
    </w:p>
    <w:p w14:paraId="018346F8">
      <w:pPr>
        <w:spacing w:line="400" w:lineRule="exact"/>
        <w:ind w:firstLine="420" w:firstLineChars="200"/>
        <w:rPr>
          <w:rFonts w:ascii="宋体" w:hAnsi="宋体"/>
          <w:szCs w:val="21"/>
        </w:rPr>
      </w:pPr>
      <w:r>
        <w:rPr>
          <w:rFonts w:ascii="宋体" w:hAnsi="宋体"/>
          <w:szCs w:val="21"/>
        </w:rPr>
        <w:t>（</w:t>
      </w:r>
      <w:r>
        <w:rPr>
          <w:szCs w:val="21"/>
        </w:rPr>
        <w:t>2</w:t>
      </w:r>
      <w:r>
        <w:rPr>
          <w:rFonts w:ascii="宋体" w:hAnsi="宋体"/>
          <w:szCs w:val="21"/>
        </w:rPr>
        <w:t>）授权</w:t>
      </w:r>
      <w:r>
        <w:rPr>
          <w:rFonts w:ascii="宋体" w:hAnsi="宋体"/>
          <w:spacing w:val="1"/>
          <w:kern w:val="0"/>
          <w:szCs w:val="21"/>
        </w:rPr>
        <w:t>委托书</w:t>
      </w:r>
      <w:r>
        <w:rPr>
          <w:rFonts w:ascii="宋体" w:hAnsi="宋体"/>
          <w:szCs w:val="21"/>
        </w:rPr>
        <w:t>；</w:t>
      </w:r>
    </w:p>
    <w:p w14:paraId="739114B4">
      <w:pPr>
        <w:spacing w:line="400" w:lineRule="exact"/>
        <w:ind w:firstLine="420" w:firstLineChars="200"/>
        <w:rPr>
          <w:rFonts w:ascii="宋体" w:hAnsi="宋体"/>
          <w:szCs w:val="21"/>
        </w:rPr>
      </w:pPr>
      <w:r>
        <w:rPr>
          <w:rFonts w:ascii="宋体" w:hAnsi="宋体"/>
          <w:szCs w:val="21"/>
        </w:rPr>
        <w:t>（</w:t>
      </w:r>
      <w:r>
        <w:rPr>
          <w:szCs w:val="21"/>
        </w:rPr>
        <w:t>3</w:t>
      </w:r>
      <w:r>
        <w:rPr>
          <w:rFonts w:ascii="宋体" w:hAnsi="宋体"/>
          <w:szCs w:val="21"/>
        </w:rPr>
        <w:t>）联合体协议书（如有）；</w:t>
      </w:r>
    </w:p>
    <w:p w14:paraId="731DD770">
      <w:pPr>
        <w:spacing w:line="400" w:lineRule="exact"/>
        <w:ind w:firstLine="420" w:firstLineChars="200"/>
        <w:rPr>
          <w:rFonts w:ascii="宋体" w:hAnsi="宋体"/>
          <w:szCs w:val="21"/>
        </w:rPr>
      </w:pPr>
      <w:r>
        <w:rPr>
          <w:rFonts w:ascii="宋体" w:hAnsi="宋体"/>
          <w:szCs w:val="21"/>
        </w:rPr>
        <w:t>（</w:t>
      </w:r>
      <w:r>
        <w:rPr>
          <w:szCs w:val="21"/>
        </w:rPr>
        <w:t>4</w:t>
      </w:r>
      <w:r>
        <w:rPr>
          <w:rFonts w:ascii="宋体" w:hAnsi="宋体"/>
          <w:szCs w:val="21"/>
        </w:rPr>
        <w:t>）响应保证金（如有）；</w:t>
      </w:r>
    </w:p>
    <w:p w14:paraId="09620AC0">
      <w:pPr>
        <w:spacing w:line="400" w:lineRule="exact"/>
        <w:ind w:firstLine="420" w:firstLineChars="200"/>
        <w:rPr>
          <w:rFonts w:ascii="宋体" w:hAnsi="宋体"/>
          <w:szCs w:val="21"/>
        </w:rPr>
      </w:pPr>
      <w:bookmarkStart w:id="150" w:name="_Hlk137198627"/>
      <w:r>
        <w:rPr>
          <w:rFonts w:ascii="宋体" w:hAnsi="宋体"/>
          <w:szCs w:val="21"/>
        </w:rPr>
        <w:t>（</w:t>
      </w:r>
      <w:r>
        <w:rPr>
          <w:szCs w:val="21"/>
        </w:rPr>
        <w:t>5</w:t>
      </w:r>
      <w:r>
        <w:rPr>
          <w:rFonts w:ascii="宋体" w:hAnsi="宋体"/>
          <w:szCs w:val="21"/>
        </w:rPr>
        <w:t>）商务和技术偏差表；</w:t>
      </w:r>
    </w:p>
    <w:bookmarkEnd w:id="150"/>
    <w:p w14:paraId="08835E52">
      <w:pPr>
        <w:spacing w:line="400" w:lineRule="exact"/>
        <w:ind w:firstLine="420" w:firstLineChars="200"/>
        <w:rPr>
          <w:rFonts w:ascii="宋体" w:hAnsi="宋体"/>
          <w:szCs w:val="21"/>
        </w:rPr>
      </w:pPr>
      <w:r>
        <w:rPr>
          <w:rFonts w:ascii="宋体" w:hAnsi="宋体"/>
          <w:szCs w:val="21"/>
        </w:rPr>
        <w:t>（</w:t>
      </w:r>
      <w:r>
        <w:rPr>
          <w:szCs w:val="21"/>
        </w:rPr>
        <w:t>6</w:t>
      </w:r>
      <w:r>
        <w:rPr>
          <w:rFonts w:ascii="宋体" w:hAnsi="宋体"/>
          <w:szCs w:val="21"/>
        </w:rPr>
        <w:t>）报价表；</w:t>
      </w:r>
    </w:p>
    <w:p w14:paraId="5CB3D4D1">
      <w:pPr>
        <w:spacing w:line="400" w:lineRule="exact"/>
        <w:ind w:firstLine="420" w:firstLineChars="200"/>
        <w:rPr>
          <w:rFonts w:ascii="宋体" w:hAnsi="宋体"/>
          <w:szCs w:val="21"/>
        </w:rPr>
      </w:pPr>
      <w:r>
        <w:rPr>
          <w:rFonts w:ascii="宋体" w:hAnsi="宋体"/>
          <w:szCs w:val="21"/>
        </w:rPr>
        <w:t>（</w:t>
      </w:r>
      <w:r>
        <w:rPr>
          <w:szCs w:val="21"/>
        </w:rPr>
        <w:t>7</w:t>
      </w:r>
      <w:r>
        <w:rPr>
          <w:rFonts w:ascii="宋体" w:hAnsi="宋体"/>
          <w:szCs w:val="21"/>
        </w:rPr>
        <w:t>）资格审查资料；</w:t>
      </w:r>
    </w:p>
    <w:p w14:paraId="0B28B766">
      <w:pPr>
        <w:spacing w:line="400" w:lineRule="exact"/>
        <w:ind w:firstLine="420" w:firstLineChars="200"/>
        <w:rPr>
          <w:rFonts w:ascii="宋体" w:hAnsi="宋体"/>
          <w:szCs w:val="21"/>
        </w:rPr>
      </w:pPr>
      <w:r>
        <w:rPr>
          <w:rFonts w:ascii="宋体" w:hAnsi="宋体"/>
          <w:szCs w:val="21"/>
        </w:rPr>
        <w:t>（</w:t>
      </w:r>
      <w:r>
        <w:rPr>
          <w:szCs w:val="21"/>
        </w:rPr>
        <w:t>8</w:t>
      </w:r>
      <w:r>
        <w:rPr>
          <w:rFonts w:ascii="宋体" w:hAnsi="宋体"/>
          <w:szCs w:val="21"/>
        </w:rPr>
        <w:t>）</w:t>
      </w:r>
      <w:r>
        <w:rPr>
          <w:rFonts w:ascii="宋体" w:hAnsi="宋体"/>
          <w:spacing w:val="1"/>
          <w:kern w:val="0"/>
          <w:szCs w:val="21"/>
        </w:rPr>
        <w:t>响应</w:t>
      </w:r>
      <w:r>
        <w:rPr>
          <w:rFonts w:ascii="宋体" w:hAnsi="宋体"/>
          <w:szCs w:val="21"/>
        </w:rPr>
        <w:t>方案；</w:t>
      </w:r>
    </w:p>
    <w:p w14:paraId="379BE76E">
      <w:pPr>
        <w:spacing w:line="400" w:lineRule="exact"/>
        <w:ind w:firstLine="420" w:firstLineChars="200"/>
        <w:rPr>
          <w:rFonts w:ascii="宋体" w:hAnsi="宋体"/>
          <w:szCs w:val="21"/>
        </w:rPr>
      </w:pPr>
      <w:r>
        <w:rPr>
          <w:rFonts w:ascii="宋体" w:hAnsi="宋体"/>
          <w:szCs w:val="21"/>
        </w:rPr>
        <w:t>（</w:t>
      </w:r>
      <w:r>
        <w:rPr>
          <w:szCs w:val="21"/>
        </w:rPr>
        <w:t>9</w:t>
      </w:r>
      <w:r>
        <w:rPr>
          <w:rFonts w:ascii="宋体" w:hAnsi="宋体"/>
          <w:szCs w:val="21"/>
        </w:rPr>
        <w:t>）</w:t>
      </w:r>
      <w:r>
        <w:rPr>
          <w:rFonts w:ascii="宋体" w:hAnsi="宋体"/>
          <w:spacing w:val="1"/>
          <w:kern w:val="0"/>
          <w:szCs w:val="21"/>
        </w:rPr>
        <w:t>承诺</w:t>
      </w:r>
      <w:r>
        <w:rPr>
          <w:rFonts w:ascii="宋体" w:hAnsi="宋体"/>
          <w:szCs w:val="21"/>
        </w:rPr>
        <w:t>函；</w:t>
      </w:r>
    </w:p>
    <w:p w14:paraId="248E61B7">
      <w:pPr>
        <w:spacing w:line="400" w:lineRule="exact"/>
        <w:ind w:firstLine="420" w:firstLineChars="200"/>
        <w:rPr>
          <w:rFonts w:ascii="宋体" w:hAnsi="宋体"/>
          <w:szCs w:val="21"/>
        </w:rPr>
      </w:pPr>
      <w:r>
        <w:rPr>
          <w:rFonts w:ascii="宋体" w:hAnsi="宋体"/>
          <w:szCs w:val="21"/>
        </w:rPr>
        <w:t>（</w:t>
      </w:r>
      <w:r>
        <w:rPr>
          <w:szCs w:val="21"/>
        </w:rPr>
        <w:t>10</w:t>
      </w:r>
      <w:r>
        <w:rPr>
          <w:rFonts w:ascii="宋体" w:hAnsi="宋体"/>
          <w:szCs w:val="21"/>
        </w:rPr>
        <w:t>）供应商须知前附表规定的其他资料。</w:t>
      </w:r>
    </w:p>
    <w:bookmarkEnd w:id="149"/>
    <w:p w14:paraId="5FD2837B">
      <w:pPr>
        <w:spacing w:line="400" w:lineRule="exact"/>
        <w:ind w:firstLine="420" w:firstLineChars="200"/>
        <w:rPr>
          <w:rFonts w:ascii="宋体" w:hAnsi="宋体"/>
        </w:rPr>
      </w:pPr>
      <w:bookmarkStart w:id="151" w:name="_Hlk138878140"/>
      <w:r>
        <w:rPr>
          <w:rFonts w:ascii="宋体" w:hAnsi="宋体"/>
        </w:rPr>
        <w:t>供应商在评审过程中作出的符合采购文件要求的澄清、说明和补正，构成响应文件的组成部分。</w:t>
      </w:r>
    </w:p>
    <w:p w14:paraId="51F676E3">
      <w:pPr>
        <w:spacing w:line="400" w:lineRule="exact"/>
        <w:ind w:firstLine="420" w:firstLineChars="200"/>
        <w:rPr>
          <w:rFonts w:ascii="宋体" w:hAnsi="宋体"/>
        </w:rPr>
      </w:pPr>
      <w:r>
        <w:t>3</w:t>
      </w:r>
      <w:r>
        <w:rPr>
          <w:rFonts w:ascii="宋体" w:hAnsi="宋体"/>
        </w:rPr>
        <w:t>.</w:t>
      </w:r>
      <w:r>
        <w:t>1</w:t>
      </w:r>
      <w:r>
        <w:rPr>
          <w:rFonts w:ascii="宋体" w:hAnsi="宋体"/>
        </w:rPr>
        <w:t>.</w:t>
      </w:r>
      <w:r>
        <w:t>2</w:t>
      </w:r>
      <w:r>
        <w:rPr>
          <w:rFonts w:ascii="宋体" w:hAnsi="宋体"/>
        </w:rPr>
        <w:t xml:space="preserve"> 第一章“采购公告”规定不接受联合体的，或供应商没有组成联合体的，响应文件不包括第</w:t>
      </w:r>
      <w:r>
        <w:t>3</w:t>
      </w:r>
      <w:r>
        <w:rPr>
          <w:rFonts w:ascii="宋体" w:hAnsi="宋体"/>
        </w:rPr>
        <w:t>.</w:t>
      </w:r>
      <w:r>
        <w:t>1</w:t>
      </w:r>
      <w:r>
        <w:rPr>
          <w:rFonts w:ascii="宋体" w:hAnsi="宋体"/>
        </w:rPr>
        <w:t>.</w:t>
      </w:r>
      <w:r>
        <w:t>1</w:t>
      </w:r>
      <w:r>
        <w:rPr>
          <w:rFonts w:ascii="宋体" w:hAnsi="宋体"/>
        </w:rPr>
        <w:t>(</w:t>
      </w:r>
      <w:r>
        <w:t>3</w:t>
      </w:r>
      <w:r>
        <w:rPr>
          <w:rFonts w:ascii="宋体" w:hAnsi="宋体"/>
        </w:rPr>
        <w:t>)目所指的联合体协议书。供应商须知前附表未要求供应商递交响应保证金的，响应文件不包括第</w:t>
      </w:r>
      <w:r>
        <w:t>3</w:t>
      </w:r>
      <w:r>
        <w:rPr>
          <w:rFonts w:ascii="宋体" w:hAnsi="宋体"/>
        </w:rPr>
        <w:t>.</w:t>
      </w:r>
      <w:r>
        <w:t>1</w:t>
      </w:r>
      <w:r>
        <w:rPr>
          <w:rFonts w:ascii="宋体" w:hAnsi="宋体"/>
        </w:rPr>
        <w:t>.</w:t>
      </w:r>
      <w:r>
        <w:t>1</w:t>
      </w:r>
      <w:r>
        <w:rPr>
          <w:rFonts w:ascii="宋体" w:hAnsi="宋体"/>
        </w:rPr>
        <w:t>(</w:t>
      </w:r>
      <w:r>
        <w:t>4</w:t>
      </w:r>
      <w:r>
        <w:rPr>
          <w:rFonts w:ascii="宋体" w:hAnsi="宋体"/>
        </w:rPr>
        <w:t>)目所指的响应保证金。</w:t>
      </w:r>
    </w:p>
    <w:bookmarkEnd w:id="151"/>
    <w:p w14:paraId="1A3C0327">
      <w:pPr>
        <w:widowControl/>
        <w:spacing w:before="100" w:beforeAutospacing="1" w:after="100" w:afterAutospacing="1" w:line="400" w:lineRule="exact"/>
        <w:ind w:left="2" w:leftChars="1"/>
        <w:jc w:val="left"/>
        <w:outlineLvl w:val="2"/>
        <w:rPr>
          <w:rFonts w:eastAsia="黑体"/>
          <w:sz w:val="24"/>
        </w:rPr>
      </w:pPr>
      <w:bookmarkStart w:id="152" w:name="_Toc143102151"/>
      <w:bookmarkStart w:id="153" w:name="_Toc149140207"/>
      <w:r>
        <w:rPr>
          <w:rFonts w:eastAsia="黑体"/>
          <w:sz w:val="24"/>
        </w:rPr>
        <w:t>3.2 报价</w:t>
      </w:r>
      <w:bookmarkEnd w:id="152"/>
      <w:bookmarkEnd w:id="153"/>
    </w:p>
    <w:p w14:paraId="51F6BC2E">
      <w:pPr>
        <w:spacing w:line="400" w:lineRule="exact"/>
        <w:ind w:firstLine="420" w:firstLineChars="200"/>
        <w:rPr>
          <w:rFonts w:ascii="宋体" w:hAnsi="宋体"/>
          <w:strike/>
        </w:rPr>
      </w:pPr>
      <w:r>
        <w:t>3</w:t>
      </w:r>
      <w:r>
        <w:rPr>
          <w:rFonts w:ascii="宋体" w:hAnsi="宋体"/>
        </w:rPr>
        <w:t>.</w:t>
      </w:r>
      <w:r>
        <w:t>2</w:t>
      </w:r>
      <w:r>
        <w:rPr>
          <w:rFonts w:ascii="宋体" w:hAnsi="宋体"/>
        </w:rPr>
        <w:t>.</w:t>
      </w:r>
      <w:r>
        <w:t>1</w:t>
      </w:r>
      <w:r>
        <w:rPr>
          <w:rFonts w:ascii="宋体" w:hAnsi="宋体"/>
        </w:rPr>
        <w:t xml:space="preserve"> 供应商应按采购文件提供的格式（见第六章“响应文件格式”）在响应函和报价表中进行报价。响应函中报价应为包含国家规定的增值税在内的含税价格，同时列明不含税金额和增值税税额（如有）。</w:t>
      </w:r>
    </w:p>
    <w:p w14:paraId="46B4F170">
      <w:pPr>
        <w:spacing w:line="400" w:lineRule="exact"/>
        <w:ind w:firstLine="420" w:firstLineChars="200"/>
        <w:rPr>
          <w:rFonts w:ascii="宋体" w:hAnsi="宋体"/>
          <w:szCs w:val="21"/>
        </w:rPr>
      </w:pPr>
      <w:r>
        <w:t>3</w:t>
      </w:r>
      <w:r>
        <w:rPr>
          <w:rFonts w:ascii="宋体" w:hAnsi="宋体"/>
        </w:rPr>
        <w:t>.</w:t>
      </w:r>
      <w:r>
        <w:t>2</w:t>
      </w:r>
      <w:r>
        <w:rPr>
          <w:rFonts w:ascii="宋体" w:hAnsi="宋体"/>
        </w:rPr>
        <w:t>.</w:t>
      </w:r>
      <w:r>
        <w:t>2</w:t>
      </w:r>
      <w:r>
        <w:rPr>
          <w:rFonts w:ascii="宋体" w:hAnsi="宋体"/>
        </w:rPr>
        <w:t xml:space="preserve"> 供应商应充分了解采购项目的总体情况以及影响报价的其他要素。对于货物和服务采购项目，</w:t>
      </w:r>
      <w:r>
        <w:rPr>
          <w:rFonts w:ascii="宋体" w:hAnsi="宋体"/>
          <w:szCs w:val="21"/>
        </w:rPr>
        <w:t>采购人在签署采购</w:t>
      </w:r>
      <w:r>
        <w:rPr>
          <w:rFonts w:ascii="宋体" w:hAnsi="宋体"/>
          <w:spacing w:val="1"/>
          <w:kern w:val="0"/>
          <w:szCs w:val="21"/>
        </w:rPr>
        <w:t>合同</w:t>
      </w:r>
      <w:r>
        <w:rPr>
          <w:rFonts w:ascii="宋体" w:hAnsi="宋体"/>
          <w:szCs w:val="21"/>
        </w:rPr>
        <w:t>时及合同履行过程中，有权对采购标的的数量进行增加或减少。</w:t>
      </w:r>
    </w:p>
    <w:p w14:paraId="245C4B87">
      <w:pPr>
        <w:spacing w:line="400" w:lineRule="exact"/>
        <w:ind w:firstLine="420" w:firstLineChars="200"/>
        <w:rPr>
          <w:rFonts w:ascii="宋体" w:hAnsi="宋体"/>
        </w:rPr>
      </w:pPr>
      <w:r>
        <w:t>3</w:t>
      </w:r>
      <w:r>
        <w:rPr>
          <w:rFonts w:ascii="宋体" w:hAnsi="宋体"/>
        </w:rPr>
        <w:t>.</w:t>
      </w:r>
      <w:r>
        <w:t>2</w:t>
      </w:r>
      <w:r>
        <w:rPr>
          <w:rFonts w:ascii="宋体" w:hAnsi="宋体"/>
        </w:rPr>
        <w:t>.</w:t>
      </w:r>
      <w:r>
        <w:t>3</w:t>
      </w:r>
      <w:r>
        <w:rPr>
          <w:rFonts w:ascii="宋体" w:hAnsi="宋体"/>
          <w:szCs w:val="21"/>
        </w:rPr>
        <w:t xml:space="preserve"> </w:t>
      </w:r>
      <w:r>
        <w:rPr>
          <w:rFonts w:ascii="宋体" w:hAnsi="宋体"/>
        </w:rPr>
        <w:t>本次框架协议价格形式见供应商须知前附表。其中：</w:t>
      </w:r>
    </w:p>
    <w:p w14:paraId="169E098B">
      <w:pPr>
        <w:widowControl/>
        <w:spacing w:line="400" w:lineRule="exact"/>
        <w:ind w:firstLine="420" w:firstLineChars="200"/>
        <w:jc w:val="left"/>
        <w:rPr>
          <w:rFonts w:ascii="宋体" w:hAnsi="宋体"/>
        </w:rPr>
      </w:pPr>
      <w:r>
        <w:rPr>
          <w:rFonts w:ascii="宋体" w:hAnsi="宋体"/>
        </w:rPr>
        <w:t>（</w:t>
      </w:r>
      <w:r>
        <w:t>1</w:t>
      </w:r>
      <w:r>
        <w:rPr>
          <w:rFonts w:ascii="宋体" w:hAnsi="宋体"/>
        </w:rPr>
        <w:t>）固定价：框架协议采用固定价形式的，</w:t>
      </w:r>
      <w:r>
        <w:rPr>
          <w:rFonts w:ascii="宋体" w:hAnsi="宋体"/>
          <w:szCs w:val="21"/>
        </w:rPr>
        <w:t>第一阶段选择入围供应商并确定的框架协议价格，即成为第二阶段实施采购的价格。第一阶段</w:t>
      </w:r>
      <w:r>
        <w:rPr>
          <w:rFonts w:ascii="宋体" w:hAnsi="宋体"/>
        </w:rPr>
        <w:t>供应商无需报价，供应商提供响应文件视为响应固定价格。在框架协议有效期内，其协议的固定价，除供应商须知前附表约定的特殊例外情形外，其他任何情况不能改变价格。固定价一般适用于以下情形：</w:t>
      </w:r>
    </w:p>
    <w:p w14:paraId="0FBC80E1">
      <w:pPr>
        <w:widowControl/>
        <w:spacing w:line="400" w:lineRule="exact"/>
        <w:ind w:firstLine="420" w:firstLineChars="200"/>
        <w:jc w:val="left"/>
        <w:rPr>
          <w:rFonts w:ascii="宋体" w:hAnsi="宋体"/>
        </w:rPr>
      </w:pPr>
      <w:r>
        <w:t>1</w:t>
      </w:r>
      <w:r>
        <w:rPr>
          <w:rFonts w:ascii="宋体" w:hAnsi="宋体"/>
        </w:rPr>
        <w:t>）项目可参照或直接采用政府指导价的；</w:t>
      </w:r>
    </w:p>
    <w:p w14:paraId="450AA919">
      <w:pPr>
        <w:widowControl/>
        <w:spacing w:line="400" w:lineRule="exact"/>
        <w:ind w:firstLine="420" w:firstLineChars="200"/>
        <w:jc w:val="left"/>
        <w:rPr>
          <w:rFonts w:ascii="宋体" w:hAnsi="宋体"/>
        </w:rPr>
      </w:pPr>
      <w:r>
        <w:t>2</w:t>
      </w:r>
      <w:r>
        <w:rPr>
          <w:rFonts w:ascii="宋体" w:hAnsi="宋体"/>
        </w:rPr>
        <w:t>）采购项目标的市场价格在协议有效期内预计稳定无波动的；</w:t>
      </w:r>
    </w:p>
    <w:p w14:paraId="60D4FAEF">
      <w:pPr>
        <w:widowControl/>
        <w:spacing w:line="400" w:lineRule="exact"/>
        <w:ind w:firstLine="420" w:firstLineChars="200"/>
        <w:jc w:val="left"/>
        <w:rPr>
          <w:rFonts w:ascii="宋体" w:hAnsi="宋体"/>
        </w:rPr>
      </w:pPr>
      <w:r>
        <w:t>3</w:t>
      </w:r>
      <w:r>
        <w:rPr>
          <w:rFonts w:ascii="宋体" w:hAnsi="宋体"/>
        </w:rPr>
        <w:t>）采购数量在协议有效期内预计比较准确的，数量增减情况有限可控的；</w:t>
      </w:r>
    </w:p>
    <w:p w14:paraId="54CFD468">
      <w:pPr>
        <w:widowControl/>
        <w:spacing w:line="400" w:lineRule="exact"/>
        <w:ind w:firstLine="420" w:firstLineChars="200"/>
        <w:jc w:val="left"/>
        <w:rPr>
          <w:rFonts w:ascii="宋体" w:hAnsi="宋体"/>
        </w:rPr>
      </w:pPr>
      <w:r>
        <w:t>4</w:t>
      </w:r>
      <w:r>
        <w:rPr>
          <w:rFonts w:ascii="宋体" w:hAnsi="宋体"/>
        </w:rPr>
        <w:t>）采购估算数量较少；</w:t>
      </w:r>
    </w:p>
    <w:p w14:paraId="2EA0ED2A">
      <w:pPr>
        <w:widowControl/>
        <w:spacing w:line="400" w:lineRule="exact"/>
        <w:ind w:firstLine="420" w:firstLineChars="200"/>
        <w:jc w:val="left"/>
      </w:pPr>
      <w:r>
        <w:rPr>
          <w:rFonts w:hint="eastAsia"/>
        </w:rPr>
        <w:t>5）</w:t>
      </w:r>
      <w:r>
        <w:t>框架协议有效期短于6个月的。</w:t>
      </w:r>
    </w:p>
    <w:p w14:paraId="74AEF2D7">
      <w:pPr>
        <w:spacing w:line="400" w:lineRule="exact"/>
        <w:ind w:firstLine="420" w:firstLineChars="200"/>
        <w:rPr>
          <w:rFonts w:ascii="宋体" w:hAnsi="宋体"/>
        </w:rPr>
      </w:pPr>
      <w:r>
        <w:t>（2）</w:t>
      </w:r>
      <w:r>
        <w:rPr>
          <w:rFonts w:ascii="宋体" w:hAnsi="宋体"/>
        </w:rPr>
        <w:t>可调价格：框架协议采用可调价格形式的，第一阶段供应商无需报价，供应商提供响应文件视为响应可调价格。在框架协议有效期内，其协议的可调价格触发价格调整条件的，采购人在第二阶段实施采购时，以调整后的价格与供应商签订合同。价格调整触发条件见供应商须知前附表。可调价一般适用于以下情形：</w:t>
      </w:r>
    </w:p>
    <w:p w14:paraId="739DB5D3">
      <w:pPr>
        <w:widowControl/>
        <w:spacing w:line="400" w:lineRule="exact"/>
        <w:ind w:firstLine="420" w:firstLineChars="200"/>
        <w:jc w:val="left"/>
        <w:rPr>
          <w:rFonts w:ascii="宋体" w:hAnsi="宋体"/>
        </w:rPr>
      </w:pPr>
      <w:r>
        <w:t>1</w:t>
      </w:r>
      <w:r>
        <w:rPr>
          <w:rFonts w:ascii="宋体" w:hAnsi="宋体"/>
        </w:rPr>
        <w:t>）预计市场价格波动较大；</w:t>
      </w:r>
    </w:p>
    <w:p w14:paraId="09282C01">
      <w:pPr>
        <w:widowControl/>
        <w:spacing w:line="400" w:lineRule="exact"/>
        <w:ind w:firstLine="420" w:firstLineChars="200"/>
        <w:jc w:val="left"/>
        <w:rPr>
          <w:rFonts w:ascii="宋体" w:hAnsi="宋体"/>
        </w:rPr>
      </w:pPr>
      <w:r>
        <w:t>2</w:t>
      </w:r>
      <w:r>
        <w:rPr>
          <w:rFonts w:ascii="宋体" w:hAnsi="宋体"/>
        </w:rPr>
        <w:t>）预计实际采购数量差异比较大；</w:t>
      </w:r>
    </w:p>
    <w:p w14:paraId="144FD76E">
      <w:pPr>
        <w:widowControl/>
        <w:spacing w:line="400" w:lineRule="exact"/>
        <w:ind w:firstLine="420" w:firstLineChars="200"/>
        <w:jc w:val="left"/>
        <w:rPr>
          <w:rFonts w:ascii="宋体" w:hAnsi="宋体"/>
        </w:rPr>
      </w:pPr>
      <w:r>
        <w:t>3</w:t>
      </w:r>
      <w:r>
        <w:rPr>
          <w:rFonts w:ascii="宋体" w:hAnsi="宋体"/>
        </w:rPr>
        <w:t>）</w:t>
      </w:r>
      <w:r>
        <w:rPr>
          <w:rFonts w:ascii="宋体" w:hAnsi="宋体"/>
          <w:color w:val="221E1F"/>
        </w:rPr>
        <w:t>框架协议有效期超过</w:t>
      </w:r>
      <w:r>
        <w:rPr>
          <w:color w:val="221E1F"/>
        </w:rPr>
        <w:t>6</w:t>
      </w:r>
      <w:r>
        <w:rPr>
          <w:rFonts w:ascii="宋体" w:hAnsi="宋体"/>
          <w:color w:val="221E1F"/>
        </w:rPr>
        <w:t>个月以上的情形。</w:t>
      </w:r>
    </w:p>
    <w:p w14:paraId="4BB0BD5E">
      <w:pPr>
        <w:spacing w:line="400" w:lineRule="exact"/>
        <w:ind w:firstLine="420" w:firstLineChars="200"/>
        <w:rPr>
          <w:rFonts w:ascii="宋体" w:hAnsi="宋体"/>
          <w:szCs w:val="21"/>
        </w:rPr>
      </w:pPr>
      <w:r>
        <w:t>（</w:t>
      </w:r>
      <w:r>
        <w:rPr>
          <w:rFonts w:hint="eastAsia"/>
        </w:rPr>
        <w:t>3</w:t>
      </w:r>
      <w:r>
        <w:t>）</w:t>
      </w:r>
      <w:r>
        <w:rPr>
          <w:rFonts w:ascii="宋体" w:hAnsi="宋体"/>
        </w:rPr>
        <w:t>最高限价：框架协议采用最高限价形式的，供应商在第一阶段需要报价的，报价不得超过最高限价，供应商在第一阶段无需报价的，提交响应文件视为响应最高限价。第一阶段报价形式见供应商须知前附表。</w:t>
      </w:r>
    </w:p>
    <w:p w14:paraId="6F377308">
      <w:pPr>
        <w:numPr>
          <w:ilvl w:val="255"/>
          <w:numId w:val="0"/>
        </w:numPr>
        <w:spacing w:line="400" w:lineRule="exact"/>
        <w:ind w:firstLine="420" w:firstLineChars="200"/>
        <w:rPr>
          <w:rFonts w:ascii="宋体" w:hAnsi="宋体"/>
        </w:rPr>
      </w:pPr>
      <w:r>
        <w:rPr>
          <w:rFonts w:ascii="宋体" w:hAnsi="宋体"/>
        </w:rPr>
        <w:t>当供应商在第一阶段需要报价的，其入围供应商在第一阶段报价的平均值作为采购人第二阶段实施采购的最高限价，采购人组织入围供应商进行再次竞争比较，且入围供应商的第二阶段报价不得高于其在第一阶段的报价；当供应商在第一阶段无需报价的，第一阶段设置的最高限价为第二阶段竞争比较的最高限价。</w:t>
      </w:r>
      <w:r>
        <w:rPr>
          <w:rFonts w:ascii="宋体" w:hAnsi="宋体"/>
          <w:szCs w:val="21"/>
        </w:rPr>
        <w:t>最高限价见供应商须知前附表。</w:t>
      </w:r>
      <w:r>
        <w:rPr>
          <w:rFonts w:ascii="宋体" w:hAnsi="宋体"/>
        </w:rPr>
        <w:t>最高限价一般适用于以下情形：</w:t>
      </w:r>
    </w:p>
    <w:p w14:paraId="4418898D">
      <w:pPr>
        <w:widowControl/>
        <w:spacing w:line="400" w:lineRule="exact"/>
        <w:ind w:firstLine="420" w:firstLineChars="200"/>
        <w:jc w:val="left"/>
        <w:rPr>
          <w:rFonts w:ascii="宋体" w:hAnsi="宋体"/>
        </w:rPr>
      </w:pPr>
      <w:r>
        <w:t>1</w:t>
      </w:r>
      <w:r>
        <w:rPr>
          <w:rFonts w:ascii="宋体" w:hAnsi="宋体"/>
        </w:rPr>
        <w:t>）采购项目标的市场价格差异较大的；</w:t>
      </w:r>
    </w:p>
    <w:p w14:paraId="61DB38B0">
      <w:pPr>
        <w:widowControl/>
        <w:spacing w:line="400" w:lineRule="exact"/>
        <w:ind w:firstLine="420" w:firstLineChars="200"/>
        <w:jc w:val="left"/>
        <w:rPr>
          <w:rFonts w:ascii="宋体" w:hAnsi="宋体"/>
        </w:rPr>
      </w:pPr>
      <w:r>
        <w:t>2</w:t>
      </w:r>
      <w:r>
        <w:rPr>
          <w:rFonts w:ascii="宋体" w:hAnsi="宋体"/>
        </w:rPr>
        <w:t>）采购项目标的市场价格在有效期内预计会大幅降低的；</w:t>
      </w:r>
    </w:p>
    <w:p w14:paraId="158555A8">
      <w:pPr>
        <w:widowControl/>
        <w:spacing w:line="400" w:lineRule="exact"/>
        <w:ind w:firstLine="420" w:firstLineChars="200"/>
        <w:jc w:val="left"/>
        <w:rPr>
          <w:rFonts w:ascii="宋体" w:hAnsi="宋体"/>
        </w:rPr>
      </w:pPr>
      <w:r>
        <w:rPr>
          <w:color w:val="221E1F"/>
        </w:rPr>
        <w:t>3</w:t>
      </w:r>
      <w:r>
        <w:rPr>
          <w:rFonts w:ascii="宋体" w:hAnsi="宋体"/>
          <w:color w:val="221E1F"/>
        </w:rPr>
        <w:t>）采购项目数量规格难以准确估计，与实际采购数量规格可能发生较大差异且采购数量对价格影响较大的。</w:t>
      </w:r>
    </w:p>
    <w:p w14:paraId="03B7500B">
      <w:pPr>
        <w:spacing w:line="400" w:lineRule="exact"/>
        <w:ind w:firstLine="420" w:firstLineChars="200"/>
        <w:rPr>
          <w:rFonts w:ascii="宋体" w:hAnsi="宋体"/>
          <w:i/>
          <w:iCs/>
        </w:rPr>
      </w:pPr>
      <w:r>
        <w:rPr>
          <w:rFonts w:ascii="宋体" w:hAnsi="宋体"/>
          <w:i/>
          <w:iCs/>
        </w:rPr>
        <w:t>注：</w:t>
      </w:r>
      <w:bookmarkStart w:id="154" w:name="_Hlk149148513"/>
      <w:r>
        <w:rPr>
          <w:rFonts w:ascii="宋体" w:hAnsi="宋体"/>
          <w:i/>
          <w:iCs/>
        </w:rPr>
        <w:t>框架协议采用无价格形式的适用于资格审查制框架协议采购</w:t>
      </w:r>
      <w:bookmarkEnd w:id="154"/>
      <w:r>
        <w:rPr>
          <w:rFonts w:ascii="宋体" w:hAnsi="宋体"/>
          <w:i/>
          <w:iCs/>
        </w:rPr>
        <w:t>。</w:t>
      </w:r>
    </w:p>
    <w:p w14:paraId="52357E57">
      <w:pPr>
        <w:spacing w:line="400" w:lineRule="exact"/>
        <w:ind w:firstLine="420" w:firstLineChars="200"/>
        <w:rPr>
          <w:rFonts w:ascii="宋体" w:hAnsi="宋体"/>
          <w:szCs w:val="21"/>
        </w:rPr>
      </w:pPr>
      <w:r>
        <w:t>3</w:t>
      </w:r>
      <w:r>
        <w:rPr>
          <w:rFonts w:ascii="宋体" w:hAnsi="宋体"/>
        </w:rPr>
        <w:t>.</w:t>
      </w:r>
      <w:r>
        <w:t>2</w:t>
      </w:r>
      <w:r>
        <w:rPr>
          <w:rFonts w:ascii="宋体" w:hAnsi="宋体"/>
        </w:rPr>
        <w:t>.</w:t>
      </w:r>
      <w:r>
        <w:t>4</w:t>
      </w:r>
      <w:r>
        <w:rPr>
          <w:rFonts w:ascii="宋体" w:hAnsi="宋体"/>
          <w:szCs w:val="21"/>
        </w:rPr>
        <w:t xml:space="preserve"> 报价的其他要求见供应商须知前附表。</w:t>
      </w:r>
    </w:p>
    <w:p w14:paraId="1E486008">
      <w:pPr>
        <w:widowControl/>
        <w:spacing w:before="100" w:beforeAutospacing="1" w:after="100" w:afterAutospacing="1" w:line="400" w:lineRule="exact"/>
        <w:ind w:left="2" w:leftChars="1"/>
        <w:jc w:val="left"/>
        <w:outlineLvl w:val="2"/>
        <w:rPr>
          <w:rFonts w:eastAsia="黑体"/>
          <w:sz w:val="24"/>
        </w:rPr>
      </w:pPr>
      <w:bookmarkStart w:id="155" w:name="_Toc143102152"/>
      <w:bookmarkStart w:id="156" w:name="_Toc149140208"/>
      <w:r>
        <w:rPr>
          <w:rFonts w:eastAsia="黑体"/>
          <w:sz w:val="24"/>
        </w:rPr>
        <w:t>3.3 响应文件有效期</w:t>
      </w:r>
      <w:bookmarkEnd w:id="155"/>
      <w:bookmarkEnd w:id="156"/>
    </w:p>
    <w:p w14:paraId="31D47513">
      <w:pPr>
        <w:spacing w:line="400" w:lineRule="exact"/>
        <w:ind w:firstLine="420" w:firstLineChars="200"/>
        <w:rPr>
          <w:rFonts w:ascii="宋体" w:hAnsi="宋体"/>
        </w:rPr>
      </w:pPr>
      <w:r>
        <w:t>3</w:t>
      </w:r>
      <w:r>
        <w:rPr>
          <w:rFonts w:ascii="宋体" w:hAnsi="宋体"/>
        </w:rPr>
        <w:t>.</w:t>
      </w:r>
      <w:r>
        <w:t>3</w:t>
      </w:r>
      <w:r>
        <w:rPr>
          <w:rFonts w:ascii="宋体" w:hAnsi="宋体"/>
        </w:rPr>
        <w:t>.</w:t>
      </w:r>
      <w:r>
        <w:t>1</w:t>
      </w:r>
      <w:r>
        <w:rPr>
          <w:rFonts w:ascii="宋体" w:hAnsi="宋体"/>
        </w:rPr>
        <w:t xml:space="preserve"> 除供应商须知前附表另有规定外，响应文件有效期应为</w:t>
      </w:r>
      <w:r>
        <w:t>90</w:t>
      </w:r>
      <w:r>
        <w:rPr>
          <w:rFonts w:ascii="宋体" w:hAnsi="宋体"/>
        </w:rPr>
        <w:t>日，从采购文件规定的递交响应文件的截止时间开始计算。</w:t>
      </w:r>
    </w:p>
    <w:p w14:paraId="437B088C">
      <w:pPr>
        <w:spacing w:line="400" w:lineRule="exact"/>
        <w:ind w:firstLine="420" w:firstLineChars="200"/>
        <w:rPr>
          <w:rFonts w:ascii="宋体" w:hAnsi="宋体"/>
        </w:rPr>
      </w:pPr>
      <w:r>
        <w:t>3</w:t>
      </w:r>
      <w:r>
        <w:rPr>
          <w:rFonts w:ascii="宋体" w:hAnsi="宋体"/>
        </w:rPr>
        <w:t>.</w:t>
      </w:r>
      <w:r>
        <w:t>3</w:t>
      </w:r>
      <w:r>
        <w:rPr>
          <w:rFonts w:ascii="宋体" w:hAnsi="宋体"/>
        </w:rPr>
        <w:t>.</w:t>
      </w:r>
      <w:r>
        <w:t>2</w:t>
      </w:r>
      <w:r>
        <w:rPr>
          <w:rFonts w:ascii="宋体" w:hAnsi="宋体"/>
        </w:rPr>
        <w:t xml:space="preserve"> 出现特殊情况需要延长响应文件有效期的，在系统通过“招采平台”在“澄清答疑”菜单中以数据电文形式通知所有供应商延长响应文件有效期，供应商应通过该平台以数据电文形式答复。同意延长的，应相应延长其响应保证金的有效期，但不得修改其响应文件；供应商拒绝延长的，其响应文件在原有效期届满后失效，其响应保证金电子保函自动失效。</w:t>
      </w:r>
    </w:p>
    <w:p w14:paraId="3E28A4BB">
      <w:pPr>
        <w:widowControl/>
        <w:spacing w:before="100" w:beforeAutospacing="1" w:after="100" w:afterAutospacing="1" w:line="400" w:lineRule="exact"/>
        <w:ind w:left="2" w:leftChars="1"/>
        <w:jc w:val="left"/>
        <w:outlineLvl w:val="2"/>
        <w:rPr>
          <w:rFonts w:eastAsia="黑体"/>
          <w:sz w:val="24"/>
        </w:rPr>
      </w:pPr>
      <w:bookmarkStart w:id="157" w:name="_Toc143102153"/>
      <w:bookmarkStart w:id="158" w:name="_Toc149140209"/>
      <w:r>
        <w:rPr>
          <w:rFonts w:eastAsia="黑体"/>
          <w:sz w:val="24"/>
        </w:rPr>
        <w:t>3.4 响应保证金</w:t>
      </w:r>
      <w:bookmarkEnd w:id="157"/>
      <w:bookmarkEnd w:id="158"/>
    </w:p>
    <w:p w14:paraId="6A793FB3">
      <w:pPr>
        <w:spacing w:line="400" w:lineRule="exact"/>
        <w:ind w:firstLine="420" w:firstLineChars="200"/>
        <w:rPr>
          <w:rFonts w:ascii="宋体" w:hAnsi="宋体"/>
        </w:rPr>
      </w:pPr>
      <w:bookmarkStart w:id="159" w:name="_Hlk138878237"/>
      <w:r>
        <w:t>3</w:t>
      </w:r>
      <w:r>
        <w:rPr>
          <w:rFonts w:ascii="宋体" w:hAnsi="宋体"/>
        </w:rPr>
        <w:t>.</w:t>
      </w:r>
      <w:r>
        <w:t>4</w:t>
      </w:r>
      <w:r>
        <w:rPr>
          <w:rFonts w:ascii="宋体" w:hAnsi="宋体"/>
        </w:rPr>
        <w:t>.</w:t>
      </w:r>
      <w:r>
        <w:t>1</w:t>
      </w:r>
      <w:r>
        <w:rPr>
          <w:rFonts w:ascii="宋体" w:hAnsi="宋体"/>
        </w:rPr>
        <w:t xml:space="preserve"> 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462C1D27">
      <w:pPr>
        <w:spacing w:line="400" w:lineRule="exact"/>
        <w:ind w:firstLine="420" w:firstLineChars="200"/>
        <w:rPr>
          <w:rFonts w:ascii="宋体" w:hAnsi="宋体"/>
        </w:rPr>
      </w:pPr>
      <w:r>
        <w:t>3</w:t>
      </w:r>
      <w:r>
        <w:rPr>
          <w:rFonts w:ascii="宋体" w:hAnsi="宋体"/>
        </w:rPr>
        <w:t>.</w:t>
      </w:r>
      <w:r>
        <w:t>4</w:t>
      </w:r>
      <w:r>
        <w:rPr>
          <w:rFonts w:ascii="宋体" w:hAnsi="宋体"/>
        </w:rPr>
        <w:t>.</w:t>
      </w:r>
      <w:r>
        <w:t>2</w:t>
      </w:r>
      <w:bookmarkStart w:id="160" w:name="_Hlk137488447"/>
      <w:r>
        <w:rPr>
          <w:rFonts w:ascii="宋体" w:hAnsi="宋体"/>
        </w:rPr>
        <w:t>采用电子保函</w:t>
      </w:r>
      <w:r>
        <w:rPr>
          <w:rFonts w:ascii="宋体" w:hAnsi="宋体"/>
          <w:spacing w:val="1"/>
          <w:kern w:val="0"/>
          <w:szCs w:val="21"/>
        </w:rPr>
        <w:t>形式</w:t>
      </w:r>
      <w:r>
        <w:rPr>
          <w:rFonts w:ascii="宋体" w:hAnsi="宋体"/>
        </w:rPr>
        <w:t>递交的响应保证金</w:t>
      </w:r>
      <w:r>
        <w:rPr>
          <w:rFonts w:hint="eastAsia" w:ascii="宋体" w:hAnsi="宋体"/>
        </w:rPr>
        <w:t>的</w:t>
      </w:r>
      <w:r>
        <w:rPr>
          <w:rFonts w:ascii="宋体" w:hAnsi="宋体"/>
        </w:rPr>
        <w:t>采购人可以不再退还。</w:t>
      </w:r>
      <w:bookmarkEnd w:id="160"/>
    </w:p>
    <w:p w14:paraId="2EDDE916">
      <w:pPr>
        <w:spacing w:line="400" w:lineRule="exact"/>
        <w:ind w:firstLine="420" w:firstLineChars="200"/>
        <w:rPr>
          <w:rFonts w:ascii="宋体" w:hAnsi="宋体"/>
        </w:rPr>
      </w:pPr>
      <w:r>
        <w:t>3</w:t>
      </w:r>
      <w:r>
        <w:rPr>
          <w:rFonts w:ascii="宋体" w:hAnsi="宋体"/>
        </w:rPr>
        <w:t>.</w:t>
      </w:r>
      <w:r>
        <w:t>4</w:t>
      </w:r>
      <w:r>
        <w:rPr>
          <w:rFonts w:ascii="宋体" w:hAnsi="宋体"/>
        </w:rPr>
        <w:t>.</w:t>
      </w:r>
      <w:r>
        <w:t>3</w:t>
      </w:r>
      <w:r>
        <w:rPr>
          <w:rFonts w:ascii="宋体" w:hAnsi="宋体"/>
        </w:rPr>
        <w:t>有下列情形之一的，</w:t>
      </w:r>
      <w:bookmarkStart w:id="161" w:name="_Hlk148687758"/>
      <w:bookmarkStart w:id="162" w:name="_Hlk139364183"/>
      <w:r>
        <w:rPr>
          <w:rFonts w:ascii="宋体" w:hAnsi="宋体"/>
          <w:szCs w:val="21"/>
        </w:rPr>
        <w:t>响应保证金将不予退还：</w:t>
      </w:r>
      <w:bookmarkEnd w:id="161"/>
      <w:bookmarkEnd w:id="162"/>
    </w:p>
    <w:p w14:paraId="6207ED84">
      <w:pPr>
        <w:pStyle w:val="154"/>
        <w:ind w:firstLine="420"/>
        <w:rPr>
          <w:rFonts w:ascii="宋体" w:hAnsi="宋体" w:eastAsia="宋体"/>
        </w:rPr>
      </w:pPr>
      <w:r>
        <w:rPr>
          <w:rFonts w:ascii="宋体" w:hAnsi="宋体" w:eastAsia="宋体"/>
        </w:rPr>
        <w:t>（</w:t>
      </w:r>
      <w:r>
        <w:rPr>
          <w:rFonts w:eastAsia="宋体"/>
        </w:rPr>
        <w:t>1</w:t>
      </w:r>
      <w:r>
        <w:rPr>
          <w:rFonts w:ascii="宋体" w:hAnsi="宋体" w:eastAsia="宋体"/>
        </w:rPr>
        <w:t>）供应商在响应文件有效期内撤销响应文件；</w:t>
      </w:r>
    </w:p>
    <w:p w14:paraId="3B933BE0">
      <w:pPr>
        <w:spacing w:line="400" w:lineRule="exact"/>
        <w:ind w:firstLine="420" w:firstLineChars="200"/>
        <w:rPr>
          <w:rFonts w:ascii="宋体" w:hAnsi="宋体"/>
        </w:rPr>
      </w:pPr>
      <w:r>
        <w:rPr>
          <w:rFonts w:ascii="宋体" w:hAnsi="宋体"/>
        </w:rPr>
        <w:t>（</w:t>
      </w:r>
      <w:r>
        <w:t>2</w:t>
      </w:r>
      <w:r>
        <w:rPr>
          <w:rFonts w:ascii="宋体" w:hAnsi="宋体"/>
        </w:rPr>
        <w:t>）入围供应商在收到成交（入围）通知书后，无正当理由不与采购人订立框架协议，在签订框架协议，时向采购人</w:t>
      </w:r>
      <w:r>
        <w:rPr>
          <w:rFonts w:ascii="宋体" w:hAnsi="宋体"/>
          <w:spacing w:val="1"/>
          <w:kern w:val="0"/>
          <w:szCs w:val="21"/>
        </w:rPr>
        <w:t>提出</w:t>
      </w:r>
      <w:r>
        <w:rPr>
          <w:rFonts w:ascii="宋体" w:hAnsi="宋体"/>
        </w:rPr>
        <w:t>附加条件，或者不按照采购文件要求递交履约保证金；</w:t>
      </w:r>
    </w:p>
    <w:p w14:paraId="64C0E9BE">
      <w:pPr>
        <w:spacing w:line="400" w:lineRule="exact"/>
        <w:ind w:firstLine="420" w:firstLineChars="200"/>
        <w:rPr>
          <w:rFonts w:ascii="宋体" w:hAnsi="宋体"/>
        </w:rPr>
      </w:pPr>
      <w:r>
        <w:rPr>
          <w:rFonts w:ascii="宋体" w:hAnsi="宋体"/>
        </w:rPr>
        <w:t>（</w:t>
      </w:r>
      <w:r>
        <w:t>3</w:t>
      </w:r>
      <w:r>
        <w:rPr>
          <w:rFonts w:ascii="宋体" w:hAnsi="宋体"/>
        </w:rPr>
        <w:t>）发生供应商须知前附表规定的其他不予退还响应保证金的情形。</w:t>
      </w:r>
    </w:p>
    <w:bookmarkEnd w:id="159"/>
    <w:p w14:paraId="523F8C60">
      <w:pPr>
        <w:widowControl/>
        <w:spacing w:before="100" w:beforeAutospacing="1" w:after="100" w:afterAutospacing="1" w:line="400" w:lineRule="exact"/>
        <w:ind w:left="2" w:leftChars="1"/>
        <w:jc w:val="left"/>
        <w:outlineLvl w:val="2"/>
        <w:rPr>
          <w:rFonts w:eastAsia="黑体"/>
          <w:sz w:val="24"/>
        </w:rPr>
      </w:pPr>
      <w:bookmarkStart w:id="163" w:name="_Toc143102154"/>
      <w:bookmarkStart w:id="164" w:name="_Toc149140210"/>
      <w:r>
        <w:rPr>
          <w:rFonts w:eastAsia="黑体"/>
          <w:sz w:val="24"/>
        </w:rPr>
        <w:t>3.5 资格审查资料</w:t>
      </w:r>
      <w:bookmarkEnd w:id="163"/>
      <w:bookmarkEnd w:id="164"/>
    </w:p>
    <w:p w14:paraId="6611D688">
      <w:pPr>
        <w:spacing w:line="400" w:lineRule="exact"/>
        <w:ind w:firstLine="420" w:firstLineChars="200"/>
        <w:rPr>
          <w:rFonts w:ascii="宋体" w:hAnsi="宋体"/>
        </w:rPr>
      </w:pPr>
      <w:bookmarkStart w:id="165" w:name="_Hlk138878257"/>
      <w:r>
        <w:t>3</w:t>
      </w:r>
      <w:r>
        <w:rPr>
          <w:rFonts w:ascii="宋体" w:hAnsi="宋体"/>
        </w:rPr>
        <w:t>.</w:t>
      </w:r>
      <w:r>
        <w:t>5</w:t>
      </w:r>
      <w:r>
        <w:rPr>
          <w:rFonts w:ascii="宋体" w:hAnsi="宋体"/>
        </w:rPr>
        <w:t>.</w:t>
      </w:r>
      <w:r>
        <w:t>1</w:t>
      </w:r>
      <w:r>
        <w:rPr>
          <w:rFonts w:ascii="宋体" w:hAnsi="宋体"/>
        </w:rPr>
        <w:t>供应商应提供依法设立的证明材料，供应商是企业（包括合伙企业）或个体经营者的，应提供“营业执照”的彩色扫描件；供应商是事业单位的，应提供“事业单位法人证书”彩色扫描件；供应商是非企业专业服务机构的，应提供其有效的“执业许可证”彩色扫描件。</w:t>
      </w:r>
    </w:p>
    <w:p w14:paraId="356E9000">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2</w:t>
      </w:r>
      <w:r>
        <w:rPr>
          <w:rFonts w:ascii="宋体" w:hAnsi="宋体"/>
          <w:bCs/>
        </w:rPr>
        <w:t>除供应商须知前附表选择不适用外，供应商应提供相关资质证书的彩色扫描件，以证明供应商具有承担本项目</w:t>
      </w:r>
      <w:r>
        <w:rPr>
          <w:rFonts w:ascii="宋体" w:hAnsi="宋体"/>
          <w:spacing w:val="1"/>
          <w:kern w:val="0"/>
          <w:szCs w:val="21"/>
        </w:rPr>
        <w:t>要求</w:t>
      </w:r>
      <w:r>
        <w:rPr>
          <w:rFonts w:ascii="宋体" w:hAnsi="宋体"/>
          <w:bCs/>
        </w:rPr>
        <w:t>的资质，需提供的资质证书要求见供应商须知前附表。</w:t>
      </w:r>
    </w:p>
    <w:p w14:paraId="6CC24E67">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3</w:t>
      </w:r>
      <w:r>
        <w:rPr>
          <w:rFonts w:ascii="宋体" w:hAnsi="宋体"/>
          <w:bCs/>
        </w:rPr>
        <w:t>除供应商须知前附表选择不适用外，供应商应提供经会计师事务所或审计机构审计的近年财务会计报表扫描件，包括财务审计报告签字页、资产负债表、现金流量表、利润表的扫描件，无需提供审计报告附注；具体年份要求见供应商须知前附表，供应商的成立时间少于该规定年份的，应提供成立以来的财务会计报表。</w:t>
      </w:r>
    </w:p>
    <w:p w14:paraId="04E361F9">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4</w:t>
      </w:r>
      <w:r>
        <w:rPr>
          <w:rFonts w:ascii="宋体" w:hAnsi="宋体"/>
          <w:bCs/>
        </w:rPr>
        <w:t>除供应商须知前附表选择不适用外，供应商应按第六章“响应文件格式”提供近年的类似项目情况表，以</w:t>
      </w:r>
      <w:r>
        <w:rPr>
          <w:rFonts w:ascii="宋体" w:hAnsi="宋体"/>
          <w:spacing w:val="1"/>
          <w:kern w:val="0"/>
          <w:szCs w:val="21"/>
        </w:rPr>
        <w:t>证明</w:t>
      </w:r>
      <w:r>
        <w:rPr>
          <w:rFonts w:ascii="宋体" w:hAnsi="宋体"/>
          <w:bCs/>
        </w:rPr>
        <w:t>供应商具有承担本项目要求的业绩，具体业绩年份及证明材料要求见供应商须知前附表。</w:t>
      </w:r>
    </w:p>
    <w:p w14:paraId="1CEF7DEA">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5</w:t>
      </w:r>
      <w:r>
        <w:rPr>
          <w:rFonts w:ascii="宋体" w:hAnsi="宋体"/>
          <w:bCs/>
        </w:rPr>
        <w:t>除供应商须知前</w:t>
      </w:r>
      <w:r>
        <w:rPr>
          <w:rFonts w:ascii="宋体" w:hAnsi="宋体"/>
          <w:spacing w:val="1"/>
          <w:kern w:val="0"/>
          <w:szCs w:val="21"/>
        </w:rPr>
        <w:t>附表</w:t>
      </w:r>
      <w:r>
        <w:rPr>
          <w:rFonts w:ascii="宋体" w:hAnsi="宋体"/>
          <w:bCs/>
        </w:rPr>
        <w:t>选择适用外，信誉要求采用承诺制，由供应商在承诺函中承诺满足采购文件要求，无需提供其他证明材料。</w:t>
      </w:r>
    </w:p>
    <w:p w14:paraId="16C3EB12">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6</w:t>
      </w:r>
      <w:r>
        <w:rPr>
          <w:rFonts w:ascii="宋体" w:hAnsi="宋体"/>
          <w:bCs/>
        </w:rPr>
        <w:t>除供应商须知前附表选择不适用外，供应商应按第六章“响应文件格式”提供拟委任的主要人员汇总表和</w:t>
      </w:r>
      <w:r>
        <w:rPr>
          <w:rFonts w:ascii="宋体" w:hAnsi="宋体"/>
          <w:spacing w:val="1"/>
          <w:kern w:val="0"/>
          <w:szCs w:val="21"/>
        </w:rPr>
        <w:t>主要</w:t>
      </w:r>
      <w:r>
        <w:rPr>
          <w:rFonts w:ascii="宋体" w:hAnsi="宋体"/>
          <w:bCs/>
        </w:rPr>
        <w:t>人员简历表；供应商应填报满足第一章“采购公告”规定的项目负责人和其他主要人员的相关信息，并按供应商须知前附表要求提供相关证明文件。</w:t>
      </w:r>
    </w:p>
    <w:p w14:paraId="1F09736C">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7</w:t>
      </w:r>
      <w:r>
        <w:rPr>
          <w:rFonts w:ascii="宋体" w:hAnsi="宋体"/>
          <w:bCs/>
        </w:rPr>
        <w:t>供应商应按</w:t>
      </w:r>
      <w:r>
        <w:rPr>
          <w:rFonts w:ascii="宋体" w:hAnsi="宋体"/>
          <w:spacing w:val="1"/>
          <w:kern w:val="0"/>
          <w:szCs w:val="21"/>
        </w:rPr>
        <w:t>供应</w:t>
      </w:r>
      <w:r>
        <w:rPr>
          <w:rFonts w:ascii="宋体" w:hAnsi="宋体"/>
          <w:bCs/>
        </w:rPr>
        <w:t>商须知前附表规定提供其他要求的证明材料。</w:t>
      </w:r>
    </w:p>
    <w:p w14:paraId="07265F7C">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8</w:t>
      </w:r>
      <w:r>
        <w:rPr>
          <w:rFonts w:ascii="宋体" w:hAnsi="宋体"/>
          <w:bCs/>
        </w:rPr>
        <w:t>供应商不存在</w:t>
      </w:r>
      <w:r>
        <w:rPr>
          <w:rFonts w:ascii="宋体" w:hAnsi="宋体"/>
          <w:spacing w:val="1"/>
          <w:kern w:val="0"/>
          <w:szCs w:val="21"/>
        </w:rPr>
        <w:t>第一</w:t>
      </w:r>
      <w:r>
        <w:rPr>
          <w:rFonts w:ascii="宋体" w:hAnsi="宋体"/>
          <w:bCs/>
        </w:rPr>
        <w:t>章</w:t>
      </w:r>
      <w:r>
        <w:rPr>
          <w:bCs/>
        </w:rPr>
        <w:t>3</w:t>
      </w:r>
      <w:r>
        <w:rPr>
          <w:rFonts w:ascii="宋体" w:hAnsi="宋体"/>
          <w:bCs/>
        </w:rPr>
        <w:t>.</w:t>
      </w:r>
      <w:r>
        <w:rPr>
          <w:bCs/>
        </w:rPr>
        <w:t>2</w:t>
      </w:r>
      <w:r>
        <w:rPr>
          <w:rFonts w:ascii="宋体" w:hAnsi="宋体"/>
          <w:bCs/>
        </w:rPr>
        <w:t>款情形采用承诺制，由供应商在承诺函中承诺，无需提供其他证明材料。</w:t>
      </w:r>
    </w:p>
    <w:p w14:paraId="638C33B9">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9</w:t>
      </w:r>
      <w:r>
        <w:rPr>
          <w:rFonts w:ascii="宋体" w:hAnsi="宋体"/>
          <w:bCs/>
        </w:rPr>
        <w:t>第一章供应商资格要求中规定接受联合体参加采购活动的，供应商应按照采购文件第六章提供的格式拟定</w:t>
      </w:r>
      <w:r>
        <w:rPr>
          <w:rFonts w:ascii="宋体" w:hAnsi="宋体"/>
          <w:spacing w:val="1"/>
          <w:kern w:val="0"/>
          <w:szCs w:val="21"/>
        </w:rPr>
        <w:t>联合体</w:t>
      </w:r>
      <w:r>
        <w:rPr>
          <w:rFonts w:ascii="宋体" w:hAnsi="宋体"/>
          <w:bCs/>
        </w:rPr>
        <w:t>协议书，并提供联合体协议书原件的扫描件。联合体协议书应明确联合体各方的分工。除供应商须知前附表另有规定外，本章第</w:t>
      </w:r>
      <w:r>
        <w:rPr>
          <w:bCs/>
        </w:rPr>
        <w:t>3</w:t>
      </w:r>
      <w:r>
        <w:rPr>
          <w:rFonts w:ascii="宋体" w:hAnsi="宋体"/>
          <w:bCs/>
        </w:rPr>
        <w:t>.</w:t>
      </w:r>
      <w:r>
        <w:rPr>
          <w:bCs/>
        </w:rPr>
        <w:t>5</w:t>
      </w:r>
      <w:r>
        <w:rPr>
          <w:rFonts w:ascii="宋体" w:hAnsi="宋体"/>
          <w:bCs/>
        </w:rPr>
        <w:t>.</w:t>
      </w:r>
      <w:r>
        <w:rPr>
          <w:bCs/>
        </w:rPr>
        <w:t>1</w:t>
      </w:r>
      <w:r>
        <w:rPr>
          <w:rFonts w:ascii="宋体" w:hAnsi="宋体"/>
          <w:bCs/>
        </w:rPr>
        <w:t>项至</w:t>
      </w:r>
      <w:r>
        <w:rPr>
          <w:bCs/>
        </w:rPr>
        <w:t>3</w:t>
      </w:r>
      <w:r>
        <w:rPr>
          <w:rFonts w:ascii="宋体" w:hAnsi="宋体"/>
          <w:bCs/>
        </w:rPr>
        <w:t>.</w:t>
      </w:r>
      <w:r>
        <w:rPr>
          <w:bCs/>
        </w:rPr>
        <w:t>5</w:t>
      </w:r>
      <w:r>
        <w:rPr>
          <w:rFonts w:ascii="宋体" w:hAnsi="宋体"/>
          <w:bCs/>
        </w:rPr>
        <w:t>.</w:t>
      </w:r>
      <w:r>
        <w:rPr>
          <w:bCs/>
        </w:rPr>
        <w:t>8</w:t>
      </w:r>
      <w:r>
        <w:rPr>
          <w:rFonts w:ascii="宋体" w:hAnsi="宋体"/>
          <w:bCs/>
        </w:rPr>
        <w:t>项规定表格和资料应包括联合体各方的情况。</w:t>
      </w:r>
    </w:p>
    <w:bookmarkEnd w:id="165"/>
    <w:p w14:paraId="6D8A603F">
      <w:pPr>
        <w:widowControl/>
        <w:spacing w:before="100" w:beforeAutospacing="1" w:after="100" w:afterAutospacing="1" w:line="400" w:lineRule="exact"/>
        <w:ind w:left="2" w:leftChars="1"/>
        <w:jc w:val="left"/>
        <w:outlineLvl w:val="2"/>
        <w:rPr>
          <w:rFonts w:eastAsia="黑体"/>
          <w:sz w:val="24"/>
        </w:rPr>
      </w:pPr>
      <w:bookmarkStart w:id="166" w:name="_Toc143102155"/>
      <w:bookmarkStart w:id="167" w:name="_Toc149140211"/>
      <w:r>
        <w:rPr>
          <w:rFonts w:eastAsia="黑体"/>
          <w:sz w:val="24"/>
        </w:rPr>
        <w:t>3.6 响应方案</w:t>
      </w:r>
      <w:bookmarkEnd w:id="166"/>
      <w:bookmarkEnd w:id="167"/>
    </w:p>
    <w:p w14:paraId="49CC8E4F">
      <w:pPr>
        <w:spacing w:line="400" w:lineRule="exact"/>
        <w:ind w:firstLine="420" w:firstLineChars="200"/>
        <w:rPr>
          <w:rFonts w:ascii="宋体" w:hAnsi="宋体"/>
        </w:rPr>
      </w:pPr>
      <w:bookmarkStart w:id="168" w:name="_Hlk138878272"/>
      <w:r>
        <w:t>3</w:t>
      </w:r>
      <w:r>
        <w:rPr>
          <w:rFonts w:ascii="宋体" w:hAnsi="宋体"/>
        </w:rPr>
        <w:t>.</w:t>
      </w:r>
      <w:r>
        <w:t>6</w:t>
      </w:r>
      <w:r>
        <w:rPr>
          <w:rFonts w:ascii="宋体" w:hAnsi="宋体"/>
        </w:rPr>
        <w:t>.</w:t>
      </w:r>
      <w:r>
        <w:t>1</w:t>
      </w:r>
      <w:r>
        <w:rPr>
          <w:rFonts w:ascii="宋体" w:hAnsi="宋体"/>
        </w:rPr>
        <w:t xml:space="preserve"> 响应文件应当对</w:t>
      </w:r>
      <w:r>
        <w:rPr>
          <w:rFonts w:ascii="宋体" w:hAnsi="宋体"/>
          <w:spacing w:val="1"/>
          <w:kern w:val="0"/>
          <w:szCs w:val="21"/>
        </w:rPr>
        <w:t>采购</w:t>
      </w:r>
      <w:r>
        <w:rPr>
          <w:rFonts w:ascii="宋体" w:hAnsi="宋体"/>
        </w:rPr>
        <w:t>文件中的实质性内容作出响应。采购需求中明确为关键条款（标记“*”)的，供应商还应按照供应商须知前附表的规定提供有关证据或证明材料。</w:t>
      </w:r>
    </w:p>
    <w:p w14:paraId="57CCF699">
      <w:pPr>
        <w:spacing w:line="400" w:lineRule="exact"/>
        <w:ind w:firstLine="420" w:firstLineChars="200"/>
        <w:rPr>
          <w:rFonts w:ascii="宋体" w:hAnsi="宋体"/>
        </w:rPr>
      </w:pPr>
      <w:r>
        <w:t>3</w:t>
      </w:r>
      <w:r>
        <w:rPr>
          <w:rFonts w:ascii="宋体" w:hAnsi="宋体"/>
        </w:rPr>
        <w:t>.</w:t>
      </w:r>
      <w:r>
        <w:t>6</w:t>
      </w:r>
      <w:r>
        <w:rPr>
          <w:rFonts w:ascii="宋体" w:hAnsi="宋体"/>
        </w:rPr>
        <w:t>.</w:t>
      </w:r>
      <w:r>
        <w:t>2</w:t>
      </w:r>
      <w:r>
        <w:rPr>
          <w:rFonts w:ascii="宋体" w:hAnsi="宋体"/>
        </w:rPr>
        <w:t xml:space="preserve"> 供应商只能提出唯一的响应方案。供应商在响应文件中提出多个响应方案的，其响应文件将被视为无效。</w:t>
      </w:r>
    </w:p>
    <w:p w14:paraId="1B630B44">
      <w:pPr>
        <w:spacing w:line="400" w:lineRule="exact"/>
        <w:ind w:firstLine="420" w:firstLineChars="200"/>
        <w:rPr>
          <w:rFonts w:ascii="宋体" w:hAnsi="宋体"/>
        </w:rPr>
      </w:pPr>
      <w:r>
        <w:t>3</w:t>
      </w:r>
      <w:r>
        <w:rPr>
          <w:rFonts w:ascii="宋体" w:hAnsi="宋体"/>
        </w:rPr>
        <w:t>.</w:t>
      </w:r>
      <w:r>
        <w:t>6</w:t>
      </w:r>
      <w:r>
        <w:rPr>
          <w:rFonts w:ascii="宋体" w:hAnsi="宋体"/>
        </w:rPr>
        <w:t>.</w:t>
      </w:r>
      <w:r>
        <w:t>3</w:t>
      </w:r>
      <w:r>
        <w:rPr>
          <w:rFonts w:ascii="宋体" w:hAnsi="宋体"/>
        </w:rPr>
        <w:t xml:space="preserve"> 响应文件对采购文件的全部偏差，均应在响应文件的商务和技术偏差表中列明。响应文件偏差表中未列明的</w:t>
      </w:r>
      <w:r>
        <w:rPr>
          <w:rFonts w:ascii="宋体" w:hAnsi="宋体"/>
          <w:spacing w:val="1"/>
          <w:kern w:val="0"/>
          <w:szCs w:val="21"/>
        </w:rPr>
        <w:t>内容</w:t>
      </w:r>
      <w:r>
        <w:rPr>
          <w:rFonts w:ascii="宋体" w:hAnsi="宋体"/>
        </w:rPr>
        <w:t>，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bookmarkEnd w:id="168"/>
    <w:p w14:paraId="3EC87D2A">
      <w:pPr>
        <w:widowControl/>
        <w:spacing w:before="100" w:beforeAutospacing="1" w:after="100" w:afterAutospacing="1" w:line="400" w:lineRule="exact"/>
        <w:ind w:left="2" w:leftChars="1"/>
        <w:jc w:val="left"/>
        <w:outlineLvl w:val="2"/>
        <w:rPr>
          <w:rFonts w:eastAsia="黑体"/>
          <w:sz w:val="24"/>
        </w:rPr>
      </w:pPr>
      <w:bookmarkStart w:id="169" w:name="_Toc143102156"/>
      <w:bookmarkStart w:id="170" w:name="_Toc149140212"/>
      <w:r>
        <w:rPr>
          <w:rFonts w:eastAsia="黑体"/>
          <w:sz w:val="24"/>
        </w:rPr>
        <w:t>3.7 响应文件的编制</w:t>
      </w:r>
      <w:bookmarkEnd w:id="169"/>
      <w:bookmarkEnd w:id="170"/>
    </w:p>
    <w:p w14:paraId="3B190FC2">
      <w:pPr>
        <w:spacing w:line="400" w:lineRule="exact"/>
        <w:ind w:firstLine="420" w:firstLineChars="200"/>
        <w:rPr>
          <w:rFonts w:ascii="宋体" w:hAnsi="宋体"/>
        </w:rPr>
      </w:pPr>
      <w:bookmarkStart w:id="171" w:name="_Hlk138878309"/>
      <w:r>
        <w:t>3</w:t>
      </w:r>
      <w:r>
        <w:rPr>
          <w:rFonts w:ascii="宋体" w:hAnsi="宋体"/>
        </w:rPr>
        <w:t>.</w:t>
      </w:r>
      <w:r>
        <w:t>7</w:t>
      </w:r>
      <w:r>
        <w:rPr>
          <w:rFonts w:ascii="宋体" w:hAnsi="宋体"/>
        </w:rPr>
        <w:t>.</w:t>
      </w:r>
      <w:r>
        <w:t>1</w:t>
      </w:r>
      <w:r>
        <w:rPr>
          <w:rFonts w:ascii="宋体" w:hAnsi="宋体"/>
        </w:rPr>
        <w:t xml:space="preserve"> 响应文件应按第六章“响应文件格式”进行编写，如有必要，可以增加附页，作为响应文件的组成部分。</w:t>
      </w:r>
    </w:p>
    <w:p w14:paraId="316AFA76">
      <w:pPr>
        <w:spacing w:line="400" w:lineRule="exact"/>
        <w:ind w:firstLine="420" w:firstLineChars="200"/>
        <w:rPr>
          <w:rFonts w:ascii="宋体" w:hAnsi="宋体"/>
        </w:rPr>
      </w:pPr>
      <w:r>
        <w:t>3</w:t>
      </w:r>
      <w:r>
        <w:rPr>
          <w:rFonts w:ascii="宋体" w:hAnsi="宋体"/>
        </w:rPr>
        <w:t>.</w:t>
      </w:r>
      <w:r>
        <w:t>7</w:t>
      </w:r>
      <w:r>
        <w:rPr>
          <w:rFonts w:ascii="宋体" w:hAnsi="宋体"/>
        </w:rPr>
        <w:t>.</w:t>
      </w:r>
      <w:r>
        <w:t>2</w:t>
      </w:r>
      <w:r>
        <w:rPr>
          <w:rFonts w:ascii="宋体" w:hAnsi="宋体"/>
        </w:rPr>
        <w:t xml:space="preserve"> 供应商应委托本单位人员（含法定代表人或单位负责人）办理相关采购活动事宜的，并按采购文件第六章</w:t>
      </w:r>
      <w:r>
        <w:rPr>
          <w:rFonts w:ascii="宋体" w:hAnsi="宋体"/>
          <w:spacing w:val="1"/>
          <w:kern w:val="0"/>
          <w:szCs w:val="21"/>
        </w:rPr>
        <w:t>“响应文件格式”</w:t>
      </w:r>
      <w:r>
        <w:rPr>
          <w:rFonts w:ascii="宋体" w:hAnsi="宋体"/>
        </w:rPr>
        <w:t>提供授权委托书。</w:t>
      </w:r>
    </w:p>
    <w:p w14:paraId="59D5B652">
      <w:pPr>
        <w:spacing w:line="400" w:lineRule="exact"/>
        <w:ind w:firstLine="420" w:firstLineChars="200"/>
        <w:rPr>
          <w:rFonts w:ascii="宋体" w:hAnsi="宋体"/>
        </w:rPr>
      </w:pPr>
      <w:r>
        <w:t>3</w:t>
      </w:r>
      <w:r>
        <w:rPr>
          <w:rFonts w:ascii="宋体" w:hAnsi="宋体"/>
        </w:rPr>
        <w:t>.</w:t>
      </w:r>
      <w:r>
        <w:t>7</w:t>
      </w:r>
      <w:r>
        <w:rPr>
          <w:rFonts w:ascii="宋体" w:hAnsi="宋体"/>
        </w:rPr>
        <w:t>.</w:t>
      </w:r>
      <w:r>
        <w:t>3</w:t>
      </w:r>
      <w:r>
        <w:rPr>
          <w:rFonts w:ascii="宋体" w:hAnsi="宋体"/>
        </w:rPr>
        <w:t>除供应商须知前附表另有规定外，响应文件中证明资料的“复印件”均为“原件的扫描件”，联合体协议书为</w:t>
      </w:r>
      <w:r>
        <w:rPr>
          <w:rFonts w:ascii="宋体" w:hAnsi="宋体"/>
          <w:spacing w:val="1"/>
          <w:kern w:val="0"/>
          <w:szCs w:val="21"/>
        </w:rPr>
        <w:t>联合体</w:t>
      </w:r>
      <w:r>
        <w:rPr>
          <w:rFonts w:ascii="宋体" w:hAnsi="宋体"/>
        </w:rPr>
        <w:t>成员各方盖单位章原件的扫描件。</w:t>
      </w:r>
    </w:p>
    <w:p w14:paraId="07B3929F">
      <w:pPr>
        <w:pStyle w:val="154"/>
        <w:ind w:firstLine="420"/>
        <w:rPr>
          <w:rFonts w:ascii="宋体" w:hAnsi="宋体" w:eastAsia="宋体"/>
          <w:b/>
          <w:bCs/>
          <w:kern w:val="2"/>
        </w:rPr>
      </w:pPr>
      <w:r>
        <w:rPr>
          <w:rFonts w:eastAsia="宋体"/>
          <w:kern w:val="2"/>
        </w:rPr>
        <w:t>3</w:t>
      </w:r>
      <w:r>
        <w:rPr>
          <w:rFonts w:ascii="宋体" w:hAnsi="宋体" w:eastAsia="宋体"/>
          <w:kern w:val="2"/>
        </w:rPr>
        <w:t>.</w:t>
      </w:r>
      <w:r>
        <w:rPr>
          <w:rFonts w:eastAsia="宋体"/>
          <w:kern w:val="2"/>
        </w:rPr>
        <w:t>7</w:t>
      </w:r>
      <w:r>
        <w:rPr>
          <w:rFonts w:ascii="宋体" w:hAnsi="宋体" w:eastAsia="宋体"/>
          <w:kern w:val="2"/>
        </w:rPr>
        <w:t>.</w:t>
      </w:r>
      <w:r>
        <w:rPr>
          <w:rFonts w:eastAsia="宋体"/>
          <w:kern w:val="2"/>
        </w:rPr>
        <w:t>4</w:t>
      </w:r>
      <w:r>
        <w:rPr>
          <w:rFonts w:ascii="宋体" w:hAnsi="宋体" w:eastAsia="宋体"/>
          <w:kern w:val="2"/>
        </w:rPr>
        <w:t xml:space="preserve"> </w:t>
      </w:r>
      <w:r>
        <w:rPr>
          <w:rFonts w:ascii="宋体" w:hAnsi="宋体" w:eastAsia="宋体"/>
          <w:b/>
          <w:bCs/>
          <w:kern w:val="2"/>
        </w:rPr>
        <w:t>响应文件的签字盖章要求：除供应商须知前附表另有约定外，供应商应在响应文件封面用河北交投</w:t>
      </w:r>
      <w:r>
        <w:rPr>
          <w:rFonts w:eastAsia="宋体"/>
          <w:b/>
          <w:bCs/>
          <w:kern w:val="2"/>
        </w:rPr>
        <w:t>CA</w:t>
      </w:r>
      <w:r>
        <w:rPr>
          <w:rFonts w:ascii="宋体" w:hAnsi="宋体" w:eastAsia="宋体"/>
          <w:b/>
          <w:bCs/>
          <w:kern w:val="2"/>
        </w:rPr>
        <w:t>数字证书加盖供应商电子印章，响应文件其他页均无需供应商签字、盖单位电子印章。</w:t>
      </w:r>
    </w:p>
    <w:p w14:paraId="7DED911A">
      <w:pPr>
        <w:pStyle w:val="154"/>
        <w:ind w:firstLine="422"/>
        <w:rPr>
          <w:rFonts w:ascii="宋体" w:hAnsi="宋体" w:eastAsia="宋体"/>
          <w:b/>
          <w:bCs/>
          <w:kern w:val="2"/>
        </w:rPr>
      </w:pPr>
      <w:r>
        <w:rPr>
          <w:rFonts w:ascii="宋体" w:hAnsi="宋体" w:eastAsia="宋体"/>
          <w:b/>
          <w:bCs/>
          <w:kern w:val="2"/>
        </w:rPr>
        <w:t>响应文件中响应函、</w:t>
      </w:r>
      <w:r>
        <w:rPr>
          <w:rFonts w:ascii="宋体" w:hAnsi="宋体" w:eastAsia="宋体"/>
          <w:b/>
          <w:bCs/>
          <w:sz w:val="22"/>
        </w:rPr>
        <w:t>承诺函、</w:t>
      </w:r>
      <w:r>
        <w:rPr>
          <w:rFonts w:ascii="宋体" w:hAnsi="宋体" w:eastAsia="宋体"/>
          <w:b/>
          <w:bCs/>
          <w:kern w:val="2"/>
        </w:rPr>
        <w:t>授权委托书等直接填写电子版即可，无需签字、盖章；若为联合体参与采购，响应文件封面中供应商落款处需填写联合体所有组成成员单位的名称，响应文件封面仅由联合体牵头人盖单位电子印章即可，联合体协议书应由联合体各方盖单位章后将扫描件编入响应文件。</w:t>
      </w:r>
    </w:p>
    <w:p w14:paraId="0F40015B">
      <w:pPr>
        <w:spacing w:line="400" w:lineRule="exact"/>
        <w:ind w:firstLine="420" w:firstLineChars="200"/>
        <w:rPr>
          <w:rFonts w:ascii="宋体" w:hAnsi="宋体"/>
        </w:rPr>
      </w:pPr>
      <w:r>
        <w:t>3</w:t>
      </w:r>
      <w:r>
        <w:rPr>
          <w:rFonts w:ascii="宋体" w:hAnsi="宋体"/>
        </w:rPr>
        <w:t>.</w:t>
      </w:r>
      <w:r>
        <w:t>7</w:t>
      </w:r>
      <w:r>
        <w:rPr>
          <w:rFonts w:ascii="宋体" w:hAnsi="宋体"/>
        </w:rPr>
        <w:t>.</w:t>
      </w:r>
      <w:r>
        <w:t>5</w:t>
      </w:r>
      <w:r>
        <w:rPr>
          <w:rFonts w:ascii="宋体" w:hAnsi="宋体"/>
        </w:rPr>
        <w:t>评审过程中对响应文件的澄清、说明和补正应加盖单位电子印章。</w:t>
      </w:r>
    </w:p>
    <w:p w14:paraId="1BF00758">
      <w:pPr>
        <w:spacing w:line="400" w:lineRule="exact"/>
        <w:ind w:firstLine="420" w:firstLineChars="200"/>
        <w:rPr>
          <w:rFonts w:ascii="宋体" w:hAnsi="宋体"/>
        </w:rPr>
      </w:pPr>
      <w:r>
        <w:t>3</w:t>
      </w:r>
      <w:r>
        <w:rPr>
          <w:rFonts w:ascii="宋体" w:hAnsi="宋体"/>
        </w:rPr>
        <w:t>.</w:t>
      </w:r>
      <w:r>
        <w:t>7</w:t>
      </w:r>
      <w:r>
        <w:rPr>
          <w:rFonts w:ascii="宋体" w:hAnsi="宋体"/>
        </w:rPr>
        <w:t>.</w:t>
      </w:r>
      <w:r>
        <w:t>6</w:t>
      </w:r>
      <w:r>
        <w:rPr>
          <w:rFonts w:ascii="宋体" w:hAnsi="宋体"/>
        </w:rPr>
        <w:t>供应商须在</w:t>
      </w:r>
      <w:bookmarkStart w:id="172" w:name="_Hlk137488810"/>
      <w:r>
        <w:rPr>
          <w:rFonts w:ascii="宋体" w:hAnsi="宋体"/>
        </w:rPr>
        <w:t>河北交投招标与采购服务平台</w:t>
      </w:r>
      <w:bookmarkEnd w:id="172"/>
      <w:r>
        <w:rPr>
          <w:rFonts w:ascii="宋体" w:hAnsi="宋体"/>
        </w:rPr>
        <w:t>下载响应文件编制工具和数字签名服务（包含驱动程序）程序包，采用编辑工具编制响应文件并上传</w:t>
      </w:r>
      <w:bookmarkStart w:id="173" w:name="_Hlk137488828"/>
      <w:r>
        <w:t>HEBJTTF</w:t>
      </w:r>
      <w:bookmarkEnd w:id="173"/>
      <w:r>
        <w:rPr>
          <w:rFonts w:ascii="宋体" w:hAnsi="宋体"/>
        </w:rPr>
        <w:t>格式响应文件。</w:t>
      </w:r>
    </w:p>
    <w:p w14:paraId="2F59AE80">
      <w:pPr>
        <w:spacing w:line="400" w:lineRule="exact"/>
        <w:ind w:firstLine="420" w:firstLineChars="200"/>
        <w:rPr>
          <w:rFonts w:ascii="宋体" w:hAnsi="宋体"/>
        </w:rPr>
      </w:pPr>
      <w:r>
        <w:t>3</w:t>
      </w:r>
      <w:r>
        <w:rPr>
          <w:rFonts w:ascii="宋体" w:hAnsi="宋体"/>
        </w:rPr>
        <w:t>.</w:t>
      </w:r>
      <w:r>
        <w:t>7</w:t>
      </w:r>
      <w:r>
        <w:rPr>
          <w:rFonts w:ascii="宋体" w:hAnsi="宋体"/>
        </w:rPr>
        <w:t>.</w:t>
      </w:r>
      <w:r>
        <w:t>7</w:t>
      </w:r>
      <w:r>
        <w:rPr>
          <w:rFonts w:ascii="宋体" w:hAnsi="宋体"/>
        </w:rPr>
        <w:t>供应商必须保证响应文件所提供的全部资料真实可靠且能提供与响应文件相一致的原件，并接受采购人对其中</w:t>
      </w:r>
      <w:r>
        <w:rPr>
          <w:rFonts w:ascii="宋体" w:hAnsi="宋体"/>
          <w:spacing w:val="1"/>
          <w:kern w:val="0"/>
          <w:szCs w:val="21"/>
        </w:rPr>
        <w:t>任何</w:t>
      </w:r>
      <w:r>
        <w:rPr>
          <w:rFonts w:ascii="宋体" w:hAnsi="宋体"/>
        </w:rPr>
        <w:t>资料在合同最终授予前进一步审查的要求，如若存在供应商利用弄虚作假等不当手段谋取中选或无法提供与响应文件彩色扫描件相一致的原件，一经查实，采购人有权予以否决，并保留进一步追究其责任的权利。</w:t>
      </w:r>
    </w:p>
    <w:bookmarkEnd w:id="171"/>
    <w:p w14:paraId="3D8B95FC">
      <w:pPr>
        <w:keepNext/>
        <w:keepLines/>
        <w:widowControl/>
        <w:spacing w:before="260" w:after="260"/>
        <w:outlineLvl w:val="1"/>
        <w:rPr>
          <w:rFonts w:eastAsia="黑体"/>
          <w:b/>
          <w:sz w:val="28"/>
          <w:szCs w:val="18"/>
        </w:rPr>
      </w:pPr>
      <w:bookmarkStart w:id="174" w:name="_Toc149140213"/>
      <w:r>
        <w:rPr>
          <w:rFonts w:eastAsia="黑体"/>
          <w:b/>
          <w:sz w:val="28"/>
          <w:szCs w:val="18"/>
        </w:rPr>
        <w:t>4. 响应文件的递交</w:t>
      </w:r>
      <w:bookmarkEnd w:id="174"/>
    </w:p>
    <w:p w14:paraId="182D4BAA">
      <w:pPr>
        <w:widowControl/>
        <w:spacing w:before="100" w:beforeAutospacing="1" w:after="100" w:afterAutospacing="1" w:line="400" w:lineRule="exact"/>
        <w:ind w:left="2" w:leftChars="1"/>
        <w:jc w:val="left"/>
        <w:outlineLvl w:val="2"/>
        <w:rPr>
          <w:rFonts w:eastAsia="黑体"/>
          <w:sz w:val="24"/>
        </w:rPr>
      </w:pPr>
      <w:bookmarkStart w:id="175" w:name="_Toc143102158"/>
      <w:bookmarkStart w:id="176" w:name="_Toc149140214"/>
      <w:r>
        <w:rPr>
          <w:rFonts w:eastAsia="黑体"/>
          <w:sz w:val="24"/>
        </w:rPr>
        <w:t>4.1响应文件的加密</w:t>
      </w:r>
      <w:bookmarkEnd w:id="175"/>
      <w:bookmarkEnd w:id="176"/>
    </w:p>
    <w:p w14:paraId="5D54BED3">
      <w:pPr>
        <w:spacing w:line="400" w:lineRule="exact"/>
        <w:ind w:firstLine="420" w:firstLineChars="200"/>
        <w:rPr>
          <w:rFonts w:ascii="宋体" w:hAnsi="宋体"/>
        </w:rPr>
      </w:pPr>
      <w:bookmarkStart w:id="177" w:name="_Hlk137488915"/>
      <w:bookmarkStart w:id="178" w:name="_Hlk138878334"/>
      <w:r>
        <w:rPr>
          <w:color w:val="000000"/>
        </w:rPr>
        <w:t>4</w:t>
      </w:r>
      <w:r>
        <w:rPr>
          <w:rFonts w:ascii="宋体" w:hAnsi="宋体"/>
          <w:color w:val="000000"/>
        </w:rPr>
        <w:t>.</w:t>
      </w:r>
      <w:r>
        <w:rPr>
          <w:color w:val="000000"/>
        </w:rPr>
        <w:t>1</w:t>
      </w:r>
      <w:r>
        <w:rPr>
          <w:rFonts w:ascii="宋体" w:hAnsi="宋体"/>
          <w:color w:val="000000"/>
        </w:rPr>
        <w:t>.</w:t>
      </w:r>
      <w:r>
        <w:rPr>
          <w:color w:val="000000"/>
        </w:rPr>
        <w:t>1</w:t>
      </w:r>
      <w:r>
        <w:rPr>
          <w:rFonts w:ascii="宋体" w:hAnsi="宋体"/>
        </w:rPr>
        <w:t>除供应商须知前附表另有规定外，响应文件制作完成后，供应商应使用河北交投</w:t>
      </w:r>
      <w:r>
        <w:t>CA</w:t>
      </w:r>
      <w:r>
        <w:rPr>
          <w:rFonts w:ascii="宋体" w:hAnsi="宋体"/>
        </w:rPr>
        <w:t>数字证书对响应文件进行文件加密，形成加密的响应文件。</w:t>
      </w:r>
    </w:p>
    <w:p w14:paraId="20887EE5">
      <w:pPr>
        <w:spacing w:line="400" w:lineRule="exact"/>
        <w:ind w:firstLine="420" w:firstLineChars="200"/>
        <w:rPr>
          <w:rFonts w:ascii="宋体" w:hAnsi="宋体"/>
          <w:color w:val="000000"/>
        </w:rPr>
      </w:pPr>
      <w:r>
        <w:rPr>
          <w:color w:val="000000"/>
        </w:rPr>
        <w:t>4</w:t>
      </w:r>
      <w:r>
        <w:rPr>
          <w:rFonts w:ascii="宋体" w:hAnsi="宋体"/>
          <w:color w:val="000000"/>
        </w:rPr>
        <w:t>.</w:t>
      </w:r>
      <w:r>
        <w:rPr>
          <w:color w:val="000000"/>
        </w:rPr>
        <w:t>1</w:t>
      </w:r>
      <w:r>
        <w:rPr>
          <w:rFonts w:ascii="宋体" w:hAnsi="宋体"/>
          <w:color w:val="000000"/>
        </w:rPr>
        <w:t>.</w:t>
      </w:r>
      <w:r>
        <w:rPr>
          <w:color w:val="000000"/>
        </w:rPr>
        <w:t>2</w:t>
      </w:r>
      <w:r>
        <w:rPr>
          <w:rFonts w:ascii="宋体" w:hAnsi="宋体"/>
          <w:color w:val="000000"/>
        </w:rPr>
        <w:t>未按本章第</w:t>
      </w:r>
      <w:r>
        <w:rPr>
          <w:color w:val="000000"/>
        </w:rPr>
        <w:t>4</w:t>
      </w:r>
      <w:r>
        <w:rPr>
          <w:rFonts w:ascii="宋体" w:hAnsi="宋体"/>
          <w:color w:val="000000"/>
        </w:rPr>
        <w:t>.</w:t>
      </w:r>
      <w:r>
        <w:rPr>
          <w:color w:val="000000"/>
        </w:rPr>
        <w:t>1</w:t>
      </w:r>
      <w:r>
        <w:rPr>
          <w:rFonts w:ascii="宋体" w:hAnsi="宋体"/>
          <w:color w:val="000000"/>
        </w:rPr>
        <w:t>.</w:t>
      </w:r>
      <w:r>
        <w:rPr>
          <w:color w:val="000000"/>
        </w:rPr>
        <w:t>1</w:t>
      </w:r>
      <w:r>
        <w:rPr>
          <w:rFonts w:ascii="宋体" w:hAnsi="宋体"/>
          <w:color w:val="000000"/>
        </w:rPr>
        <w:t>项</w:t>
      </w:r>
      <w:r>
        <w:rPr>
          <w:rFonts w:ascii="宋体" w:hAnsi="宋体"/>
        </w:rPr>
        <w:t>要求</w:t>
      </w:r>
      <w:r>
        <w:rPr>
          <w:rFonts w:ascii="宋体" w:hAnsi="宋体"/>
          <w:color w:val="000000"/>
        </w:rPr>
        <w:t>加密的</w:t>
      </w:r>
      <w:r>
        <w:rPr>
          <w:rFonts w:ascii="宋体" w:hAnsi="宋体"/>
        </w:rPr>
        <w:t>响应</w:t>
      </w:r>
      <w:r>
        <w:rPr>
          <w:rFonts w:ascii="宋体" w:hAnsi="宋体"/>
          <w:color w:val="000000"/>
        </w:rPr>
        <w:t>文件，</w:t>
      </w:r>
      <w:r>
        <w:rPr>
          <w:rFonts w:ascii="宋体" w:hAnsi="宋体"/>
        </w:rPr>
        <w:t>“</w:t>
      </w:r>
      <w:r>
        <w:rPr>
          <w:rFonts w:ascii="宋体" w:hAnsi="宋体"/>
          <w:color w:val="000000"/>
        </w:rPr>
        <w:t>招采平台</w:t>
      </w:r>
      <w:r>
        <w:rPr>
          <w:rFonts w:ascii="宋体" w:hAnsi="宋体"/>
        </w:rPr>
        <w:t>”</w:t>
      </w:r>
      <w:r>
        <w:rPr>
          <w:rFonts w:ascii="宋体" w:hAnsi="宋体"/>
          <w:color w:val="000000"/>
        </w:rPr>
        <w:t>将予以拒收</w:t>
      </w:r>
      <w:bookmarkEnd w:id="177"/>
      <w:r>
        <w:rPr>
          <w:rFonts w:ascii="宋体" w:hAnsi="宋体"/>
          <w:color w:val="000000"/>
        </w:rPr>
        <w:t>。</w:t>
      </w:r>
    </w:p>
    <w:bookmarkEnd w:id="178"/>
    <w:p w14:paraId="08DDF20C">
      <w:pPr>
        <w:widowControl/>
        <w:spacing w:before="100" w:beforeAutospacing="1" w:after="100" w:afterAutospacing="1" w:line="400" w:lineRule="exact"/>
        <w:ind w:left="2" w:leftChars="1"/>
        <w:jc w:val="left"/>
        <w:outlineLvl w:val="2"/>
        <w:rPr>
          <w:rFonts w:eastAsia="黑体"/>
          <w:sz w:val="24"/>
        </w:rPr>
      </w:pPr>
      <w:bookmarkStart w:id="179" w:name="_Toc149140215"/>
      <w:bookmarkStart w:id="180" w:name="_Toc143102159"/>
      <w:r>
        <w:rPr>
          <w:rFonts w:eastAsia="黑体"/>
          <w:sz w:val="24"/>
        </w:rPr>
        <w:t>4.2响应文件的递交</w:t>
      </w:r>
      <w:bookmarkEnd w:id="179"/>
      <w:bookmarkEnd w:id="180"/>
    </w:p>
    <w:p w14:paraId="54B84F37">
      <w:pPr>
        <w:spacing w:line="400" w:lineRule="exact"/>
        <w:ind w:firstLine="420" w:firstLineChars="200"/>
        <w:rPr>
          <w:rFonts w:ascii="宋体" w:hAnsi="宋体"/>
        </w:rPr>
      </w:pPr>
      <w:bookmarkStart w:id="181" w:name="_Hlk137488940"/>
      <w:r>
        <w:t>4</w:t>
      </w:r>
      <w:r>
        <w:rPr>
          <w:rFonts w:ascii="宋体" w:hAnsi="宋体"/>
        </w:rPr>
        <w:t>.</w:t>
      </w:r>
      <w:r>
        <w:t>2</w:t>
      </w:r>
      <w:r>
        <w:rPr>
          <w:rFonts w:ascii="宋体" w:hAnsi="宋体"/>
        </w:rPr>
        <w:t>.</w:t>
      </w:r>
      <w:r>
        <w:t>1</w:t>
      </w:r>
      <w:r>
        <w:rPr>
          <w:rFonts w:ascii="宋体" w:hAnsi="宋体"/>
        </w:rPr>
        <w:t>供应商应在供应商须知前附表规定的响应文件截止时间前，登录“招采平台”，将加密的响应文件上传，上传成功的时间即为递交时间。供应商应充分考虑上传文件时的不可预见因素，未在响应文件截止时间前完成上传的，系统将自动拒绝其响应文件并对其关闭递交通道。</w:t>
      </w:r>
    </w:p>
    <w:p w14:paraId="68A3CF43">
      <w:pPr>
        <w:spacing w:line="400" w:lineRule="exact"/>
        <w:ind w:firstLine="420" w:firstLineChars="200"/>
        <w:rPr>
          <w:rFonts w:ascii="宋体" w:hAnsi="宋体"/>
        </w:rPr>
      </w:pPr>
      <w:bookmarkStart w:id="182" w:name="_Hlk29399638"/>
      <w:r>
        <w:t>4</w:t>
      </w:r>
      <w:r>
        <w:rPr>
          <w:rFonts w:ascii="宋体" w:hAnsi="宋体"/>
        </w:rPr>
        <w:t>.</w:t>
      </w:r>
      <w:r>
        <w:t>2</w:t>
      </w:r>
      <w:r>
        <w:rPr>
          <w:rFonts w:ascii="宋体" w:hAnsi="宋体"/>
        </w:rPr>
        <w:t>.</w:t>
      </w:r>
      <w:r>
        <w:t>2</w:t>
      </w:r>
      <w:r>
        <w:rPr>
          <w:rFonts w:ascii="宋体" w:hAnsi="宋体"/>
        </w:rPr>
        <w:t xml:space="preserve"> 供应商在响应文件截止时间前可自行、多次撤回修改响应文件，响应文件修改完成后按</w:t>
      </w:r>
      <w:r>
        <w:t>4</w:t>
      </w:r>
      <w:r>
        <w:rPr>
          <w:rFonts w:ascii="宋体" w:hAnsi="宋体"/>
        </w:rPr>
        <w:t>.</w:t>
      </w:r>
      <w:r>
        <w:t>1</w:t>
      </w:r>
      <w:r>
        <w:rPr>
          <w:rFonts w:ascii="宋体" w:hAnsi="宋体"/>
        </w:rPr>
        <w:t>款、</w:t>
      </w:r>
      <w:r>
        <w:t>4</w:t>
      </w:r>
      <w:r>
        <w:rPr>
          <w:rFonts w:ascii="宋体" w:hAnsi="宋体"/>
        </w:rPr>
        <w:t>.</w:t>
      </w:r>
      <w:r>
        <w:t>2</w:t>
      </w:r>
      <w:r>
        <w:rPr>
          <w:rFonts w:ascii="宋体" w:hAnsi="宋体"/>
        </w:rPr>
        <w:t>.</w:t>
      </w:r>
      <w:r>
        <w:t>1</w:t>
      </w:r>
      <w:r>
        <w:rPr>
          <w:rFonts w:ascii="宋体" w:hAnsi="宋体"/>
        </w:rPr>
        <w:t>项重新加密、上传，替换已上传的原响应文件。</w:t>
      </w:r>
      <w:bookmarkEnd w:id="182"/>
    </w:p>
    <w:bookmarkEnd w:id="181"/>
    <w:p w14:paraId="765E7A67">
      <w:pPr>
        <w:widowControl/>
        <w:spacing w:before="100" w:beforeAutospacing="1" w:after="100" w:afterAutospacing="1" w:line="400" w:lineRule="exact"/>
        <w:ind w:left="2" w:leftChars="1"/>
        <w:jc w:val="left"/>
        <w:outlineLvl w:val="2"/>
        <w:rPr>
          <w:rFonts w:eastAsia="黑体"/>
          <w:sz w:val="24"/>
        </w:rPr>
      </w:pPr>
      <w:bookmarkStart w:id="183" w:name="_Toc149140216"/>
      <w:bookmarkStart w:id="184" w:name="_Toc143102160"/>
      <w:r>
        <w:rPr>
          <w:rFonts w:eastAsia="黑体"/>
          <w:sz w:val="24"/>
        </w:rPr>
        <w:t>4.3响应文件的撤回</w:t>
      </w:r>
      <w:bookmarkEnd w:id="183"/>
      <w:bookmarkEnd w:id="184"/>
    </w:p>
    <w:p w14:paraId="3541D93F">
      <w:pPr>
        <w:spacing w:line="400" w:lineRule="exact"/>
        <w:ind w:firstLine="420" w:firstLineChars="200"/>
        <w:rPr>
          <w:rFonts w:ascii="宋体" w:hAnsi="宋体"/>
        </w:rPr>
      </w:pPr>
      <w:bookmarkStart w:id="185" w:name="_Hlk137488964"/>
      <w:r>
        <w:rPr>
          <w:rFonts w:ascii="宋体" w:hAnsi="宋体"/>
        </w:rPr>
        <w:t>在本章第</w:t>
      </w:r>
      <w:r>
        <w:t>4</w:t>
      </w:r>
      <w:r>
        <w:rPr>
          <w:rFonts w:ascii="宋体" w:hAnsi="宋体"/>
        </w:rPr>
        <w:t>.</w:t>
      </w:r>
      <w:r>
        <w:t>2</w:t>
      </w:r>
      <w:r>
        <w:rPr>
          <w:rFonts w:ascii="宋体" w:hAnsi="宋体"/>
        </w:rPr>
        <w:t>.</w:t>
      </w:r>
      <w:r>
        <w:t>1</w:t>
      </w:r>
      <w:r>
        <w:rPr>
          <w:rFonts w:ascii="宋体" w:hAnsi="宋体"/>
        </w:rPr>
        <w:t>项规定的响应文件递交截止时间前供应商若放弃参与采购活动的，可通过“招采平台”自行撤回已上传的响应文件。</w:t>
      </w:r>
    </w:p>
    <w:bookmarkEnd w:id="185"/>
    <w:p w14:paraId="3C401A9E">
      <w:pPr>
        <w:keepNext/>
        <w:keepLines/>
        <w:widowControl/>
        <w:spacing w:before="260" w:after="260"/>
        <w:outlineLvl w:val="1"/>
        <w:rPr>
          <w:rFonts w:eastAsia="黑体"/>
          <w:b/>
          <w:sz w:val="28"/>
          <w:szCs w:val="18"/>
        </w:rPr>
      </w:pPr>
      <w:bookmarkStart w:id="186" w:name="_Toc149140217"/>
      <w:r>
        <w:rPr>
          <w:rFonts w:eastAsia="黑体"/>
          <w:b/>
          <w:sz w:val="28"/>
          <w:szCs w:val="18"/>
        </w:rPr>
        <w:t>5. 开启响应文件</w:t>
      </w:r>
      <w:bookmarkEnd w:id="186"/>
    </w:p>
    <w:p w14:paraId="35CCCBED">
      <w:pPr>
        <w:widowControl/>
        <w:spacing w:before="100" w:beforeAutospacing="1" w:after="100" w:afterAutospacing="1" w:line="400" w:lineRule="exact"/>
        <w:ind w:left="2" w:leftChars="1"/>
        <w:jc w:val="left"/>
        <w:outlineLvl w:val="2"/>
        <w:rPr>
          <w:rFonts w:eastAsia="黑体"/>
          <w:sz w:val="24"/>
        </w:rPr>
      </w:pPr>
      <w:bookmarkStart w:id="187" w:name="_Toc27419"/>
      <w:bookmarkStart w:id="188" w:name="_Toc22015"/>
      <w:bookmarkStart w:id="189" w:name="_Toc3791"/>
      <w:bookmarkStart w:id="190" w:name="_Toc13271"/>
      <w:bookmarkStart w:id="191" w:name="_Toc2284"/>
      <w:bookmarkStart w:id="192" w:name="_Toc550"/>
      <w:r>
        <w:rPr>
          <w:rFonts w:eastAsia="黑体"/>
          <w:sz w:val="24"/>
        </w:rPr>
        <w:fldChar w:fldCharType="begin"/>
      </w:r>
      <w:r>
        <w:rPr>
          <w:rFonts w:eastAsia="黑体"/>
          <w:sz w:val="24"/>
        </w:rPr>
        <w:instrText xml:space="preserve"> HYPERLINK \l "_Toc179632578" </w:instrText>
      </w:r>
      <w:r>
        <w:rPr>
          <w:rFonts w:eastAsia="黑体"/>
          <w:sz w:val="24"/>
        </w:rPr>
        <w:fldChar w:fldCharType="separate"/>
      </w:r>
      <w:bookmarkStart w:id="193" w:name="_Toc143102162"/>
      <w:bookmarkStart w:id="194" w:name="_Toc118806990"/>
      <w:bookmarkStart w:id="195" w:name="_Toc118806251"/>
      <w:bookmarkStart w:id="196" w:name="_Toc118805126"/>
      <w:bookmarkStart w:id="197" w:name="_Toc118805880"/>
      <w:bookmarkStart w:id="198" w:name="_Toc149140218"/>
      <w:bookmarkStart w:id="199" w:name="_Toc118805503"/>
      <w:r>
        <w:rPr>
          <w:rFonts w:eastAsia="黑体"/>
          <w:sz w:val="24"/>
        </w:rPr>
        <w:t>5.1 开启响应文件的时间和地点</w:t>
      </w:r>
      <w:bookmarkEnd w:id="193"/>
      <w:bookmarkEnd w:id="194"/>
      <w:bookmarkEnd w:id="195"/>
      <w:bookmarkEnd w:id="196"/>
      <w:bookmarkEnd w:id="197"/>
      <w:bookmarkEnd w:id="198"/>
      <w:bookmarkEnd w:id="199"/>
      <w:r>
        <w:rPr>
          <w:rFonts w:eastAsia="黑体"/>
          <w:sz w:val="24"/>
        </w:rPr>
        <w:fldChar w:fldCharType="end"/>
      </w:r>
      <w:bookmarkEnd w:id="187"/>
      <w:bookmarkEnd w:id="188"/>
      <w:bookmarkEnd w:id="189"/>
      <w:bookmarkEnd w:id="190"/>
      <w:bookmarkEnd w:id="191"/>
      <w:bookmarkEnd w:id="192"/>
    </w:p>
    <w:p w14:paraId="5BEF3002">
      <w:pPr>
        <w:spacing w:line="400" w:lineRule="exact"/>
        <w:ind w:firstLine="420" w:firstLineChars="200"/>
        <w:rPr>
          <w:rFonts w:ascii="宋体" w:hAnsi="宋体"/>
        </w:rPr>
      </w:pPr>
      <w:bookmarkStart w:id="200" w:name="_Hlk137488994"/>
      <w:r>
        <w:rPr>
          <w:rFonts w:ascii="宋体" w:hAnsi="宋体"/>
        </w:rPr>
        <w:t>采购人在本章第</w:t>
      </w:r>
      <w:r>
        <w:t>4</w:t>
      </w:r>
      <w:r>
        <w:rPr>
          <w:rFonts w:ascii="宋体" w:hAnsi="宋体"/>
        </w:rPr>
        <w:t>.</w:t>
      </w:r>
      <w:r>
        <w:t>2</w:t>
      </w:r>
      <w:r>
        <w:rPr>
          <w:rFonts w:ascii="宋体" w:hAnsi="宋体"/>
        </w:rPr>
        <w:t>.</w:t>
      </w:r>
      <w:r>
        <w:t>1</w:t>
      </w:r>
      <w:r>
        <w:rPr>
          <w:rFonts w:ascii="宋体" w:hAnsi="宋体"/>
        </w:rPr>
        <w:t>项规定的响应文件递交截止时间在河北交投招标与采购服务平台开启响应文件，供应商应派代表登录“招采平台-开标大厅”远程在线参加开启会议。</w:t>
      </w:r>
    </w:p>
    <w:bookmarkEnd w:id="200"/>
    <w:p w14:paraId="5429CC40">
      <w:pPr>
        <w:widowControl/>
        <w:spacing w:before="100" w:beforeAutospacing="1" w:after="100" w:afterAutospacing="1" w:line="400" w:lineRule="exact"/>
        <w:ind w:left="2" w:leftChars="1"/>
        <w:jc w:val="left"/>
        <w:outlineLvl w:val="2"/>
        <w:rPr>
          <w:rFonts w:eastAsia="黑体"/>
          <w:sz w:val="24"/>
        </w:rPr>
      </w:pPr>
      <w:bookmarkStart w:id="201" w:name="_Toc25994"/>
      <w:bookmarkStart w:id="202" w:name="_Toc26119"/>
      <w:bookmarkStart w:id="203" w:name="_Toc27728"/>
      <w:bookmarkStart w:id="204" w:name="_Toc32445"/>
      <w:bookmarkStart w:id="205" w:name="_Toc13871"/>
      <w:bookmarkStart w:id="206" w:name="_Toc28588"/>
      <w:r>
        <w:rPr>
          <w:rFonts w:eastAsia="黑体"/>
          <w:sz w:val="24"/>
        </w:rPr>
        <w:fldChar w:fldCharType="begin"/>
      </w:r>
      <w:r>
        <w:rPr>
          <w:rFonts w:eastAsia="黑体"/>
          <w:sz w:val="24"/>
        </w:rPr>
        <w:instrText xml:space="preserve"> HYPERLINK \l "_Toc179632579" </w:instrText>
      </w:r>
      <w:r>
        <w:rPr>
          <w:rFonts w:eastAsia="黑体"/>
          <w:sz w:val="24"/>
        </w:rPr>
        <w:fldChar w:fldCharType="separate"/>
      </w:r>
      <w:bookmarkStart w:id="207" w:name="_Toc118805881"/>
      <w:bookmarkStart w:id="208" w:name="_Toc118806991"/>
      <w:bookmarkStart w:id="209" w:name="_Toc149140219"/>
      <w:bookmarkStart w:id="210" w:name="_Toc143102163"/>
      <w:bookmarkStart w:id="211" w:name="_Toc118805504"/>
      <w:bookmarkStart w:id="212" w:name="_Toc118805127"/>
      <w:bookmarkStart w:id="213" w:name="_Toc118806252"/>
      <w:r>
        <w:rPr>
          <w:rFonts w:eastAsia="黑体"/>
          <w:sz w:val="24"/>
        </w:rPr>
        <w:t>5.2 开启程序</w:t>
      </w:r>
      <w:bookmarkEnd w:id="207"/>
      <w:bookmarkEnd w:id="208"/>
      <w:bookmarkEnd w:id="209"/>
      <w:bookmarkEnd w:id="210"/>
      <w:bookmarkEnd w:id="211"/>
      <w:bookmarkEnd w:id="212"/>
      <w:bookmarkEnd w:id="213"/>
      <w:r>
        <w:rPr>
          <w:rFonts w:eastAsia="黑体"/>
          <w:sz w:val="24"/>
        </w:rPr>
        <w:fldChar w:fldCharType="end"/>
      </w:r>
      <w:bookmarkEnd w:id="201"/>
      <w:bookmarkEnd w:id="202"/>
      <w:bookmarkEnd w:id="203"/>
      <w:bookmarkEnd w:id="204"/>
      <w:bookmarkEnd w:id="205"/>
      <w:bookmarkEnd w:id="206"/>
    </w:p>
    <w:p w14:paraId="2FFE19D9">
      <w:pPr>
        <w:spacing w:line="400" w:lineRule="exact"/>
        <w:ind w:firstLine="420" w:firstLineChars="200"/>
        <w:rPr>
          <w:rFonts w:ascii="宋体" w:hAnsi="宋体"/>
        </w:rPr>
      </w:pPr>
      <w:bookmarkStart w:id="214" w:name="_Hlk138878404"/>
      <w:bookmarkStart w:id="215" w:name="_Toc118805882"/>
      <w:bookmarkStart w:id="216" w:name="_Toc118806253"/>
      <w:bookmarkStart w:id="217" w:name="_Toc118806992"/>
      <w:bookmarkStart w:id="218" w:name="_Toc118805128"/>
      <w:bookmarkStart w:id="219" w:name="_Toc118805505"/>
      <w:r>
        <w:rPr>
          <w:rFonts w:ascii="宋体" w:hAnsi="宋体"/>
        </w:rPr>
        <w:t>主持人按下列程序公开开启响应文件：</w:t>
      </w:r>
      <w:r>
        <w:rPr>
          <w:rFonts w:ascii="宋体" w:hAnsi="宋体"/>
        </w:rPr>
        <w:tab/>
      </w:r>
    </w:p>
    <w:p w14:paraId="603EE32D">
      <w:pPr>
        <w:spacing w:line="400" w:lineRule="exact"/>
        <w:ind w:firstLine="420" w:firstLineChars="200"/>
        <w:rPr>
          <w:rFonts w:ascii="宋体" w:hAnsi="宋体"/>
        </w:rPr>
      </w:pPr>
      <w:r>
        <w:rPr>
          <w:rFonts w:ascii="宋体" w:hAnsi="宋体"/>
        </w:rPr>
        <w:t>（</w:t>
      </w:r>
      <w:r>
        <w:t>1</w:t>
      </w:r>
      <w:r>
        <w:rPr>
          <w:rFonts w:ascii="宋体" w:hAnsi="宋体"/>
        </w:rPr>
        <w:t>）供应商通过“招采平台-开标大厅”参与开启会议；</w:t>
      </w:r>
    </w:p>
    <w:p w14:paraId="3ED5FF0F">
      <w:pPr>
        <w:spacing w:line="400" w:lineRule="exact"/>
        <w:ind w:firstLine="420" w:firstLineChars="200"/>
        <w:rPr>
          <w:rFonts w:ascii="宋体" w:hAnsi="宋体"/>
        </w:rPr>
      </w:pPr>
      <w:r>
        <w:rPr>
          <w:rFonts w:ascii="宋体" w:hAnsi="宋体"/>
        </w:rPr>
        <w:t>（</w:t>
      </w:r>
      <w:r>
        <w:t>2</w:t>
      </w:r>
      <w:r>
        <w:rPr>
          <w:rFonts w:ascii="宋体" w:hAnsi="宋体"/>
        </w:rPr>
        <w:t>）供应商通过河北交投</w:t>
      </w:r>
      <w:r>
        <w:t>CA</w:t>
      </w:r>
      <w:r>
        <w:rPr>
          <w:rFonts w:ascii="宋体" w:hAnsi="宋体"/>
        </w:rPr>
        <w:t>数字证书对已上传的电子响应文件进行解密，公布供应商名称、项目名称、响应报价（如有）及供应商须知前附表规定的其他内容；</w:t>
      </w:r>
    </w:p>
    <w:p w14:paraId="1BA518C1">
      <w:pPr>
        <w:spacing w:line="400" w:lineRule="exact"/>
        <w:ind w:firstLine="420" w:firstLineChars="200"/>
        <w:rPr>
          <w:rFonts w:ascii="宋体" w:hAnsi="宋体"/>
        </w:rPr>
      </w:pPr>
      <w:r>
        <w:rPr>
          <w:rFonts w:ascii="宋体" w:hAnsi="宋体"/>
        </w:rPr>
        <w:t>（</w:t>
      </w:r>
      <w:r>
        <w:t>3</w:t>
      </w:r>
      <w:r>
        <w:rPr>
          <w:rFonts w:ascii="宋体" w:hAnsi="宋体"/>
        </w:rPr>
        <w:t>）供应商对开启过程有异议的，按照采购文件规定在“河北交投招标与采购服务平台”提出；</w:t>
      </w:r>
    </w:p>
    <w:p w14:paraId="60F4DD60">
      <w:pPr>
        <w:spacing w:line="400" w:lineRule="exact"/>
        <w:ind w:firstLine="420" w:firstLineChars="200"/>
        <w:rPr>
          <w:rFonts w:ascii="宋体" w:hAnsi="宋体"/>
        </w:rPr>
      </w:pPr>
      <w:r>
        <w:rPr>
          <w:rFonts w:ascii="宋体" w:hAnsi="宋体"/>
        </w:rPr>
        <w:t>（</w:t>
      </w:r>
      <w:r>
        <w:t>4</w:t>
      </w:r>
      <w:r>
        <w:rPr>
          <w:rFonts w:ascii="宋体" w:hAnsi="宋体"/>
        </w:rPr>
        <w:t>）开启会议结束。</w:t>
      </w:r>
    </w:p>
    <w:bookmarkEnd w:id="214"/>
    <w:p w14:paraId="1AFDDF3C">
      <w:pPr>
        <w:widowControl/>
        <w:spacing w:before="100" w:beforeAutospacing="1" w:after="100" w:afterAutospacing="1" w:line="400" w:lineRule="exact"/>
        <w:ind w:left="2" w:leftChars="1"/>
        <w:jc w:val="left"/>
        <w:outlineLvl w:val="2"/>
        <w:rPr>
          <w:rFonts w:eastAsia="黑体"/>
          <w:sz w:val="24"/>
        </w:rPr>
      </w:pPr>
      <w:bookmarkStart w:id="220" w:name="_Toc149140220"/>
      <w:bookmarkStart w:id="221" w:name="_Toc143102164"/>
      <w:bookmarkStart w:id="222" w:name="_Hlk138878410"/>
      <w:r>
        <w:rPr>
          <w:rFonts w:eastAsia="黑体"/>
          <w:sz w:val="24"/>
        </w:rPr>
        <w:t>5.3 开启补救措施</w:t>
      </w:r>
      <w:bookmarkEnd w:id="215"/>
      <w:bookmarkEnd w:id="216"/>
      <w:bookmarkEnd w:id="217"/>
      <w:bookmarkEnd w:id="218"/>
      <w:bookmarkEnd w:id="219"/>
      <w:bookmarkEnd w:id="220"/>
      <w:bookmarkEnd w:id="221"/>
    </w:p>
    <w:bookmarkEnd w:id="222"/>
    <w:p w14:paraId="7928E7C5">
      <w:pPr>
        <w:spacing w:line="400" w:lineRule="exact"/>
        <w:ind w:firstLine="420" w:firstLineChars="200"/>
        <w:rPr>
          <w:rFonts w:ascii="宋体" w:hAnsi="宋体"/>
        </w:rPr>
      </w:pPr>
      <w:bookmarkStart w:id="223" w:name="_Hlk138878415"/>
      <w:bookmarkStart w:id="224" w:name="_Toc118806254"/>
      <w:bookmarkStart w:id="225" w:name="_Toc118805883"/>
      <w:bookmarkStart w:id="226" w:name="_Toc118805506"/>
      <w:bookmarkStart w:id="227" w:name="_Toc118805129"/>
      <w:bookmarkStart w:id="228" w:name="_Toc118806993"/>
      <w:r>
        <w:rPr>
          <w:rFonts w:ascii="宋体" w:hAnsi="宋体"/>
        </w:rPr>
        <w:t>如开启解密过程中，供应商因河北交投</w:t>
      </w:r>
      <w:r>
        <w:t>CA</w:t>
      </w:r>
      <w:r>
        <w:rPr>
          <w:rFonts w:ascii="宋体" w:hAnsi="宋体"/>
        </w:rPr>
        <w:t>数字证书出现故障，可在线向开启管理员提出开启补救措施的申请，开启管理员同意后，可开启“密码解密”功能，供应商可输入相应文件编制时设置的保障密码对响应文件进行解密。</w:t>
      </w:r>
    </w:p>
    <w:bookmarkEnd w:id="223"/>
    <w:p w14:paraId="38513F0A">
      <w:pPr>
        <w:widowControl/>
        <w:spacing w:before="100" w:beforeAutospacing="1" w:after="100" w:afterAutospacing="1" w:line="400" w:lineRule="exact"/>
        <w:ind w:left="2" w:leftChars="1"/>
        <w:jc w:val="left"/>
        <w:outlineLvl w:val="2"/>
        <w:rPr>
          <w:rFonts w:eastAsia="黑体"/>
          <w:sz w:val="24"/>
        </w:rPr>
      </w:pPr>
      <w:bookmarkStart w:id="229" w:name="_Toc143102165"/>
      <w:bookmarkStart w:id="230" w:name="_Toc149140221"/>
      <w:bookmarkStart w:id="231" w:name="_Hlk138878419"/>
      <w:r>
        <w:rPr>
          <w:rFonts w:eastAsia="黑体"/>
          <w:sz w:val="24"/>
        </w:rPr>
        <w:t>5.4递交响应文件的供应商不足的处理</w:t>
      </w:r>
      <w:bookmarkEnd w:id="224"/>
      <w:bookmarkEnd w:id="225"/>
      <w:bookmarkEnd w:id="226"/>
      <w:bookmarkEnd w:id="227"/>
      <w:bookmarkEnd w:id="228"/>
      <w:bookmarkEnd w:id="229"/>
      <w:bookmarkEnd w:id="230"/>
    </w:p>
    <w:bookmarkEnd w:id="231"/>
    <w:p w14:paraId="220349E0">
      <w:pPr>
        <w:spacing w:line="400" w:lineRule="exact"/>
        <w:ind w:firstLine="420" w:firstLineChars="200"/>
        <w:rPr>
          <w:rFonts w:ascii="宋体" w:hAnsi="宋体"/>
        </w:rPr>
      </w:pPr>
      <w:bookmarkStart w:id="232" w:name="_Hlk137489202"/>
      <w:r>
        <w:rPr>
          <w:rFonts w:ascii="宋体" w:hAnsi="宋体"/>
        </w:rPr>
        <w:t>采购项目选择一家入围供应商时，递交响应文件的供应商数量不足三家的，或采购项目选择多家入围供应商时，递交响应文件的供应商数量少于供应商须知前附表规定数量的，</w:t>
      </w:r>
      <w:r>
        <w:rPr>
          <w:rFonts w:ascii="宋体" w:hAnsi="宋体"/>
          <w:lang w:bidi="ar"/>
        </w:rPr>
        <w:t>采购人应终止并重新组织采购。</w:t>
      </w:r>
    </w:p>
    <w:bookmarkEnd w:id="232"/>
    <w:p w14:paraId="64B8A89F">
      <w:pPr>
        <w:keepNext/>
        <w:keepLines/>
        <w:widowControl/>
        <w:spacing w:before="260" w:after="260"/>
        <w:outlineLvl w:val="1"/>
        <w:rPr>
          <w:rFonts w:eastAsia="黑体"/>
          <w:b/>
          <w:sz w:val="28"/>
          <w:szCs w:val="18"/>
        </w:rPr>
      </w:pPr>
      <w:bookmarkStart w:id="233" w:name="_Toc149140222"/>
      <w:r>
        <w:rPr>
          <w:rFonts w:eastAsia="黑体"/>
          <w:b/>
          <w:sz w:val="28"/>
          <w:szCs w:val="18"/>
        </w:rPr>
        <w:t>6. 评审</w:t>
      </w:r>
      <w:bookmarkEnd w:id="233"/>
    </w:p>
    <w:p w14:paraId="713A06D7">
      <w:pPr>
        <w:widowControl/>
        <w:spacing w:before="100" w:beforeAutospacing="1" w:after="100" w:afterAutospacing="1" w:line="400" w:lineRule="exact"/>
        <w:ind w:left="2" w:leftChars="1"/>
        <w:jc w:val="left"/>
        <w:outlineLvl w:val="2"/>
        <w:rPr>
          <w:rFonts w:eastAsia="黑体"/>
          <w:sz w:val="24"/>
        </w:rPr>
      </w:pPr>
      <w:bookmarkStart w:id="234" w:name="_Toc149140223"/>
      <w:bookmarkStart w:id="235" w:name="_Toc143102167"/>
      <w:r>
        <w:rPr>
          <w:rFonts w:eastAsia="黑体"/>
          <w:sz w:val="24"/>
        </w:rPr>
        <w:t>6.1评审小组</w:t>
      </w:r>
      <w:bookmarkEnd w:id="234"/>
      <w:bookmarkEnd w:id="235"/>
    </w:p>
    <w:p w14:paraId="6A4379EB">
      <w:pPr>
        <w:spacing w:line="400" w:lineRule="exact"/>
        <w:ind w:firstLine="420" w:firstLineChars="200"/>
        <w:rPr>
          <w:rFonts w:ascii="宋体" w:hAnsi="宋体"/>
        </w:rPr>
      </w:pPr>
      <w:bookmarkStart w:id="236" w:name="_Hlk138878467"/>
      <w:r>
        <w:t>6</w:t>
      </w:r>
      <w:r>
        <w:rPr>
          <w:rFonts w:ascii="宋体" w:hAnsi="宋体"/>
        </w:rPr>
        <w:t>.</w:t>
      </w:r>
      <w:r>
        <w:t>1</w:t>
      </w:r>
      <w:r>
        <w:rPr>
          <w:rFonts w:ascii="宋体" w:hAnsi="宋体"/>
        </w:rPr>
        <w:t>.</w:t>
      </w:r>
      <w:r>
        <w:t>1</w:t>
      </w:r>
      <w:bookmarkStart w:id="237" w:name="_Hlk139441088"/>
      <w:r>
        <w:rPr>
          <w:rFonts w:ascii="宋体" w:hAnsi="宋体"/>
        </w:rPr>
        <w:t>评审由采购人组建的评审小组负责，确定方式见供应商须知前附表。</w:t>
      </w:r>
      <w:bookmarkEnd w:id="237"/>
    </w:p>
    <w:p w14:paraId="4594A71C">
      <w:pPr>
        <w:spacing w:line="400" w:lineRule="exact"/>
        <w:ind w:firstLine="420"/>
        <w:rPr>
          <w:rFonts w:ascii="宋体" w:hAnsi="宋体"/>
        </w:rPr>
      </w:pPr>
      <w:r>
        <w:t>6</w:t>
      </w:r>
      <w:r>
        <w:rPr>
          <w:rFonts w:ascii="宋体" w:hAnsi="宋体"/>
        </w:rPr>
        <w:t>.</w:t>
      </w:r>
      <w:r>
        <w:t>1</w:t>
      </w:r>
      <w:r>
        <w:rPr>
          <w:rFonts w:ascii="宋体" w:hAnsi="宋体"/>
        </w:rPr>
        <w:t>.</w:t>
      </w:r>
      <w:r>
        <w:t>2</w:t>
      </w:r>
      <w:r>
        <w:rPr>
          <w:rFonts w:ascii="宋体" w:hAnsi="宋体"/>
        </w:rPr>
        <w:t xml:space="preserve"> 评审小组成员有下列情形之一的，应当回避：</w:t>
      </w:r>
    </w:p>
    <w:p w14:paraId="7C6157CC">
      <w:pPr>
        <w:spacing w:line="400" w:lineRule="exact"/>
        <w:ind w:firstLine="420"/>
        <w:rPr>
          <w:rFonts w:ascii="宋体" w:hAnsi="宋体"/>
        </w:rPr>
      </w:pPr>
      <w:r>
        <w:rPr>
          <w:rFonts w:ascii="宋体" w:hAnsi="宋体"/>
        </w:rPr>
        <w:t>（</w:t>
      </w:r>
      <w:r>
        <w:t>1</w:t>
      </w:r>
      <w:r>
        <w:rPr>
          <w:rFonts w:ascii="宋体" w:hAnsi="宋体"/>
        </w:rPr>
        <w:t xml:space="preserve">）与供应商法定代表人、供应商主要负责人或者授权参与投标的代理人有近亲属关系的人员； </w:t>
      </w:r>
    </w:p>
    <w:p w14:paraId="50DB5EA0">
      <w:pPr>
        <w:spacing w:line="400" w:lineRule="exact"/>
        <w:ind w:firstLine="420"/>
        <w:rPr>
          <w:rFonts w:ascii="宋体" w:hAnsi="宋体"/>
        </w:rPr>
      </w:pPr>
      <w:r>
        <w:rPr>
          <w:rFonts w:ascii="宋体" w:hAnsi="宋体"/>
        </w:rPr>
        <w:t>（</w:t>
      </w:r>
      <w:r>
        <w:t>2</w:t>
      </w:r>
      <w:r>
        <w:rPr>
          <w:rFonts w:ascii="宋体" w:hAnsi="宋体"/>
        </w:rPr>
        <w:t>）与供应商有经济利益关系或其他利害关系，可能影响公正评审的；</w:t>
      </w:r>
    </w:p>
    <w:p w14:paraId="036AB954">
      <w:pPr>
        <w:spacing w:line="400" w:lineRule="exact"/>
        <w:ind w:firstLine="420"/>
        <w:rPr>
          <w:rFonts w:ascii="宋体" w:hAnsi="宋体"/>
        </w:rPr>
      </w:pPr>
      <w:r>
        <w:rPr>
          <w:rFonts w:ascii="宋体" w:hAnsi="宋体"/>
        </w:rPr>
        <w:t>（</w:t>
      </w:r>
      <w:r>
        <w:t>3</w:t>
      </w:r>
      <w:r>
        <w:rPr>
          <w:rFonts w:ascii="宋体" w:hAnsi="宋体"/>
        </w:rPr>
        <w:t>）供应商的工作人员或者退休人员。</w:t>
      </w:r>
    </w:p>
    <w:p w14:paraId="1A0B6774">
      <w:pPr>
        <w:spacing w:line="400" w:lineRule="exact"/>
        <w:ind w:firstLine="420"/>
        <w:rPr>
          <w:rFonts w:ascii="宋体" w:hAnsi="宋体"/>
        </w:rPr>
      </w:pPr>
      <w:bookmarkStart w:id="238" w:name="_Hlk148687842"/>
      <w:r>
        <w:rPr>
          <w:rFonts w:ascii="宋体" w:hAnsi="宋体"/>
        </w:rPr>
        <w:t>（</w:t>
      </w:r>
      <w:r>
        <w:t>4</w:t>
      </w:r>
      <w:r>
        <w:rPr>
          <w:rFonts w:ascii="宋体" w:hAnsi="宋体"/>
        </w:rPr>
        <w:t>）与采购人法定代表人有近亲属关系的。</w:t>
      </w:r>
    </w:p>
    <w:bookmarkEnd w:id="238"/>
    <w:p w14:paraId="629375C4">
      <w:pPr>
        <w:spacing w:line="400" w:lineRule="exact"/>
        <w:ind w:firstLine="424" w:firstLineChars="202"/>
        <w:rPr>
          <w:rFonts w:ascii="宋体" w:hAnsi="宋体"/>
        </w:rPr>
      </w:pPr>
      <w:r>
        <w:t>6</w:t>
      </w:r>
      <w:r>
        <w:rPr>
          <w:rFonts w:ascii="宋体" w:hAnsi="宋体"/>
        </w:rPr>
        <w:t>.</w:t>
      </w:r>
      <w:r>
        <w:t>1</w:t>
      </w:r>
      <w:r>
        <w:rPr>
          <w:rFonts w:ascii="宋体" w:hAnsi="宋体"/>
        </w:rPr>
        <w:t>.</w:t>
      </w:r>
      <w:r>
        <w:t>3</w:t>
      </w:r>
      <w:r>
        <w:rPr>
          <w:rFonts w:ascii="宋体" w:hAnsi="宋体"/>
        </w:rPr>
        <w:t xml:space="preserve"> 评审小组组建后，评审小组成员共同推选或由采购人指定评审小组组长，评审小组组长负责组织评审工作。</w:t>
      </w:r>
    </w:p>
    <w:p w14:paraId="0CB38FBF">
      <w:pPr>
        <w:spacing w:line="400" w:lineRule="exact"/>
        <w:ind w:firstLine="420" w:firstLineChars="200"/>
        <w:rPr>
          <w:rFonts w:ascii="宋体" w:hAnsi="宋体"/>
        </w:rPr>
      </w:pPr>
      <w:r>
        <w:t>6</w:t>
      </w:r>
      <w:r>
        <w:rPr>
          <w:rFonts w:ascii="宋体" w:hAnsi="宋体"/>
        </w:rPr>
        <w:t>.</w:t>
      </w:r>
      <w:r>
        <w:t>1</w:t>
      </w:r>
      <w:r>
        <w:rPr>
          <w:rFonts w:ascii="宋体" w:hAnsi="宋体"/>
        </w:rPr>
        <w:t>.</w:t>
      </w:r>
      <w:r>
        <w:t>4</w:t>
      </w:r>
      <w:r>
        <w:rPr>
          <w:rFonts w:ascii="宋体" w:hAnsi="宋体"/>
        </w:rPr>
        <w:t xml:space="preserve"> 在评审过程中，评审小组成员对需要共同认定的事项存在争议的，将按照少数服从多数的原则作出结论。持不同意见的评审小组成员应当在评审报告上签署不同意见及理由，否则视为同意评审报告。</w:t>
      </w:r>
    </w:p>
    <w:bookmarkEnd w:id="236"/>
    <w:p w14:paraId="741B3F23">
      <w:pPr>
        <w:widowControl/>
        <w:spacing w:before="100" w:beforeAutospacing="1" w:after="100" w:afterAutospacing="1" w:line="400" w:lineRule="exact"/>
        <w:ind w:left="2" w:leftChars="1"/>
        <w:jc w:val="left"/>
        <w:outlineLvl w:val="2"/>
        <w:rPr>
          <w:rFonts w:eastAsia="黑体"/>
          <w:sz w:val="24"/>
        </w:rPr>
      </w:pPr>
      <w:bookmarkStart w:id="239" w:name="_Toc491883133"/>
      <w:bookmarkStart w:id="240" w:name="_Toc3747"/>
      <w:bookmarkStart w:id="241" w:name="_Toc7141"/>
      <w:bookmarkStart w:id="242" w:name="_Toc118806257"/>
      <w:bookmarkStart w:id="243" w:name="_Toc118805886"/>
      <w:bookmarkStart w:id="244" w:name="_Toc22679"/>
      <w:bookmarkStart w:id="245" w:name="_Toc118805509"/>
      <w:bookmarkStart w:id="246" w:name="_Toc149140224"/>
      <w:bookmarkStart w:id="247" w:name="_Toc138604655"/>
      <w:bookmarkStart w:id="248" w:name="_Toc7379"/>
      <w:bookmarkStart w:id="249" w:name="_Toc118805132"/>
      <w:bookmarkStart w:id="250" w:name="_Toc143102168"/>
      <w:bookmarkStart w:id="251" w:name="_Toc23580"/>
      <w:bookmarkStart w:id="252" w:name="_Toc2185"/>
      <w:r>
        <w:rPr>
          <w:rFonts w:eastAsia="黑体"/>
          <w:sz w:val="24"/>
        </w:rPr>
        <w:t>6.2 评</w:t>
      </w:r>
      <w:bookmarkEnd w:id="239"/>
      <w:r>
        <w:rPr>
          <w:rFonts w:eastAsia="黑体"/>
          <w:sz w:val="24"/>
        </w:rPr>
        <w:t>审</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011C4B3B">
      <w:pPr>
        <w:spacing w:line="400" w:lineRule="exact"/>
        <w:ind w:firstLine="420" w:firstLineChars="200"/>
        <w:rPr>
          <w:rFonts w:ascii="宋体" w:hAnsi="宋体"/>
        </w:rPr>
      </w:pPr>
      <w:bookmarkStart w:id="253" w:name="_Hlk138878487"/>
      <w:r>
        <w:t>6</w:t>
      </w:r>
      <w:r>
        <w:rPr>
          <w:rFonts w:ascii="宋体" w:hAnsi="宋体"/>
        </w:rPr>
        <w:t>.</w:t>
      </w:r>
      <w:r>
        <w:t>2</w:t>
      </w:r>
      <w:r>
        <w:rPr>
          <w:rFonts w:ascii="宋体" w:hAnsi="宋体"/>
        </w:rPr>
        <w:t>.</w:t>
      </w:r>
      <w:r>
        <w:t>1</w:t>
      </w:r>
      <w:r>
        <w:rPr>
          <w:rFonts w:ascii="宋体" w:hAnsi="宋体"/>
        </w:rPr>
        <w:t>评审小组按照第三章“评审办法”规定的评审标准和程序对响应文件进行评审和比较。</w:t>
      </w:r>
    </w:p>
    <w:p w14:paraId="761D6854">
      <w:pPr>
        <w:spacing w:line="400" w:lineRule="exact"/>
        <w:ind w:firstLine="420" w:firstLineChars="200"/>
        <w:rPr>
          <w:rFonts w:ascii="宋体" w:hAnsi="宋体"/>
          <w:szCs w:val="21"/>
        </w:rPr>
      </w:pPr>
      <w:r>
        <w:t>6</w:t>
      </w:r>
      <w:r>
        <w:rPr>
          <w:rFonts w:ascii="宋体" w:hAnsi="宋体"/>
        </w:rPr>
        <w:t>.</w:t>
      </w:r>
      <w:r>
        <w:t>2</w:t>
      </w:r>
      <w:r>
        <w:rPr>
          <w:rFonts w:ascii="宋体" w:hAnsi="宋体"/>
        </w:rPr>
        <w:t>.</w:t>
      </w:r>
      <w:r>
        <w:t>2</w:t>
      </w:r>
      <w:r>
        <w:rPr>
          <w:rFonts w:ascii="宋体" w:hAnsi="宋体"/>
        </w:rPr>
        <w:t>评审完成后，评审小组应当向采购人提交评审报告和候选成交供应商名单。评审小组推荐候选成交供应商的数量要求见</w:t>
      </w:r>
      <w:r>
        <w:rPr>
          <w:rFonts w:ascii="宋体" w:hAnsi="宋体"/>
          <w:szCs w:val="21"/>
        </w:rPr>
        <w:t>供应商须知前附表。</w:t>
      </w:r>
    </w:p>
    <w:bookmarkEnd w:id="253"/>
    <w:p w14:paraId="4DC75B55">
      <w:pPr>
        <w:keepNext/>
        <w:keepLines/>
        <w:widowControl/>
        <w:spacing w:before="260" w:after="260"/>
        <w:outlineLvl w:val="1"/>
        <w:rPr>
          <w:rFonts w:eastAsia="黑体"/>
          <w:b/>
          <w:sz w:val="28"/>
          <w:szCs w:val="18"/>
        </w:rPr>
      </w:pPr>
      <w:bookmarkStart w:id="254" w:name="_Toc149140225"/>
      <w:r>
        <w:rPr>
          <w:rFonts w:eastAsia="黑体"/>
          <w:b/>
          <w:sz w:val="28"/>
          <w:szCs w:val="18"/>
        </w:rPr>
        <w:t>7. 框架协议的订立</w:t>
      </w:r>
      <w:bookmarkEnd w:id="254"/>
    </w:p>
    <w:p w14:paraId="34A0AD4D">
      <w:pPr>
        <w:widowControl/>
        <w:spacing w:before="100" w:beforeAutospacing="1" w:after="100" w:afterAutospacing="1" w:line="400" w:lineRule="exact"/>
        <w:ind w:left="2" w:leftChars="1"/>
        <w:jc w:val="left"/>
        <w:outlineLvl w:val="2"/>
        <w:rPr>
          <w:rFonts w:eastAsia="黑体"/>
          <w:sz w:val="24"/>
        </w:rPr>
      </w:pPr>
      <w:bookmarkStart w:id="255" w:name="_Toc143102170"/>
      <w:bookmarkStart w:id="256" w:name="_Toc149140226"/>
      <w:r>
        <w:rPr>
          <w:rFonts w:eastAsia="黑体"/>
          <w:sz w:val="24"/>
        </w:rPr>
        <w:t>7.1 候选入围供应商履约能力核查</w:t>
      </w:r>
      <w:bookmarkEnd w:id="255"/>
      <w:bookmarkEnd w:id="256"/>
    </w:p>
    <w:p w14:paraId="4EAD9E6C">
      <w:pPr>
        <w:spacing w:line="400" w:lineRule="exact"/>
        <w:ind w:firstLine="420" w:firstLineChars="200"/>
        <w:rPr>
          <w:rFonts w:ascii="宋体" w:hAnsi="宋体"/>
        </w:rPr>
      </w:pPr>
      <w:r>
        <w:rPr>
          <w:rFonts w:ascii="宋体" w:hAnsi="宋体"/>
        </w:rPr>
        <w:t>采购人可对候选入围供应商的相关证明材料原件进行核验或组织现场考察，以确认候选成交供应商的生产经营、财务等实际状况与响应文件是否一致及是否存在其他可能影响供应商履约能力的情况。核查结果将作为采购人选择确定候选成交供应商的签订框架协议的依据之一。</w:t>
      </w:r>
    </w:p>
    <w:p w14:paraId="0E0E8A34">
      <w:pPr>
        <w:widowControl/>
        <w:spacing w:before="100" w:beforeAutospacing="1" w:after="100" w:afterAutospacing="1" w:line="400" w:lineRule="exact"/>
        <w:ind w:left="2" w:leftChars="1"/>
        <w:jc w:val="left"/>
        <w:outlineLvl w:val="2"/>
        <w:rPr>
          <w:rFonts w:eastAsia="黑体"/>
          <w:sz w:val="24"/>
        </w:rPr>
      </w:pPr>
      <w:bookmarkStart w:id="257" w:name="_Toc149140227"/>
      <w:bookmarkStart w:id="258" w:name="_Toc143102171"/>
      <w:r>
        <w:rPr>
          <w:rFonts w:eastAsia="黑体"/>
          <w:sz w:val="24"/>
        </w:rPr>
        <w:t>7.2 候选入围供应商公示</w:t>
      </w:r>
      <w:bookmarkEnd w:id="257"/>
      <w:bookmarkEnd w:id="258"/>
    </w:p>
    <w:p w14:paraId="1A391B7C">
      <w:pPr>
        <w:spacing w:line="400" w:lineRule="exact"/>
        <w:ind w:firstLine="420" w:firstLineChars="200"/>
        <w:rPr>
          <w:rFonts w:ascii="宋体" w:hAnsi="宋体"/>
        </w:rPr>
      </w:pPr>
      <w:bookmarkStart w:id="259" w:name="_Hlk137489742"/>
      <w:r>
        <w:rPr>
          <w:rFonts w:ascii="宋体" w:hAnsi="宋体"/>
        </w:rPr>
        <w:t>候选入围供应商核查后，采购人将在“河北交投招标与采购服务平台”公示候选入围供应商，</w:t>
      </w:r>
      <w:r>
        <w:rPr>
          <w:rFonts w:hint="eastAsia" w:ascii="宋体" w:hAnsi="宋体"/>
        </w:rPr>
        <w:t>具体公示期限在供应商须知前附表约定。</w:t>
      </w:r>
      <w:r>
        <w:rPr>
          <w:rFonts w:ascii="宋体" w:hAnsi="宋体"/>
        </w:rPr>
        <w:t>公示信息包括候选入围供应商名称等内容。</w:t>
      </w:r>
    </w:p>
    <w:p w14:paraId="1E7622FF">
      <w:pPr>
        <w:widowControl/>
        <w:spacing w:before="100" w:beforeAutospacing="1" w:after="100" w:afterAutospacing="1" w:line="400" w:lineRule="exact"/>
        <w:ind w:left="2" w:leftChars="1"/>
        <w:jc w:val="left"/>
        <w:outlineLvl w:val="2"/>
        <w:rPr>
          <w:rFonts w:eastAsia="黑体"/>
          <w:sz w:val="24"/>
        </w:rPr>
      </w:pPr>
      <w:bookmarkStart w:id="260" w:name="_Toc149140228"/>
      <w:bookmarkStart w:id="261" w:name="_Hlk149123719"/>
      <w:r>
        <w:rPr>
          <w:rFonts w:eastAsia="黑体"/>
          <w:sz w:val="24"/>
        </w:rPr>
        <w:t>7.3 定标</w:t>
      </w:r>
      <w:bookmarkEnd w:id="260"/>
    </w:p>
    <w:bookmarkEnd w:id="261"/>
    <w:p w14:paraId="439F2EDC">
      <w:pPr>
        <w:spacing w:line="400" w:lineRule="exact"/>
        <w:ind w:firstLine="420"/>
        <w:rPr>
          <w:rFonts w:ascii="宋体" w:hAnsi="宋体"/>
          <w:szCs w:val="21"/>
        </w:rPr>
      </w:pPr>
      <w:bookmarkStart w:id="262" w:name="_Hlk149123726"/>
      <w:r>
        <w:rPr>
          <w:rFonts w:ascii="宋体" w:hAnsi="宋体"/>
          <w:szCs w:val="21"/>
        </w:rPr>
        <w:t>按照供应商须知前附表的规定，采购人或采购人授权的评审小组确定成交供应商。采购人应按供应商须知前附表规定的定标原则确定成交供应商。</w:t>
      </w:r>
    </w:p>
    <w:bookmarkEnd w:id="259"/>
    <w:bookmarkEnd w:id="262"/>
    <w:p w14:paraId="14D2914E">
      <w:pPr>
        <w:widowControl/>
        <w:spacing w:before="100" w:beforeAutospacing="1" w:after="100" w:afterAutospacing="1" w:line="400" w:lineRule="exact"/>
        <w:ind w:left="2" w:leftChars="1"/>
        <w:jc w:val="left"/>
        <w:outlineLvl w:val="2"/>
        <w:rPr>
          <w:rFonts w:eastAsia="黑体"/>
          <w:sz w:val="24"/>
        </w:rPr>
      </w:pPr>
      <w:bookmarkStart w:id="263" w:name="_Toc149140229"/>
      <w:bookmarkStart w:id="264" w:name="_Toc143102172"/>
      <w:r>
        <w:rPr>
          <w:rFonts w:eastAsia="黑体"/>
          <w:sz w:val="24"/>
        </w:rPr>
        <w:t>7.4 确定入围供应商</w:t>
      </w:r>
      <w:bookmarkEnd w:id="263"/>
      <w:bookmarkEnd w:id="264"/>
    </w:p>
    <w:p w14:paraId="01335016">
      <w:pPr>
        <w:spacing w:line="400" w:lineRule="exact"/>
        <w:ind w:firstLine="420" w:firstLineChars="200"/>
        <w:rPr>
          <w:rFonts w:ascii="宋体" w:hAnsi="宋体"/>
        </w:rPr>
      </w:pPr>
      <w:bookmarkStart w:id="265" w:name="_Hlk137489759"/>
      <w:r>
        <w:rPr>
          <w:rFonts w:ascii="宋体" w:hAnsi="宋体"/>
        </w:rPr>
        <w:t>采购人将根据评审报告及核查结果（如有），对候选入围供应商综合评估后确定入围供应商。</w:t>
      </w:r>
    </w:p>
    <w:p w14:paraId="5FB8D44C">
      <w:pPr>
        <w:widowControl/>
        <w:spacing w:before="100" w:beforeAutospacing="1" w:after="100" w:afterAutospacing="1" w:line="400" w:lineRule="exact"/>
        <w:jc w:val="left"/>
        <w:outlineLvl w:val="2"/>
        <w:rPr>
          <w:rFonts w:ascii="宋体" w:hAnsi="宋体"/>
          <w:sz w:val="24"/>
        </w:rPr>
      </w:pPr>
      <w:bookmarkStart w:id="266" w:name="_Toc149140230"/>
      <w:r>
        <w:rPr>
          <w:sz w:val="24"/>
        </w:rPr>
        <w:t>7</w:t>
      </w:r>
      <w:r>
        <w:rPr>
          <w:rFonts w:ascii="宋体" w:hAnsi="宋体"/>
          <w:sz w:val="24"/>
        </w:rPr>
        <w:t>.</w:t>
      </w:r>
      <w:r>
        <w:rPr>
          <w:sz w:val="24"/>
        </w:rPr>
        <w:t>5</w:t>
      </w:r>
      <w:r>
        <w:rPr>
          <w:rFonts w:ascii="宋体" w:hAnsi="宋体"/>
          <w:sz w:val="24"/>
        </w:rPr>
        <w:t xml:space="preserve"> 发布入围供应商公告</w:t>
      </w:r>
      <w:bookmarkEnd w:id="266"/>
    </w:p>
    <w:p w14:paraId="3D886BEB">
      <w:pPr>
        <w:spacing w:line="400" w:lineRule="exact"/>
        <w:ind w:firstLine="420" w:firstLineChars="200"/>
        <w:rPr>
          <w:rFonts w:ascii="宋体" w:hAnsi="宋体"/>
        </w:rPr>
      </w:pPr>
      <w:r>
        <w:rPr>
          <w:rFonts w:ascii="宋体" w:hAnsi="宋体"/>
        </w:rPr>
        <w:t>采购人将在“河北交投招标与采购服务平台”发布成交（入围）结果公告，公告信息为入围供应商名称。</w:t>
      </w:r>
    </w:p>
    <w:bookmarkEnd w:id="265"/>
    <w:p w14:paraId="4FFF1625">
      <w:pPr>
        <w:widowControl/>
        <w:spacing w:before="100" w:beforeAutospacing="1" w:after="100" w:afterAutospacing="1" w:line="400" w:lineRule="exact"/>
        <w:ind w:left="2" w:leftChars="1"/>
        <w:jc w:val="left"/>
        <w:outlineLvl w:val="2"/>
        <w:rPr>
          <w:rFonts w:eastAsia="黑体"/>
          <w:sz w:val="24"/>
        </w:rPr>
      </w:pPr>
      <w:bookmarkStart w:id="267" w:name="_Toc143102173"/>
      <w:bookmarkStart w:id="268" w:name="_Toc149140231"/>
      <w:r>
        <w:rPr>
          <w:rFonts w:eastAsia="黑体"/>
          <w:sz w:val="24"/>
        </w:rPr>
        <w:t>7.6 发出成交（入围）通知书</w:t>
      </w:r>
      <w:bookmarkEnd w:id="267"/>
      <w:bookmarkEnd w:id="268"/>
    </w:p>
    <w:p w14:paraId="2EA7A34C">
      <w:pPr>
        <w:spacing w:line="400" w:lineRule="exact"/>
        <w:ind w:firstLine="420" w:firstLineChars="200"/>
        <w:rPr>
          <w:rFonts w:ascii="宋体" w:hAnsi="宋体"/>
        </w:rPr>
      </w:pPr>
      <w:bookmarkStart w:id="269" w:name="_Hlk148516436"/>
      <w:bookmarkStart w:id="270" w:name="_Hlk148516676"/>
      <w:bookmarkStart w:id="271" w:name="_Hlk137489790"/>
      <w:r>
        <w:rPr>
          <w:rFonts w:ascii="宋体" w:hAnsi="宋体"/>
        </w:rPr>
        <w:t>发布成交供应商公告后</w:t>
      </w:r>
      <w:bookmarkEnd w:id="269"/>
      <w:r>
        <w:rPr>
          <w:rFonts w:ascii="宋体" w:hAnsi="宋体"/>
        </w:rPr>
        <w:t>，</w:t>
      </w:r>
      <w:bookmarkEnd w:id="270"/>
      <w:r>
        <w:rPr>
          <w:rFonts w:ascii="宋体" w:hAnsi="宋体"/>
        </w:rPr>
        <w:t>在本章第</w:t>
      </w:r>
      <w:r>
        <w:t>3</w:t>
      </w:r>
      <w:r>
        <w:rPr>
          <w:rFonts w:ascii="宋体" w:hAnsi="宋体"/>
        </w:rPr>
        <w:t>.</w:t>
      </w:r>
      <w:r>
        <w:t>3</w:t>
      </w:r>
      <w:r>
        <w:rPr>
          <w:rFonts w:ascii="宋体" w:hAnsi="宋体"/>
        </w:rPr>
        <w:t>款规定的响应文件有效期内，采购人向入围供应商发出</w:t>
      </w:r>
      <w:r>
        <w:rPr>
          <w:rFonts w:ascii="宋体" w:hAnsi="宋体"/>
          <w:bCs/>
        </w:rPr>
        <w:t>成交（入围）通</w:t>
      </w:r>
      <w:r>
        <w:rPr>
          <w:rFonts w:ascii="宋体" w:hAnsi="宋体"/>
        </w:rPr>
        <w:t>知书。</w:t>
      </w:r>
    </w:p>
    <w:bookmarkEnd w:id="271"/>
    <w:p w14:paraId="0F936879">
      <w:pPr>
        <w:widowControl/>
        <w:spacing w:before="100" w:beforeAutospacing="1" w:after="100" w:afterAutospacing="1" w:line="400" w:lineRule="exact"/>
        <w:ind w:left="2" w:leftChars="1"/>
        <w:jc w:val="left"/>
        <w:outlineLvl w:val="2"/>
        <w:rPr>
          <w:rFonts w:eastAsia="黑体"/>
          <w:sz w:val="24"/>
        </w:rPr>
      </w:pPr>
      <w:bookmarkStart w:id="272" w:name="_Toc149140232"/>
      <w:bookmarkStart w:id="273" w:name="_Toc143102175"/>
      <w:r>
        <w:rPr>
          <w:rFonts w:eastAsia="黑体"/>
          <w:sz w:val="24"/>
        </w:rPr>
        <w:t>7.7 履约保证金</w:t>
      </w:r>
      <w:bookmarkEnd w:id="272"/>
      <w:bookmarkEnd w:id="273"/>
    </w:p>
    <w:p w14:paraId="176DE066">
      <w:pPr>
        <w:pStyle w:val="108"/>
        <w:rPr>
          <w:rFonts w:ascii="宋体" w:hAnsi="宋体" w:eastAsia="宋体"/>
        </w:rPr>
      </w:pPr>
      <w:bookmarkStart w:id="274" w:name="_Hlk137489884"/>
      <w:r>
        <w:rPr>
          <w:rFonts w:ascii="宋体" w:hAnsi="宋体" w:eastAsia="宋体"/>
        </w:rPr>
        <w:t>成交供应商应按供应商须知前附表规定的金额、形式、有效期限和递交时间向采购人递交履约保证金。</w:t>
      </w:r>
    </w:p>
    <w:bookmarkEnd w:id="274"/>
    <w:p w14:paraId="13A174A4">
      <w:pPr>
        <w:widowControl/>
        <w:spacing w:before="100" w:beforeAutospacing="1" w:after="100" w:afterAutospacing="1" w:line="400" w:lineRule="exact"/>
        <w:ind w:left="2" w:leftChars="1"/>
        <w:jc w:val="left"/>
        <w:outlineLvl w:val="2"/>
        <w:rPr>
          <w:rFonts w:eastAsia="黑体"/>
          <w:sz w:val="24"/>
        </w:rPr>
      </w:pPr>
      <w:bookmarkStart w:id="275" w:name="_Toc143102176"/>
      <w:bookmarkStart w:id="276" w:name="_Toc149140233"/>
      <w:r>
        <w:rPr>
          <w:rFonts w:eastAsia="黑体"/>
          <w:sz w:val="24"/>
        </w:rPr>
        <w:t>7.8 签订框架协议</w:t>
      </w:r>
      <w:bookmarkEnd w:id="275"/>
      <w:bookmarkEnd w:id="276"/>
    </w:p>
    <w:p w14:paraId="59B21982">
      <w:pPr>
        <w:spacing w:line="400" w:lineRule="exact"/>
        <w:ind w:firstLine="420" w:firstLineChars="200"/>
        <w:rPr>
          <w:rFonts w:ascii="宋体" w:hAnsi="宋体"/>
          <w:szCs w:val="21"/>
        </w:rPr>
      </w:pPr>
      <w:r>
        <w:t>7</w:t>
      </w:r>
      <w:r>
        <w:rPr>
          <w:rFonts w:ascii="宋体" w:hAnsi="宋体"/>
        </w:rPr>
        <w:t>.</w:t>
      </w:r>
      <w:r>
        <w:t>8</w:t>
      </w:r>
      <w:r>
        <w:rPr>
          <w:rFonts w:ascii="宋体" w:hAnsi="宋体"/>
        </w:rPr>
        <w:t>.</w:t>
      </w:r>
      <w:r>
        <w:t>1</w:t>
      </w:r>
      <w:bookmarkStart w:id="277" w:name="_Hlk137489919"/>
      <w:r>
        <w:rPr>
          <w:rFonts w:ascii="宋体" w:hAnsi="宋体"/>
        </w:rPr>
        <w:t>采购人和入围供应商应当在成交（入围）通知书发出后</w:t>
      </w:r>
      <w:r>
        <w:t>30</w:t>
      </w:r>
      <w:r>
        <w:rPr>
          <w:rFonts w:ascii="宋体" w:hAnsi="宋体"/>
        </w:rPr>
        <w:t>日内，根据采购文件和入围供应商</w:t>
      </w:r>
      <w:r>
        <w:rPr>
          <w:rFonts w:ascii="宋体" w:hAnsi="宋体"/>
          <w:szCs w:val="21"/>
        </w:rPr>
        <w:t>的响应文件订立电子框架协议，入围供应商无正当理由拒绝签订框架协议，在签订框架协议时向采购人提出附加条件，或者不按照采购文件要求递交履约保证金的，采购人取消其成交资格，其响应保证金不予退还；给采购人造成的损失超过响应保证金数额的，入围供应商还应当对超过部分予以赔偿。</w:t>
      </w:r>
      <w:bookmarkEnd w:id="277"/>
    </w:p>
    <w:p w14:paraId="59894281">
      <w:pPr>
        <w:spacing w:line="400" w:lineRule="exact"/>
        <w:ind w:firstLine="420" w:firstLineChars="200"/>
        <w:rPr>
          <w:rFonts w:ascii="宋体" w:hAnsi="宋体"/>
          <w:szCs w:val="21"/>
        </w:rPr>
      </w:pPr>
      <w:r>
        <w:rPr>
          <w:szCs w:val="21"/>
        </w:rPr>
        <w:t>7</w:t>
      </w:r>
      <w:r>
        <w:rPr>
          <w:rFonts w:ascii="宋体" w:hAnsi="宋体"/>
          <w:szCs w:val="21"/>
        </w:rPr>
        <w:t>.</w:t>
      </w:r>
      <w:r>
        <w:rPr>
          <w:szCs w:val="21"/>
        </w:rPr>
        <w:t>8</w:t>
      </w:r>
      <w:r>
        <w:rPr>
          <w:rFonts w:ascii="宋体" w:hAnsi="宋体"/>
          <w:szCs w:val="21"/>
        </w:rPr>
        <w:t>.</w:t>
      </w:r>
      <w:r>
        <w:rPr>
          <w:szCs w:val="21"/>
        </w:rPr>
        <w:t>2</w:t>
      </w:r>
      <w:bookmarkStart w:id="278" w:name="_Hlk137489937"/>
      <w:r>
        <w:rPr>
          <w:rFonts w:ascii="宋体" w:hAnsi="宋体"/>
          <w:szCs w:val="21"/>
        </w:rPr>
        <w:t>发出成交（入围）通知书后，采购人无正当理由拒绝签订框架协议，或者在签订框架协议时向入围供应商提出附加条件的，采购人向入围供应商退还响应保证金；给入围供应商造成损失的，还应当赔偿损失。</w:t>
      </w:r>
      <w:bookmarkEnd w:id="278"/>
    </w:p>
    <w:p w14:paraId="73BA00DC">
      <w:pPr>
        <w:spacing w:line="400" w:lineRule="exact"/>
        <w:ind w:firstLine="420" w:firstLineChars="200"/>
        <w:rPr>
          <w:rFonts w:ascii="宋体" w:hAnsi="宋体"/>
        </w:rPr>
      </w:pPr>
      <w:r>
        <w:rPr>
          <w:szCs w:val="21"/>
        </w:rPr>
        <w:t>7</w:t>
      </w:r>
      <w:r>
        <w:rPr>
          <w:rFonts w:ascii="宋体" w:hAnsi="宋体"/>
          <w:szCs w:val="21"/>
        </w:rPr>
        <w:t>.</w:t>
      </w:r>
      <w:r>
        <w:rPr>
          <w:szCs w:val="21"/>
        </w:rPr>
        <w:t>8</w:t>
      </w:r>
      <w:r>
        <w:rPr>
          <w:rFonts w:ascii="宋体" w:hAnsi="宋体"/>
          <w:szCs w:val="21"/>
        </w:rPr>
        <w:t>.</w:t>
      </w:r>
      <w:r>
        <w:rPr>
          <w:szCs w:val="21"/>
        </w:rPr>
        <w:t>3</w:t>
      </w:r>
      <w:r>
        <w:rPr>
          <w:rFonts w:ascii="宋体" w:hAnsi="宋体"/>
          <w:szCs w:val="21"/>
        </w:rPr>
        <w:t xml:space="preserve"> 联合体成交的，联合体各方应当共同与采购人签订框架协议，</w:t>
      </w:r>
      <w:r>
        <w:rPr>
          <w:rFonts w:ascii="宋体" w:hAnsi="宋体"/>
        </w:rPr>
        <w:t>就成交项目向采购人承担连带责任。</w:t>
      </w:r>
    </w:p>
    <w:p w14:paraId="782AFA28">
      <w:pPr>
        <w:spacing w:line="400" w:lineRule="exact"/>
        <w:ind w:firstLine="420" w:firstLineChars="200"/>
        <w:rPr>
          <w:rFonts w:ascii="宋体" w:hAnsi="宋体"/>
        </w:rPr>
      </w:pPr>
      <w:r>
        <w:t>7</w:t>
      </w:r>
      <w:r>
        <w:rPr>
          <w:rFonts w:ascii="宋体" w:hAnsi="宋体"/>
        </w:rPr>
        <w:t>.</w:t>
      </w:r>
      <w:r>
        <w:t>8</w:t>
      </w:r>
      <w:r>
        <w:rPr>
          <w:rFonts w:ascii="宋体" w:hAnsi="宋体"/>
        </w:rPr>
        <w:t>.</w:t>
      </w:r>
      <w:r>
        <w:t>4</w:t>
      </w:r>
      <w:r>
        <w:rPr>
          <w:rFonts w:ascii="宋体" w:hAnsi="宋体"/>
        </w:rPr>
        <w:t xml:space="preserve"> 除供应商须知前附表另有规定外，按照第三章“评审办法”第</w:t>
      </w:r>
      <w:r>
        <w:t>2</w:t>
      </w:r>
      <w:r>
        <w:rPr>
          <w:rFonts w:ascii="宋体" w:hAnsi="宋体"/>
        </w:rPr>
        <w:t>.</w:t>
      </w:r>
      <w:r>
        <w:t>2</w:t>
      </w:r>
      <w:r>
        <w:rPr>
          <w:rFonts w:ascii="宋体" w:hAnsi="宋体"/>
        </w:rPr>
        <w:t>.</w:t>
      </w:r>
      <w:r>
        <w:t>3</w:t>
      </w:r>
      <w:r>
        <w:rPr>
          <w:rFonts w:ascii="宋体" w:hAnsi="宋体"/>
        </w:rPr>
        <w:t>项规定对响应报价进行修正后，若修正后的响应报价小于按照第三章“评审办法”第</w:t>
      </w:r>
      <w:r>
        <w:t>2</w:t>
      </w:r>
      <w:r>
        <w:rPr>
          <w:rFonts w:ascii="宋体" w:hAnsi="宋体"/>
        </w:rPr>
        <w:t>.</w:t>
      </w:r>
      <w:r>
        <w:t>2</w:t>
      </w:r>
      <w:r>
        <w:rPr>
          <w:rFonts w:ascii="宋体" w:hAnsi="宋体"/>
        </w:rPr>
        <w:t>.</w:t>
      </w:r>
      <w:r>
        <w:t>2</w:t>
      </w:r>
      <w:r>
        <w:rPr>
          <w:rFonts w:ascii="宋体" w:hAnsi="宋体"/>
        </w:rPr>
        <w:t>项规定确定的评审价格，则签订框架协议时以修正后的响应报价为准；若修正后的响应报价大于评审价格，则签订框架协议时以评审价格为准，同时按比例修正相应子目的单价或合价（采购文件不允许调整的费率和金额除外）。</w:t>
      </w:r>
    </w:p>
    <w:p w14:paraId="68251ED6">
      <w:pPr>
        <w:widowControl/>
        <w:spacing w:before="100" w:beforeAutospacing="1" w:after="100" w:afterAutospacing="1" w:line="400" w:lineRule="exact"/>
        <w:ind w:left="2" w:leftChars="1"/>
        <w:jc w:val="left"/>
        <w:outlineLvl w:val="2"/>
        <w:rPr>
          <w:rFonts w:eastAsia="黑体"/>
          <w:sz w:val="24"/>
        </w:rPr>
      </w:pPr>
      <w:bookmarkStart w:id="279" w:name="_Toc143102177"/>
      <w:bookmarkStart w:id="280" w:name="_Toc149140234"/>
      <w:r>
        <w:rPr>
          <w:rFonts w:eastAsia="黑体"/>
          <w:sz w:val="24"/>
        </w:rPr>
        <w:t>7.9 特殊情形处理</w:t>
      </w:r>
      <w:bookmarkEnd w:id="279"/>
      <w:bookmarkEnd w:id="280"/>
    </w:p>
    <w:p w14:paraId="636CF6CC">
      <w:pPr>
        <w:spacing w:line="400" w:lineRule="exact"/>
        <w:ind w:firstLine="420" w:firstLineChars="200"/>
        <w:rPr>
          <w:rFonts w:ascii="宋体" w:hAnsi="宋体"/>
        </w:rPr>
      </w:pPr>
      <w:bookmarkStart w:id="281" w:name="_Hlk137490009"/>
      <w:r>
        <w:rPr>
          <w:rFonts w:ascii="宋体" w:hAnsi="宋体"/>
        </w:rPr>
        <w:t>因供应商对成交（入围）结果提出异议、入围供应商无正当理由拒绝签订框架协议、入围供应商在签订框架协议时向采购人提出附加条件或者不按照采购文件要求递交履约保证金等导致采购人变更成交结果的，采购人应按照本条规定的程序取消入围供应商入选资格。</w:t>
      </w:r>
    </w:p>
    <w:bookmarkEnd w:id="281"/>
    <w:p w14:paraId="4174A2A8">
      <w:pPr>
        <w:keepNext/>
        <w:keepLines/>
        <w:widowControl/>
        <w:spacing w:before="260" w:after="260"/>
        <w:outlineLvl w:val="1"/>
        <w:rPr>
          <w:rFonts w:eastAsia="黑体"/>
          <w:b/>
          <w:sz w:val="28"/>
          <w:szCs w:val="18"/>
        </w:rPr>
      </w:pPr>
      <w:bookmarkStart w:id="282" w:name="_Toc149140235"/>
      <w:r>
        <w:rPr>
          <w:rFonts w:eastAsia="黑体"/>
          <w:b/>
          <w:sz w:val="28"/>
          <w:szCs w:val="18"/>
        </w:rPr>
        <w:t>8. 异议</w:t>
      </w:r>
      <w:bookmarkEnd w:id="282"/>
    </w:p>
    <w:p w14:paraId="0A656D19">
      <w:pPr>
        <w:widowControl/>
        <w:spacing w:before="100" w:beforeAutospacing="1" w:after="100" w:afterAutospacing="1" w:line="400" w:lineRule="exact"/>
        <w:ind w:left="2" w:leftChars="1"/>
        <w:jc w:val="left"/>
        <w:outlineLvl w:val="2"/>
        <w:rPr>
          <w:rFonts w:eastAsia="黑体"/>
          <w:sz w:val="24"/>
        </w:rPr>
      </w:pPr>
      <w:bookmarkStart w:id="283" w:name="_Toc143102179"/>
      <w:bookmarkStart w:id="284" w:name="_Toc149140236"/>
      <w:r>
        <w:rPr>
          <w:rFonts w:eastAsia="黑体"/>
          <w:sz w:val="24"/>
        </w:rPr>
        <w:t>8.1 提出异议</w:t>
      </w:r>
      <w:bookmarkEnd w:id="283"/>
      <w:bookmarkEnd w:id="284"/>
    </w:p>
    <w:p w14:paraId="036FEF67">
      <w:pPr>
        <w:spacing w:line="400" w:lineRule="exact"/>
        <w:ind w:firstLine="420" w:firstLineChars="200"/>
        <w:rPr>
          <w:rFonts w:ascii="宋体" w:hAnsi="宋体"/>
        </w:rPr>
      </w:pPr>
      <w:bookmarkStart w:id="285" w:name="_Toc19422"/>
      <w:bookmarkStart w:id="286" w:name="_Hlk137490038"/>
      <w:r>
        <w:rPr>
          <w:rFonts w:ascii="宋体" w:hAnsi="宋体"/>
        </w:rPr>
        <w:t>供应商</w:t>
      </w:r>
      <w:bookmarkEnd w:id="285"/>
      <w:r>
        <w:rPr>
          <w:rFonts w:ascii="宋体" w:hAnsi="宋体"/>
        </w:rPr>
        <w:t>认为采购活动中存在不合法或违反民事活动中平等自愿、公平诚信原则情形的，可以按照本款规定的时间和要求提出异议：</w:t>
      </w:r>
    </w:p>
    <w:p w14:paraId="4ED5E6B9">
      <w:pPr>
        <w:spacing w:line="400" w:lineRule="exact"/>
        <w:ind w:firstLine="420" w:firstLineChars="200"/>
        <w:rPr>
          <w:rFonts w:ascii="宋体" w:hAnsi="宋体"/>
        </w:rPr>
      </w:pPr>
      <w:r>
        <w:rPr>
          <w:rFonts w:ascii="宋体" w:hAnsi="宋体"/>
        </w:rPr>
        <w:t>（</w:t>
      </w:r>
      <w:r>
        <w:t>1</w:t>
      </w:r>
      <w:r>
        <w:rPr>
          <w:rFonts w:ascii="宋体" w:hAnsi="宋体"/>
        </w:rPr>
        <w:t>）对采购文件的异议，应根据供应商须知前附表的规定时间提出；</w:t>
      </w:r>
    </w:p>
    <w:p w14:paraId="4A07AF73">
      <w:pPr>
        <w:spacing w:line="400" w:lineRule="exact"/>
        <w:ind w:firstLine="420" w:firstLineChars="200"/>
        <w:rPr>
          <w:rFonts w:ascii="宋体" w:hAnsi="宋体"/>
        </w:rPr>
      </w:pPr>
      <w:r>
        <w:rPr>
          <w:rFonts w:ascii="宋体" w:hAnsi="宋体"/>
        </w:rPr>
        <w:t>（</w:t>
      </w:r>
      <w:r>
        <w:t>2</w:t>
      </w:r>
      <w:r>
        <w:rPr>
          <w:rFonts w:ascii="宋体" w:hAnsi="宋体"/>
        </w:rPr>
        <w:t>）对开启过程有异议的，应当在解密完成后在“河北交投招标与采购服务平台-开标大厅”的“异议”菜单中在线提出。</w:t>
      </w:r>
      <w:bookmarkStart w:id="287" w:name="_Hlk148687911"/>
      <w:r>
        <w:rPr>
          <w:rFonts w:ascii="宋体" w:hAnsi="宋体"/>
        </w:rPr>
        <w:t>异议提出程序为：</w:t>
      </w:r>
      <w:bookmarkEnd w:id="287"/>
      <w:r>
        <w:rPr>
          <w:rFonts w:ascii="宋体" w:hAnsi="宋体"/>
        </w:rPr>
        <w:t>采购人发起异议征询，所有供应商对开启情况进行确认，供应商在</w:t>
      </w:r>
      <w:r>
        <w:t>60s</w:t>
      </w:r>
      <w:r>
        <w:rPr>
          <w:rFonts w:ascii="宋体" w:hAnsi="宋体"/>
        </w:rPr>
        <w:t>内确认是否有异议，确认有异议后可以发起异议。若</w:t>
      </w:r>
      <w:r>
        <w:t>60s</w:t>
      </w:r>
      <w:r>
        <w:rPr>
          <w:rFonts w:ascii="宋体" w:hAnsi="宋体"/>
        </w:rPr>
        <w:t>未明确表示有无异议的，截止时间到时，将默认为无异议，不能发起异议。采购人可根据实际情况再次确认供应商有无异议，所有供应商均无异议后，采购人将结束异议环节。</w:t>
      </w:r>
    </w:p>
    <w:p w14:paraId="1D1EC004">
      <w:pPr>
        <w:pStyle w:val="154"/>
        <w:ind w:firstLine="420"/>
        <w:rPr>
          <w:rFonts w:ascii="宋体" w:hAnsi="宋体" w:eastAsia="宋体"/>
        </w:rPr>
      </w:pPr>
      <w:r>
        <w:rPr>
          <w:rFonts w:ascii="宋体" w:hAnsi="宋体" w:eastAsia="宋体"/>
        </w:rPr>
        <w:t>（</w:t>
      </w:r>
      <w:r>
        <w:rPr>
          <w:rFonts w:eastAsia="宋体"/>
        </w:rPr>
        <w:t>3</w:t>
      </w:r>
      <w:r>
        <w:rPr>
          <w:rFonts w:ascii="宋体" w:hAnsi="宋体" w:eastAsia="宋体"/>
        </w:rPr>
        <w:t>）对评审结果的异议，应当在</w:t>
      </w:r>
      <w:r>
        <w:rPr>
          <w:rFonts w:hint="eastAsia" w:ascii="宋体" w:hAnsi="宋体" w:eastAsia="宋体"/>
        </w:rPr>
        <w:t>候选</w:t>
      </w:r>
      <w:r>
        <w:rPr>
          <w:rFonts w:ascii="宋体" w:hAnsi="宋体" w:eastAsia="宋体"/>
        </w:rPr>
        <w:t>成交供应商公示期间提出。</w:t>
      </w:r>
    </w:p>
    <w:p w14:paraId="1AAFC962">
      <w:pPr>
        <w:spacing w:line="400" w:lineRule="exact"/>
        <w:ind w:firstLine="420" w:firstLineChars="200"/>
        <w:rPr>
          <w:rFonts w:ascii="宋体" w:hAnsi="宋体"/>
        </w:rPr>
      </w:pPr>
      <w:r>
        <w:rPr>
          <w:rFonts w:ascii="宋体" w:hAnsi="宋体"/>
        </w:rPr>
        <w:t>除对开启过程的异议外，供应商提出异议应在“河北交投招标与采购服务平台-我的项目-项目流程”中点击“异议”按钮，递交加盖单位电子印章的异议函和必要的证明材料。异议函包括但不限于下列内容：</w:t>
      </w:r>
    </w:p>
    <w:bookmarkEnd w:id="286"/>
    <w:p w14:paraId="3F12632B">
      <w:pPr>
        <w:pStyle w:val="154"/>
        <w:ind w:firstLine="420"/>
        <w:rPr>
          <w:rFonts w:ascii="宋体" w:hAnsi="宋体" w:eastAsia="宋体"/>
        </w:rPr>
      </w:pPr>
      <w:r>
        <w:rPr>
          <w:rFonts w:ascii="宋体" w:hAnsi="宋体" w:eastAsia="宋体"/>
        </w:rPr>
        <w:t>（</w:t>
      </w:r>
      <w:r>
        <w:rPr>
          <w:rFonts w:eastAsia="宋体"/>
        </w:rPr>
        <w:t>1</w:t>
      </w:r>
      <w:r>
        <w:rPr>
          <w:rFonts w:ascii="宋体" w:hAnsi="宋体" w:eastAsia="宋体"/>
        </w:rPr>
        <w:t>）异议人名称、联系人及联系电话；</w:t>
      </w:r>
    </w:p>
    <w:p w14:paraId="01A79E64">
      <w:pPr>
        <w:spacing w:line="400" w:lineRule="exact"/>
        <w:ind w:firstLine="420" w:firstLineChars="200"/>
        <w:rPr>
          <w:rFonts w:ascii="宋体" w:hAnsi="宋体"/>
        </w:rPr>
      </w:pPr>
      <w:r>
        <w:rPr>
          <w:rFonts w:ascii="宋体" w:hAnsi="宋体"/>
        </w:rPr>
        <w:t>（</w:t>
      </w:r>
      <w:r>
        <w:t>2</w:t>
      </w:r>
      <w:r>
        <w:rPr>
          <w:rFonts w:ascii="宋体" w:hAnsi="宋体"/>
        </w:rPr>
        <w:t>）具体明确的异议事项、事实依据及与异议事项相关的请求。</w:t>
      </w:r>
    </w:p>
    <w:p w14:paraId="7BCF5D5C">
      <w:pPr>
        <w:widowControl/>
        <w:spacing w:before="100" w:beforeAutospacing="1" w:after="100" w:afterAutospacing="1" w:line="400" w:lineRule="exact"/>
        <w:ind w:left="2" w:leftChars="1"/>
        <w:jc w:val="left"/>
        <w:outlineLvl w:val="2"/>
        <w:rPr>
          <w:rFonts w:eastAsia="黑体"/>
          <w:sz w:val="24"/>
        </w:rPr>
      </w:pPr>
      <w:bookmarkStart w:id="288" w:name="_Toc149140237"/>
      <w:bookmarkStart w:id="289" w:name="_Toc143102180"/>
      <w:r>
        <w:rPr>
          <w:rFonts w:eastAsia="黑体"/>
          <w:sz w:val="24"/>
        </w:rPr>
        <w:t>8.2 异议处理</w:t>
      </w:r>
      <w:bookmarkEnd w:id="288"/>
      <w:bookmarkEnd w:id="289"/>
    </w:p>
    <w:p w14:paraId="21D8BCA2">
      <w:pPr>
        <w:spacing w:line="400" w:lineRule="exact"/>
        <w:ind w:firstLine="420" w:firstLineChars="200"/>
        <w:rPr>
          <w:rFonts w:ascii="宋体" w:hAnsi="宋体"/>
        </w:rPr>
      </w:pPr>
      <w:bookmarkStart w:id="290" w:name="_Hlk137490076"/>
      <w:r>
        <w:rPr>
          <w:rFonts w:ascii="宋体" w:hAnsi="宋体"/>
        </w:rPr>
        <w:t>采购人</w:t>
      </w:r>
      <w:r>
        <w:rPr>
          <w:rFonts w:hint="eastAsia" w:ascii="宋体" w:hAnsi="宋体"/>
        </w:rPr>
        <w:t>或代理机构</w:t>
      </w:r>
      <w:r>
        <w:rPr>
          <w:rFonts w:ascii="宋体" w:hAnsi="宋体"/>
        </w:rPr>
        <w:t>将针对异议事项进行核查，经过核查，发现异议人对相关问题理解有误的，应作出解释；发现采购活动中确实存在错误或不当行为的，应及时予以改正或补救。</w:t>
      </w:r>
    </w:p>
    <w:p w14:paraId="0E3188D0">
      <w:pPr>
        <w:spacing w:line="400" w:lineRule="exact"/>
        <w:ind w:firstLine="420"/>
        <w:rPr>
          <w:rFonts w:ascii="宋体" w:hAnsi="宋体"/>
          <w:szCs w:val="21"/>
        </w:rPr>
      </w:pPr>
      <w:r>
        <w:rPr>
          <w:rFonts w:ascii="宋体" w:hAnsi="宋体"/>
          <w:szCs w:val="21"/>
        </w:rPr>
        <w:t>供应商或其他利害关系人对采购文件有异议的，</w:t>
      </w:r>
      <w:r>
        <w:rPr>
          <w:rFonts w:ascii="宋体" w:hAnsi="宋体"/>
        </w:rPr>
        <w:t>采购人</w:t>
      </w:r>
      <w:r>
        <w:rPr>
          <w:rFonts w:hint="eastAsia" w:ascii="宋体" w:hAnsi="宋体"/>
        </w:rPr>
        <w:t>或代理机构</w:t>
      </w:r>
      <w:r>
        <w:rPr>
          <w:rFonts w:ascii="宋体" w:hAnsi="宋体"/>
          <w:szCs w:val="21"/>
        </w:rPr>
        <w:t>将在收到异议之日起</w:t>
      </w:r>
      <w:r>
        <w:rPr>
          <w:szCs w:val="21"/>
        </w:rPr>
        <w:t>3</w:t>
      </w:r>
      <w:r>
        <w:rPr>
          <w:rFonts w:ascii="宋体" w:hAnsi="宋体"/>
          <w:szCs w:val="21"/>
        </w:rPr>
        <w:t>日内在“异议与答复”菜单作出答复；作出答复前，将暂停采购活动。</w:t>
      </w:r>
    </w:p>
    <w:p w14:paraId="5E97DE30">
      <w:pPr>
        <w:spacing w:line="400" w:lineRule="exact"/>
        <w:ind w:firstLine="420"/>
        <w:rPr>
          <w:rFonts w:ascii="宋体" w:hAnsi="宋体"/>
          <w:szCs w:val="21"/>
        </w:rPr>
      </w:pPr>
      <w:r>
        <w:rPr>
          <w:rFonts w:hint="eastAsia" w:ascii="宋体" w:hAnsi="宋体"/>
          <w:szCs w:val="21"/>
        </w:rPr>
        <w:t>供应商</w:t>
      </w:r>
      <w:r>
        <w:rPr>
          <w:rFonts w:ascii="宋体" w:hAnsi="宋体"/>
          <w:szCs w:val="21"/>
        </w:rPr>
        <w:t>对开启有异议的，采购人在线作出公开答复，“河北交投招标与采购服务平台-开标大厅”自动记录。</w:t>
      </w:r>
    </w:p>
    <w:p w14:paraId="5B32ABDE">
      <w:pPr>
        <w:spacing w:line="400" w:lineRule="exact"/>
        <w:ind w:firstLine="420"/>
        <w:rPr>
          <w:rFonts w:ascii="宋体" w:hAnsi="宋体"/>
          <w:szCs w:val="21"/>
        </w:rPr>
      </w:pPr>
      <w:r>
        <w:rPr>
          <w:rFonts w:ascii="宋体" w:hAnsi="宋体"/>
          <w:szCs w:val="21"/>
        </w:rPr>
        <w:t>供应商或其他利害关系人对评审结果有异议的，</w:t>
      </w:r>
      <w:r>
        <w:rPr>
          <w:rFonts w:ascii="宋体" w:hAnsi="宋体"/>
        </w:rPr>
        <w:t>采购人</w:t>
      </w:r>
      <w:r>
        <w:rPr>
          <w:rFonts w:hint="eastAsia" w:ascii="宋体" w:hAnsi="宋体"/>
        </w:rPr>
        <w:t>或代理机构</w:t>
      </w:r>
      <w:r>
        <w:rPr>
          <w:rFonts w:ascii="宋体" w:hAnsi="宋体"/>
          <w:szCs w:val="21"/>
        </w:rPr>
        <w:t>将在收到异议之日起</w:t>
      </w:r>
      <w:r>
        <w:rPr>
          <w:szCs w:val="21"/>
        </w:rPr>
        <w:t>3</w:t>
      </w:r>
      <w:r>
        <w:rPr>
          <w:rFonts w:ascii="宋体" w:hAnsi="宋体"/>
          <w:szCs w:val="21"/>
        </w:rPr>
        <w:t>日内通过“招采平台”“异议与答复”菜单作出答复；作出答复前，将暂停采购活动。</w:t>
      </w:r>
    </w:p>
    <w:p w14:paraId="58CDB8D3">
      <w:pPr>
        <w:spacing w:line="400" w:lineRule="exact"/>
        <w:ind w:firstLine="420" w:firstLineChars="200"/>
        <w:rPr>
          <w:rFonts w:ascii="宋体" w:hAnsi="宋体"/>
        </w:rPr>
      </w:pPr>
      <w:r>
        <w:rPr>
          <w:rFonts w:ascii="宋体" w:hAnsi="宋体"/>
        </w:rPr>
        <w:t>异议人与采购人对异议事项无法达成一致的，异议人可向供应商须知前附表规定的行业组织或专业咨询机构申请调解或进行反映。</w:t>
      </w:r>
    </w:p>
    <w:p w14:paraId="084CBD19">
      <w:pPr>
        <w:spacing w:line="400" w:lineRule="exact"/>
        <w:ind w:firstLine="420" w:firstLineChars="200"/>
        <w:rPr>
          <w:rFonts w:ascii="宋体" w:hAnsi="宋体"/>
        </w:rPr>
      </w:pPr>
      <w:r>
        <w:rPr>
          <w:rFonts w:ascii="宋体" w:hAnsi="宋体"/>
        </w:rPr>
        <w:t>采购人</w:t>
      </w:r>
      <w:r>
        <w:rPr>
          <w:rFonts w:hint="eastAsia" w:ascii="宋体" w:hAnsi="宋体"/>
        </w:rPr>
        <w:t>或代理机构</w:t>
      </w:r>
      <w:r>
        <w:rPr>
          <w:rFonts w:ascii="宋体" w:hAnsi="宋体"/>
        </w:rPr>
        <w:t>认为异议不成立或不影响采购结果的，可以继续进行采购活动。</w:t>
      </w:r>
    </w:p>
    <w:bookmarkEnd w:id="290"/>
    <w:p w14:paraId="77374D69">
      <w:pPr>
        <w:keepNext/>
        <w:keepLines/>
        <w:widowControl/>
        <w:spacing w:before="260" w:after="260"/>
        <w:outlineLvl w:val="1"/>
        <w:rPr>
          <w:rFonts w:eastAsia="黑体"/>
          <w:b/>
          <w:sz w:val="28"/>
          <w:szCs w:val="18"/>
        </w:rPr>
      </w:pPr>
      <w:bookmarkStart w:id="291" w:name="_Toc149140238"/>
      <w:r>
        <w:rPr>
          <w:rFonts w:eastAsia="黑体"/>
          <w:b/>
          <w:sz w:val="28"/>
          <w:szCs w:val="18"/>
        </w:rPr>
        <w:t>9. 纪律要求</w:t>
      </w:r>
      <w:bookmarkEnd w:id="291"/>
    </w:p>
    <w:p w14:paraId="0C023C90">
      <w:pPr>
        <w:widowControl/>
        <w:spacing w:before="100" w:beforeAutospacing="1" w:after="100" w:afterAutospacing="1" w:line="400" w:lineRule="exact"/>
        <w:ind w:left="2" w:leftChars="1"/>
        <w:jc w:val="left"/>
        <w:outlineLvl w:val="2"/>
        <w:rPr>
          <w:rFonts w:eastAsia="黑体"/>
          <w:sz w:val="24"/>
        </w:rPr>
      </w:pPr>
      <w:bookmarkStart w:id="292" w:name="_Toc149140239"/>
      <w:bookmarkStart w:id="293" w:name="_Toc143102182"/>
      <w:r>
        <w:rPr>
          <w:rFonts w:eastAsia="黑体"/>
          <w:sz w:val="24"/>
        </w:rPr>
        <w:t>9.1 对采购人的纪律要求</w:t>
      </w:r>
      <w:bookmarkEnd w:id="292"/>
      <w:bookmarkEnd w:id="293"/>
    </w:p>
    <w:p w14:paraId="474D6721">
      <w:pPr>
        <w:spacing w:line="400" w:lineRule="exact"/>
        <w:ind w:firstLine="420" w:firstLineChars="200"/>
        <w:rPr>
          <w:rFonts w:ascii="宋体" w:hAnsi="宋体"/>
        </w:rPr>
      </w:pPr>
      <w:r>
        <w:rPr>
          <w:rFonts w:ascii="宋体" w:hAnsi="宋体"/>
        </w:rPr>
        <w:t>采购人不得泄露采购活动中应当保密的情况和资料，不得与供应商串通损害国家利益、社会公共利益或者他人合法权益。</w:t>
      </w:r>
    </w:p>
    <w:p w14:paraId="35584DF1">
      <w:pPr>
        <w:widowControl/>
        <w:spacing w:before="100" w:beforeAutospacing="1" w:after="100" w:afterAutospacing="1" w:line="400" w:lineRule="exact"/>
        <w:ind w:left="2" w:leftChars="1"/>
        <w:jc w:val="left"/>
        <w:outlineLvl w:val="2"/>
        <w:rPr>
          <w:rFonts w:eastAsia="黑体"/>
          <w:sz w:val="24"/>
        </w:rPr>
      </w:pPr>
      <w:bookmarkStart w:id="294" w:name="_Toc143102183"/>
      <w:bookmarkStart w:id="295" w:name="_Toc149140240"/>
      <w:r>
        <w:rPr>
          <w:rFonts w:eastAsia="黑体"/>
          <w:sz w:val="24"/>
        </w:rPr>
        <w:t>9.2 对供应商的纪律要求</w:t>
      </w:r>
      <w:bookmarkEnd w:id="294"/>
      <w:bookmarkEnd w:id="295"/>
    </w:p>
    <w:p w14:paraId="14546DEA">
      <w:pPr>
        <w:spacing w:line="400" w:lineRule="exact"/>
        <w:ind w:firstLine="420" w:firstLineChars="200"/>
        <w:rPr>
          <w:rFonts w:ascii="宋体" w:hAnsi="宋体"/>
        </w:rPr>
      </w:pPr>
      <w:r>
        <w:rPr>
          <w:rFonts w:ascii="宋体" w:hAnsi="宋体"/>
        </w:rPr>
        <w:t>供应商不得相互串通或者与采购人串通，不得向采购人、评审小组成员</w:t>
      </w:r>
      <w:bookmarkStart w:id="296" w:name="_Hlk148687936"/>
      <w:r>
        <w:rPr>
          <w:rFonts w:ascii="宋体" w:hAnsi="宋体"/>
        </w:rPr>
        <w:t>、采购代理机构和电子采购交易平台的运营机构</w:t>
      </w:r>
      <w:bookmarkEnd w:id="296"/>
      <w:r>
        <w:rPr>
          <w:rFonts w:ascii="宋体" w:hAnsi="宋体"/>
        </w:rPr>
        <w:t>行贿谋取成交，不得以他人名义参加采购活动或者以其他方式弄虚作假骗取成交；供应商不得以任何方式干扰、影响评审工作。</w:t>
      </w:r>
    </w:p>
    <w:p w14:paraId="03AC97AD">
      <w:pPr>
        <w:widowControl/>
        <w:spacing w:before="100" w:beforeAutospacing="1" w:after="100" w:afterAutospacing="1" w:line="400" w:lineRule="exact"/>
        <w:ind w:left="2" w:leftChars="1"/>
        <w:jc w:val="left"/>
        <w:outlineLvl w:val="2"/>
        <w:rPr>
          <w:rFonts w:eastAsia="黑体"/>
          <w:sz w:val="24"/>
        </w:rPr>
      </w:pPr>
      <w:bookmarkStart w:id="297" w:name="_Toc149140241"/>
      <w:bookmarkStart w:id="298" w:name="_Toc143102184"/>
      <w:r>
        <w:rPr>
          <w:rFonts w:eastAsia="黑体"/>
          <w:sz w:val="24"/>
        </w:rPr>
        <w:t>9.3 对评审小组成员的纪律要求</w:t>
      </w:r>
      <w:bookmarkEnd w:id="297"/>
      <w:bookmarkEnd w:id="298"/>
    </w:p>
    <w:p w14:paraId="1A0BCDEF">
      <w:pPr>
        <w:spacing w:line="400" w:lineRule="exact"/>
        <w:ind w:firstLine="420" w:firstLineChars="200"/>
        <w:rPr>
          <w:rFonts w:ascii="宋体" w:hAnsi="宋体"/>
        </w:rPr>
      </w:pPr>
      <w:r>
        <w:rPr>
          <w:rFonts w:ascii="宋体" w:hAnsi="宋体"/>
        </w:rPr>
        <w:t>评审小组成员不得收受他人的财物或者其他好处，不得向他人透露对响应文件的评审和比较、候选入围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599D89AA">
      <w:pPr>
        <w:widowControl/>
        <w:spacing w:before="100" w:beforeAutospacing="1" w:after="100" w:afterAutospacing="1" w:line="400" w:lineRule="exact"/>
        <w:ind w:left="2" w:leftChars="1"/>
        <w:jc w:val="left"/>
        <w:outlineLvl w:val="2"/>
        <w:rPr>
          <w:rFonts w:eastAsia="黑体"/>
          <w:sz w:val="24"/>
        </w:rPr>
      </w:pPr>
      <w:bookmarkStart w:id="299" w:name="_Toc143102185"/>
      <w:bookmarkStart w:id="300" w:name="_Toc149140242"/>
      <w:r>
        <w:rPr>
          <w:rFonts w:eastAsia="黑体"/>
          <w:sz w:val="24"/>
        </w:rPr>
        <w:t>9.4 对与采购活动有关的工作人员的纪律要求</w:t>
      </w:r>
      <w:bookmarkEnd w:id="299"/>
      <w:bookmarkEnd w:id="300"/>
    </w:p>
    <w:p w14:paraId="3D1E403E">
      <w:pPr>
        <w:spacing w:line="400" w:lineRule="exact"/>
        <w:ind w:firstLine="420" w:firstLineChars="200"/>
        <w:rPr>
          <w:rFonts w:ascii="宋体" w:hAnsi="宋体"/>
        </w:rPr>
      </w:pPr>
      <w:r>
        <w:rPr>
          <w:rFonts w:ascii="宋体" w:hAnsi="宋体"/>
        </w:rPr>
        <w:t>与采购活动有关的工作人员不得收受他人的财物或者其他好处，不得向他人透露对响应文件的评审和比较、候选入围供应商的推荐情况以及有关的其他情况。在采购活动中，与采购活动有关的工作人员不得擅离职守，影响评审工作正常进行。</w:t>
      </w:r>
    </w:p>
    <w:p w14:paraId="577DDC06">
      <w:pPr>
        <w:keepNext/>
        <w:keepLines/>
        <w:widowControl/>
        <w:spacing w:before="260" w:after="260"/>
        <w:outlineLvl w:val="1"/>
        <w:rPr>
          <w:rFonts w:eastAsia="黑体"/>
          <w:b/>
          <w:sz w:val="28"/>
          <w:szCs w:val="18"/>
        </w:rPr>
      </w:pPr>
      <w:bookmarkStart w:id="301" w:name="_Toc149140243"/>
      <w:r>
        <w:rPr>
          <w:rFonts w:eastAsia="黑体"/>
          <w:b/>
          <w:sz w:val="28"/>
          <w:szCs w:val="18"/>
        </w:rPr>
        <w:t>10. 需要补充的其他内容</w:t>
      </w:r>
      <w:bookmarkEnd w:id="301"/>
    </w:p>
    <w:p w14:paraId="1AEC9E32">
      <w:pPr>
        <w:widowControl/>
        <w:spacing w:before="100" w:beforeAutospacing="1" w:after="100" w:afterAutospacing="1" w:line="400" w:lineRule="exact"/>
        <w:ind w:left="2" w:leftChars="1"/>
        <w:jc w:val="left"/>
        <w:outlineLvl w:val="2"/>
        <w:rPr>
          <w:rFonts w:eastAsia="黑体"/>
          <w:sz w:val="24"/>
        </w:rPr>
      </w:pPr>
      <w:bookmarkStart w:id="302" w:name="_Toc149140244"/>
      <w:bookmarkStart w:id="303" w:name="_Toc143102187"/>
      <w:r>
        <w:rPr>
          <w:rFonts w:eastAsia="黑体"/>
          <w:sz w:val="24"/>
        </w:rPr>
        <w:t>10.1取消入围供应商资格</w:t>
      </w:r>
      <w:bookmarkEnd w:id="302"/>
    </w:p>
    <w:p w14:paraId="094DEE1C">
      <w:pPr>
        <w:spacing w:line="400" w:lineRule="exact"/>
        <w:ind w:firstLine="420" w:firstLineChars="200"/>
        <w:rPr>
          <w:rFonts w:ascii="宋体" w:hAnsi="宋体"/>
        </w:rPr>
      </w:pPr>
      <w:r>
        <w:rPr>
          <w:rFonts w:ascii="宋体" w:hAnsi="宋体"/>
        </w:rPr>
        <w:t>采购人可在框架协议采购文件中约定，入围供应商在框架协议有效期内出现以下情形的，采购人可以取消其入围供应商资格：</w:t>
      </w:r>
    </w:p>
    <w:p w14:paraId="55209777">
      <w:pPr>
        <w:spacing w:line="400" w:lineRule="exact"/>
        <w:ind w:firstLine="420" w:firstLineChars="200"/>
        <w:rPr>
          <w:rFonts w:ascii="宋体" w:hAnsi="宋体"/>
        </w:rPr>
      </w:pPr>
      <w:r>
        <w:rPr>
          <w:rFonts w:ascii="宋体" w:hAnsi="宋体"/>
        </w:rPr>
        <w:t>（</w:t>
      </w:r>
      <w:r>
        <w:t>1</w:t>
      </w:r>
      <w:r>
        <w:rPr>
          <w:rFonts w:ascii="宋体" w:hAnsi="宋体"/>
        </w:rPr>
        <w:t>）在本项目采购交易中，有串通、违法交易或弄虚作假行为的；</w:t>
      </w:r>
    </w:p>
    <w:p w14:paraId="755025F9">
      <w:pPr>
        <w:spacing w:line="400" w:lineRule="exact"/>
        <w:ind w:firstLine="420" w:firstLineChars="200"/>
        <w:rPr>
          <w:rFonts w:ascii="宋体" w:hAnsi="宋体"/>
        </w:rPr>
      </w:pPr>
      <w:r>
        <w:rPr>
          <w:rFonts w:ascii="宋体" w:hAnsi="宋体"/>
        </w:rPr>
        <w:t>（</w:t>
      </w:r>
      <w:r>
        <w:t>2</w:t>
      </w:r>
      <w:r>
        <w:rPr>
          <w:rFonts w:ascii="宋体" w:hAnsi="宋体"/>
        </w:rPr>
        <w:t>）处于被责令停产停业、暂扣或者吊销执照、暂扣或者吊销许可证、吊销资质证书状态的；</w:t>
      </w:r>
    </w:p>
    <w:p w14:paraId="2394C4FA">
      <w:pPr>
        <w:spacing w:line="400" w:lineRule="exact"/>
        <w:ind w:firstLine="420" w:firstLineChars="200"/>
        <w:rPr>
          <w:rFonts w:ascii="宋体" w:hAnsi="宋体"/>
        </w:rPr>
      </w:pPr>
      <w:r>
        <w:rPr>
          <w:rFonts w:ascii="宋体" w:hAnsi="宋体"/>
        </w:rPr>
        <w:t>（</w:t>
      </w:r>
      <w:r>
        <w:t>3</w:t>
      </w:r>
      <w:r>
        <w:rPr>
          <w:rFonts w:ascii="宋体" w:hAnsi="宋体"/>
        </w:rPr>
        <w:t>）进入清算程序、或被宣告破产</w:t>
      </w:r>
      <w:r>
        <w:rPr>
          <w:rFonts w:hint="eastAsia" w:ascii="宋体" w:hAnsi="宋体"/>
        </w:rPr>
        <w:t>、或被列入失信人名单，</w:t>
      </w:r>
      <w:r>
        <w:rPr>
          <w:rFonts w:ascii="宋体" w:hAnsi="宋体"/>
        </w:rPr>
        <w:t>以及其他丧失履约能力的情形的。</w:t>
      </w:r>
    </w:p>
    <w:p w14:paraId="04F0C359">
      <w:pPr>
        <w:widowControl/>
        <w:spacing w:before="100" w:beforeAutospacing="1" w:after="100" w:afterAutospacing="1" w:line="400" w:lineRule="exact"/>
        <w:ind w:left="2" w:leftChars="1"/>
        <w:jc w:val="left"/>
        <w:outlineLvl w:val="2"/>
        <w:rPr>
          <w:rFonts w:eastAsia="黑体"/>
          <w:sz w:val="24"/>
        </w:rPr>
      </w:pPr>
      <w:bookmarkStart w:id="304" w:name="_Toc149140245"/>
      <w:r>
        <w:rPr>
          <w:rFonts w:eastAsia="黑体"/>
          <w:sz w:val="24"/>
        </w:rPr>
        <w:t>10.2补充入围供应商</w:t>
      </w:r>
      <w:bookmarkEnd w:id="304"/>
    </w:p>
    <w:p w14:paraId="76CFB7CC">
      <w:pPr>
        <w:spacing w:line="400" w:lineRule="exact"/>
        <w:ind w:firstLine="420" w:firstLineChars="200"/>
        <w:rPr>
          <w:rFonts w:ascii="宋体" w:hAnsi="宋体"/>
        </w:rPr>
      </w:pPr>
      <w:r>
        <w:rPr>
          <w:rFonts w:ascii="宋体" w:hAnsi="宋体"/>
        </w:rPr>
        <w:t>框架协议入围供应商数量如果没有达到采购文件规定的入围供应商数量，或者在框架协议有效期内入围供应商单方中止框架协议，或者被采购人按照规定条件取消入围供应商资格的，采购人可以针对入围供应商数量不足部分，按照原供应商入围竞争结果，按采购文件约定选择递补符合要求的入围供应商，或者再次组织框架协议采购、竞争选择补充入围供应商。</w:t>
      </w:r>
    </w:p>
    <w:p w14:paraId="3BF09946">
      <w:pPr>
        <w:widowControl/>
        <w:spacing w:before="100" w:beforeAutospacing="1" w:after="100" w:afterAutospacing="1" w:line="400" w:lineRule="exact"/>
        <w:ind w:left="2" w:leftChars="1"/>
        <w:jc w:val="left"/>
        <w:outlineLvl w:val="2"/>
        <w:rPr>
          <w:rFonts w:eastAsia="黑体"/>
          <w:sz w:val="24"/>
        </w:rPr>
      </w:pPr>
      <w:bookmarkStart w:id="305" w:name="_Toc149140246"/>
      <w:r>
        <w:rPr>
          <w:rFonts w:eastAsia="黑体"/>
          <w:sz w:val="24"/>
        </w:rPr>
        <w:t>10.3采购代理服务费</w:t>
      </w:r>
      <w:bookmarkEnd w:id="303"/>
      <w:bookmarkEnd w:id="305"/>
    </w:p>
    <w:p w14:paraId="333B7135">
      <w:pPr>
        <w:spacing w:line="400" w:lineRule="exact"/>
        <w:ind w:firstLine="420" w:firstLineChars="200"/>
        <w:rPr>
          <w:rFonts w:ascii="宋体" w:hAnsi="宋体"/>
        </w:rPr>
      </w:pPr>
      <w:r>
        <w:rPr>
          <w:rFonts w:ascii="宋体" w:hAnsi="宋体"/>
        </w:rPr>
        <w:t>供应商须知前附表规定由供应商承担采购代理服务费的，供应商应按照供应商须知前附表规定的费用标准或金额、交费时间和方式向采购代理机构支付代理服务费。</w:t>
      </w:r>
    </w:p>
    <w:p w14:paraId="0B1519C5">
      <w:pPr>
        <w:widowControl/>
        <w:spacing w:before="100" w:beforeAutospacing="1" w:after="100" w:afterAutospacing="1" w:line="400" w:lineRule="exact"/>
        <w:ind w:left="2" w:leftChars="1"/>
        <w:jc w:val="left"/>
        <w:outlineLvl w:val="2"/>
        <w:rPr>
          <w:rFonts w:eastAsia="黑体"/>
          <w:sz w:val="24"/>
        </w:rPr>
      </w:pPr>
      <w:bookmarkStart w:id="306" w:name="_Toc143102188"/>
      <w:bookmarkStart w:id="307" w:name="_Toc149140247"/>
      <w:r>
        <w:rPr>
          <w:rFonts w:eastAsia="黑体"/>
          <w:sz w:val="24"/>
        </w:rPr>
        <w:t>10.4其他</w:t>
      </w:r>
      <w:bookmarkEnd w:id="306"/>
      <w:bookmarkEnd w:id="307"/>
    </w:p>
    <w:p w14:paraId="6D4298CF">
      <w:pPr>
        <w:spacing w:line="400" w:lineRule="exact"/>
        <w:ind w:firstLine="420" w:firstLineChars="200"/>
        <w:rPr>
          <w:rFonts w:ascii="宋体" w:hAnsi="宋体"/>
        </w:rPr>
      </w:pPr>
      <w:bookmarkStart w:id="308" w:name="_Hlk137490162"/>
      <w:r>
        <w:rPr>
          <w:rFonts w:ascii="宋体" w:hAnsi="宋体"/>
        </w:rPr>
        <w:t>需要补充的其他内容：见供应商须知前附表。</w:t>
      </w:r>
    </w:p>
    <w:p w14:paraId="5F060E0D">
      <w:pPr>
        <w:widowControl/>
        <w:jc w:val="left"/>
        <w:rPr>
          <w:rFonts w:ascii="宋体" w:hAnsi="宋体"/>
          <w:kern w:val="0"/>
          <w:szCs w:val="21"/>
        </w:rPr>
      </w:pPr>
      <w:bookmarkStart w:id="309" w:name="_Toc143018519"/>
      <w:r>
        <w:rPr>
          <w:rFonts w:ascii="宋体" w:hAnsi="宋体"/>
        </w:rPr>
        <w:br w:type="page"/>
      </w:r>
    </w:p>
    <w:bookmarkEnd w:id="308"/>
    <w:bookmarkEnd w:id="309"/>
    <w:p w14:paraId="53EB2351">
      <w:pPr>
        <w:widowControl/>
        <w:spacing w:before="100" w:beforeAutospacing="1" w:after="100" w:afterAutospacing="1" w:line="400" w:lineRule="exact"/>
        <w:ind w:left="2" w:leftChars="1"/>
        <w:jc w:val="left"/>
        <w:outlineLvl w:val="2"/>
        <w:rPr>
          <w:rFonts w:eastAsia="黑体"/>
          <w:sz w:val="24"/>
        </w:rPr>
      </w:pPr>
      <w:bookmarkStart w:id="310" w:name="_Toc143102245"/>
      <w:bookmarkStart w:id="311" w:name="_Toc149140248"/>
      <w:bookmarkStart w:id="312" w:name="_Hlk137490191"/>
      <w:bookmarkStart w:id="313" w:name="_Hlk138878685"/>
      <w:bookmarkStart w:id="314" w:name="_Hlk138874438"/>
      <w:r>
        <w:rPr>
          <w:rFonts w:eastAsia="黑体"/>
          <w:sz w:val="24"/>
        </w:rPr>
        <w:t>附件1开启记录表</w:t>
      </w:r>
      <w:bookmarkEnd w:id="310"/>
      <w:bookmarkEnd w:id="311"/>
    </w:p>
    <w:p w14:paraId="2B6D81BE">
      <w:pPr>
        <w:spacing w:line="360" w:lineRule="auto"/>
        <w:jc w:val="center"/>
        <w:rPr>
          <w:rFonts w:ascii="宋体" w:hAnsi="宋体"/>
          <w:b/>
          <w:bCs/>
          <w:sz w:val="30"/>
          <w:szCs w:val="30"/>
        </w:rPr>
      </w:pPr>
      <w:r>
        <w:rPr>
          <w:rFonts w:ascii="宋体" w:hAnsi="宋体"/>
          <w:b/>
          <w:bCs/>
          <w:sz w:val="30"/>
          <w:szCs w:val="30"/>
        </w:rPr>
        <w:t>开启记录表</w:t>
      </w:r>
    </w:p>
    <w:bookmarkEnd w:id="312"/>
    <w:p w14:paraId="53DB1777">
      <w:pPr>
        <w:spacing w:line="360" w:lineRule="auto"/>
        <w:rPr>
          <w:rFonts w:ascii="宋体" w:hAnsi="宋体"/>
          <w:sz w:val="24"/>
          <w:u w:val="single"/>
        </w:rPr>
      </w:pPr>
      <w:r>
        <w:rPr>
          <w:rFonts w:ascii="宋体" w:hAnsi="宋体"/>
          <w:sz w:val="24"/>
        </w:rPr>
        <w:t>项目名称：</w:t>
      </w:r>
      <w:r>
        <w:rPr>
          <w:rFonts w:ascii="宋体" w:hAnsi="宋体"/>
          <w:sz w:val="24"/>
          <w:u w:val="single"/>
        </w:rPr>
        <w:t xml:space="preserve">                  </w:t>
      </w:r>
      <w:r>
        <w:rPr>
          <w:rFonts w:ascii="宋体" w:hAnsi="宋体"/>
          <w:sz w:val="24"/>
        </w:rPr>
        <w:t>标段：</w:t>
      </w:r>
      <w:r>
        <w:rPr>
          <w:rFonts w:ascii="宋体" w:hAnsi="宋体"/>
          <w:sz w:val="24"/>
          <w:u w:val="single"/>
        </w:rPr>
        <w:t xml:space="preserve">               </w:t>
      </w:r>
    </w:p>
    <w:p w14:paraId="412DE118">
      <w:pPr>
        <w:spacing w:line="360" w:lineRule="auto"/>
        <w:rPr>
          <w:rFonts w:ascii="宋体" w:hAnsi="宋体"/>
          <w:sz w:val="24"/>
        </w:rPr>
      </w:pPr>
      <w:r>
        <w:rPr>
          <w:rFonts w:ascii="宋体" w:hAnsi="宋体"/>
          <w:sz w:val="24"/>
        </w:rPr>
        <w:t>开启时间：    年  月  日  时  分</w:t>
      </w:r>
    </w:p>
    <w:tbl>
      <w:tblPr>
        <w:tblStyle w:val="155"/>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765"/>
        <w:gridCol w:w="1418"/>
        <w:gridCol w:w="1448"/>
        <w:gridCol w:w="1165"/>
        <w:gridCol w:w="2138"/>
      </w:tblGrid>
      <w:tr w14:paraId="6E6B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vAlign w:val="center"/>
          </w:tcPr>
          <w:p w14:paraId="6ED27184">
            <w:pPr>
              <w:spacing w:line="360" w:lineRule="auto"/>
              <w:jc w:val="center"/>
              <w:rPr>
                <w:rFonts w:ascii="宋体" w:hAnsi="宋体"/>
                <w:kern w:val="0"/>
                <w:szCs w:val="21"/>
              </w:rPr>
            </w:pPr>
            <w:bookmarkStart w:id="315" w:name="_Hlk29450639"/>
            <w:r>
              <w:rPr>
                <w:rFonts w:ascii="宋体" w:hAnsi="宋体"/>
                <w:kern w:val="0"/>
                <w:szCs w:val="21"/>
              </w:rPr>
              <w:t>供应商</w:t>
            </w:r>
          </w:p>
        </w:tc>
        <w:tc>
          <w:tcPr>
            <w:tcW w:w="949" w:type="pct"/>
            <w:vAlign w:val="center"/>
          </w:tcPr>
          <w:p w14:paraId="167B15E8">
            <w:pPr>
              <w:spacing w:line="360" w:lineRule="auto"/>
              <w:jc w:val="center"/>
              <w:rPr>
                <w:rFonts w:ascii="宋体" w:hAnsi="宋体"/>
                <w:kern w:val="0"/>
                <w:szCs w:val="21"/>
              </w:rPr>
            </w:pPr>
            <w:r>
              <w:rPr>
                <w:rFonts w:ascii="宋体" w:hAnsi="宋体"/>
                <w:kern w:val="0"/>
                <w:szCs w:val="21"/>
              </w:rPr>
              <w:t>响应报价（元）</w:t>
            </w:r>
          </w:p>
        </w:tc>
        <w:tc>
          <w:tcPr>
            <w:tcW w:w="762" w:type="pct"/>
            <w:vAlign w:val="center"/>
          </w:tcPr>
          <w:p w14:paraId="35F39506">
            <w:pPr>
              <w:spacing w:line="360" w:lineRule="auto"/>
              <w:jc w:val="center"/>
              <w:rPr>
                <w:rFonts w:ascii="宋体" w:hAnsi="宋体"/>
                <w:kern w:val="0"/>
                <w:szCs w:val="21"/>
              </w:rPr>
            </w:pPr>
            <w:r>
              <w:rPr>
                <w:rFonts w:hint="eastAsia"/>
                <w:kern w:val="0"/>
                <w:szCs w:val="21"/>
              </w:rPr>
              <w:t>供货期限</w:t>
            </w:r>
          </w:p>
        </w:tc>
        <w:tc>
          <w:tcPr>
            <w:tcW w:w="778" w:type="pct"/>
            <w:vAlign w:val="center"/>
          </w:tcPr>
          <w:p w14:paraId="63B26A16">
            <w:pPr>
              <w:spacing w:line="360" w:lineRule="auto"/>
              <w:jc w:val="center"/>
              <w:rPr>
                <w:rFonts w:ascii="宋体" w:hAnsi="宋体"/>
                <w:kern w:val="0"/>
                <w:szCs w:val="21"/>
              </w:rPr>
            </w:pPr>
            <w:r>
              <w:rPr>
                <w:rFonts w:hint="eastAsia"/>
                <w:kern w:val="0"/>
                <w:szCs w:val="21"/>
              </w:rPr>
              <w:t>供货地点</w:t>
            </w:r>
          </w:p>
        </w:tc>
        <w:tc>
          <w:tcPr>
            <w:tcW w:w="626" w:type="pct"/>
            <w:vAlign w:val="center"/>
          </w:tcPr>
          <w:p w14:paraId="4BF6C346">
            <w:pPr>
              <w:spacing w:line="360" w:lineRule="auto"/>
              <w:jc w:val="center"/>
              <w:rPr>
                <w:rFonts w:ascii="宋体" w:hAnsi="宋体"/>
                <w:kern w:val="0"/>
                <w:szCs w:val="21"/>
              </w:rPr>
            </w:pPr>
            <w:r>
              <w:rPr>
                <w:rFonts w:hint="eastAsia"/>
                <w:kern w:val="0"/>
                <w:szCs w:val="21"/>
              </w:rPr>
              <w:t>质量标准</w:t>
            </w:r>
          </w:p>
        </w:tc>
        <w:tc>
          <w:tcPr>
            <w:tcW w:w="1149" w:type="pct"/>
            <w:vAlign w:val="center"/>
          </w:tcPr>
          <w:p w14:paraId="058484B0">
            <w:pPr>
              <w:spacing w:line="360" w:lineRule="auto"/>
              <w:jc w:val="center"/>
              <w:rPr>
                <w:kern w:val="0"/>
                <w:szCs w:val="21"/>
              </w:rPr>
            </w:pPr>
            <w:r>
              <w:rPr>
                <w:rFonts w:hint="eastAsia"/>
                <w:kern w:val="0"/>
                <w:szCs w:val="21"/>
              </w:rPr>
              <w:t>是否存在采</w:t>
            </w:r>
          </w:p>
          <w:p w14:paraId="7958ECE6">
            <w:pPr>
              <w:spacing w:line="360" w:lineRule="auto"/>
              <w:jc w:val="center"/>
              <w:rPr>
                <w:kern w:val="0"/>
                <w:szCs w:val="21"/>
              </w:rPr>
            </w:pPr>
            <w:r>
              <w:rPr>
                <w:rFonts w:hint="eastAsia"/>
                <w:kern w:val="0"/>
                <w:szCs w:val="21"/>
              </w:rPr>
              <w:t>购公告3.2款</w:t>
            </w:r>
          </w:p>
          <w:p w14:paraId="2F903658">
            <w:pPr>
              <w:spacing w:line="360" w:lineRule="auto"/>
              <w:jc w:val="center"/>
              <w:rPr>
                <w:rFonts w:ascii="宋体" w:hAnsi="宋体"/>
                <w:b/>
                <w:bCs/>
                <w:kern w:val="0"/>
                <w:szCs w:val="21"/>
              </w:rPr>
            </w:pPr>
            <w:r>
              <w:rPr>
                <w:rFonts w:hint="eastAsia"/>
                <w:kern w:val="0"/>
                <w:szCs w:val="21"/>
              </w:rPr>
              <w:t>中的情形</w:t>
            </w:r>
          </w:p>
        </w:tc>
      </w:tr>
      <w:bookmarkEnd w:id="315"/>
      <w:tr w14:paraId="6943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pct"/>
            <w:vAlign w:val="center"/>
          </w:tcPr>
          <w:p w14:paraId="68F5DB53">
            <w:pPr>
              <w:spacing w:line="360" w:lineRule="auto"/>
              <w:jc w:val="center"/>
              <w:rPr>
                <w:rFonts w:ascii="宋体" w:hAnsi="宋体"/>
                <w:kern w:val="0"/>
                <w:szCs w:val="21"/>
              </w:rPr>
            </w:pPr>
          </w:p>
        </w:tc>
        <w:tc>
          <w:tcPr>
            <w:tcW w:w="949" w:type="pct"/>
            <w:vAlign w:val="center"/>
          </w:tcPr>
          <w:p w14:paraId="791AA9B7">
            <w:pPr>
              <w:spacing w:line="360" w:lineRule="auto"/>
              <w:jc w:val="center"/>
              <w:rPr>
                <w:rFonts w:ascii="宋体" w:hAnsi="宋体"/>
                <w:kern w:val="0"/>
                <w:szCs w:val="21"/>
              </w:rPr>
            </w:pPr>
          </w:p>
        </w:tc>
        <w:tc>
          <w:tcPr>
            <w:tcW w:w="762" w:type="pct"/>
            <w:vAlign w:val="center"/>
          </w:tcPr>
          <w:p w14:paraId="266CEAF4">
            <w:pPr>
              <w:spacing w:line="360" w:lineRule="auto"/>
              <w:jc w:val="center"/>
              <w:rPr>
                <w:rFonts w:ascii="宋体" w:hAnsi="宋体"/>
                <w:kern w:val="0"/>
                <w:szCs w:val="21"/>
              </w:rPr>
            </w:pPr>
          </w:p>
        </w:tc>
        <w:tc>
          <w:tcPr>
            <w:tcW w:w="778" w:type="pct"/>
            <w:vAlign w:val="center"/>
          </w:tcPr>
          <w:p w14:paraId="1A4AE215">
            <w:pPr>
              <w:spacing w:line="360" w:lineRule="auto"/>
              <w:jc w:val="center"/>
              <w:rPr>
                <w:rFonts w:ascii="宋体" w:hAnsi="宋体"/>
                <w:kern w:val="0"/>
                <w:szCs w:val="21"/>
              </w:rPr>
            </w:pPr>
          </w:p>
        </w:tc>
        <w:tc>
          <w:tcPr>
            <w:tcW w:w="626" w:type="pct"/>
            <w:vAlign w:val="center"/>
          </w:tcPr>
          <w:p w14:paraId="38BF6020">
            <w:pPr>
              <w:spacing w:line="360" w:lineRule="auto"/>
              <w:jc w:val="center"/>
              <w:rPr>
                <w:rFonts w:ascii="宋体" w:hAnsi="宋体"/>
                <w:kern w:val="0"/>
                <w:szCs w:val="21"/>
              </w:rPr>
            </w:pPr>
          </w:p>
        </w:tc>
        <w:tc>
          <w:tcPr>
            <w:tcW w:w="1149" w:type="pct"/>
            <w:vAlign w:val="center"/>
          </w:tcPr>
          <w:p w14:paraId="1ADDE966">
            <w:pPr>
              <w:spacing w:line="360" w:lineRule="auto"/>
              <w:jc w:val="center"/>
              <w:rPr>
                <w:rFonts w:ascii="宋体" w:hAnsi="宋体"/>
                <w:kern w:val="0"/>
                <w:szCs w:val="21"/>
              </w:rPr>
            </w:pPr>
          </w:p>
        </w:tc>
      </w:tr>
      <w:tr w14:paraId="2EC2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pct"/>
            <w:vAlign w:val="center"/>
          </w:tcPr>
          <w:p w14:paraId="5DF66D64">
            <w:pPr>
              <w:spacing w:line="360" w:lineRule="auto"/>
              <w:jc w:val="center"/>
              <w:rPr>
                <w:rFonts w:ascii="宋体" w:hAnsi="宋体"/>
                <w:kern w:val="0"/>
                <w:szCs w:val="21"/>
              </w:rPr>
            </w:pPr>
          </w:p>
        </w:tc>
        <w:tc>
          <w:tcPr>
            <w:tcW w:w="949" w:type="pct"/>
            <w:vAlign w:val="center"/>
          </w:tcPr>
          <w:p w14:paraId="755E9FFC">
            <w:pPr>
              <w:spacing w:line="360" w:lineRule="auto"/>
              <w:jc w:val="center"/>
              <w:rPr>
                <w:rFonts w:ascii="宋体" w:hAnsi="宋体"/>
                <w:kern w:val="0"/>
                <w:szCs w:val="21"/>
              </w:rPr>
            </w:pPr>
          </w:p>
        </w:tc>
        <w:tc>
          <w:tcPr>
            <w:tcW w:w="762" w:type="pct"/>
            <w:vAlign w:val="center"/>
          </w:tcPr>
          <w:p w14:paraId="6F8039F7">
            <w:pPr>
              <w:spacing w:line="360" w:lineRule="auto"/>
              <w:jc w:val="center"/>
              <w:rPr>
                <w:rFonts w:ascii="宋体" w:hAnsi="宋体"/>
                <w:kern w:val="0"/>
                <w:szCs w:val="21"/>
              </w:rPr>
            </w:pPr>
          </w:p>
        </w:tc>
        <w:tc>
          <w:tcPr>
            <w:tcW w:w="778" w:type="pct"/>
            <w:vAlign w:val="center"/>
          </w:tcPr>
          <w:p w14:paraId="5C5A9623">
            <w:pPr>
              <w:spacing w:line="360" w:lineRule="auto"/>
              <w:jc w:val="center"/>
              <w:rPr>
                <w:rFonts w:ascii="宋体" w:hAnsi="宋体"/>
                <w:kern w:val="0"/>
                <w:szCs w:val="21"/>
              </w:rPr>
            </w:pPr>
          </w:p>
        </w:tc>
        <w:tc>
          <w:tcPr>
            <w:tcW w:w="626" w:type="pct"/>
            <w:vAlign w:val="center"/>
          </w:tcPr>
          <w:p w14:paraId="446109D5">
            <w:pPr>
              <w:spacing w:line="360" w:lineRule="auto"/>
              <w:jc w:val="center"/>
              <w:rPr>
                <w:rFonts w:ascii="宋体" w:hAnsi="宋体"/>
                <w:kern w:val="0"/>
                <w:szCs w:val="21"/>
              </w:rPr>
            </w:pPr>
          </w:p>
        </w:tc>
        <w:tc>
          <w:tcPr>
            <w:tcW w:w="1149" w:type="pct"/>
            <w:vAlign w:val="center"/>
          </w:tcPr>
          <w:p w14:paraId="701329B6">
            <w:pPr>
              <w:spacing w:line="360" w:lineRule="auto"/>
              <w:jc w:val="center"/>
              <w:rPr>
                <w:rFonts w:ascii="宋体" w:hAnsi="宋体"/>
                <w:kern w:val="0"/>
                <w:szCs w:val="21"/>
              </w:rPr>
            </w:pPr>
          </w:p>
        </w:tc>
      </w:tr>
      <w:tr w14:paraId="02C5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pct"/>
            <w:vAlign w:val="center"/>
          </w:tcPr>
          <w:p w14:paraId="1399E0AF">
            <w:pPr>
              <w:spacing w:line="360" w:lineRule="auto"/>
              <w:jc w:val="center"/>
              <w:rPr>
                <w:rFonts w:ascii="宋体" w:hAnsi="宋体"/>
                <w:kern w:val="0"/>
                <w:szCs w:val="21"/>
              </w:rPr>
            </w:pPr>
            <w:r>
              <w:rPr>
                <w:rFonts w:ascii="宋体" w:hAnsi="宋体"/>
                <w:kern w:val="0"/>
                <w:szCs w:val="21"/>
              </w:rPr>
              <w:t>……</w:t>
            </w:r>
          </w:p>
        </w:tc>
        <w:tc>
          <w:tcPr>
            <w:tcW w:w="949" w:type="pct"/>
            <w:vAlign w:val="center"/>
          </w:tcPr>
          <w:p w14:paraId="1ABD64C9">
            <w:pPr>
              <w:spacing w:line="360" w:lineRule="auto"/>
              <w:jc w:val="center"/>
              <w:rPr>
                <w:rFonts w:ascii="宋体" w:hAnsi="宋体"/>
                <w:kern w:val="0"/>
                <w:szCs w:val="21"/>
              </w:rPr>
            </w:pPr>
          </w:p>
        </w:tc>
        <w:tc>
          <w:tcPr>
            <w:tcW w:w="762" w:type="pct"/>
            <w:vAlign w:val="center"/>
          </w:tcPr>
          <w:p w14:paraId="0832000E">
            <w:pPr>
              <w:spacing w:line="360" w:lineRule="auto"/>
              <w:jc w:val="center"/>
              <w:rPr>
                <w:rFonts w:ascii="宋体" w:hAnsi="宋体"/>
                <w:kern w:val="0"/>
                <w:szCs w:val="21"/>
              </w:rPr>
            </w:pPr>
          </w:p>
        </w:tc>
        <w:tc>
          <w:tcPr>
            <w:tcW w:w="778" w:type="pct"/>
            <w:vAlign w:val="center"/>
          </w:tcPr>
          <w:p w14:paraId="201A4C1B">
            <w:pPr>
              <w:spacing w:line="360" w:lineRule="auto"/>
              <w:jc w:val="center"/>
              <w:rPr>
                <w:rFonts w:ascii="宋体" w:hAnsi="宋体"/>
                <w:kern w:val="0"/>
                <w:szCs w:val="21"/>
              </w:rPr>
            </w:pPr>
          </w:p>
        </w:tc>
        <w:tc>
          <w:tcPr>
            <w:tcW w:w="626" w:type="pct"/>
            <w:vAlign w:val="center"/>
          </w:tcPr>
          <w:p w14:paraId="044C2BE9">
            <w:pPr>
              <w:spacing w:line="360" w:lineRule="auto"/>
              <w:jc w:val="center"/>
              <w:rPr>
                <w:rFonts w:ascii="宋体" w:hAnsi="宋体"/>
                <w:kern w:val="0"/>
                <w:szCs w:val="21"/>
              </w:rPr>
            </w:pPr>
          </w:p>
        </w:tc>
        <w:tc>
          <w:tcPr>
            <w:tcW w:w="1149" w:type="pct"/>
            <w:vAlign w:val="center"/>
          </w:tcPr>
          <w:p w14:paraId="0EC2A44C">
            <w:pPr>
              <w:spacing w:line="360" w:lineRule="auto"/>
              <w:jc w:val="center"/>
              <w:rPr>
                <w:rFonts w:ascii="宋体" w:hAnsi="宋体"/>
                <w:kern w:val="0"/>
                <w:szCs w:val="21"/>
              </w:rPr>
            </w:pPr>
          </w:p>
        </w:tc>
      </w:tr>
    </w:tbl>
    <w:p w14:paraId="2A343A4C">
      <w:pPr>
        <w:spacing w:line="360" w:lineRule="auto"/>
        <w:ind w:firstLine="640"/>
        <w:rPr>
          <w:rFonts w:ascii="宋体" w:hAnsi="宋体"/>
          <w:sz w:val="24"/>
        </w:rPr>
      </w:pPr>
    </w:p>
    <w:bookmarkEnd w:id="313"/>
    <w:p w14:paraId="160605D8">
      <w:pPr>
        <w:rPr>
          <w:rFonts w:ascii="宋体" w:hAnsi="宋体"/>
        </w:rPr>
      </w:pPr>
      <w:r>
        <w:rPr>
          <w:rFonts w:ascii="宋体" w:hAnsi="宋体"/>
        </w:rPr>
        <w:br w:type="page"/>
      </w:r>
    </w:p>
    <w:bookmarkEnd w:id="314"/>
    <w:p w14:paraId="276D1F33">
      <w:pPr>
        <w:widowControl/>
        <w:spacing w:before="100" w:beforeAutospacing="1" w:after="100" w:afterAutospacing="1" w:line="400" w:lineRule="exact"/>
        <w:ind w:left="2" w:leftChars="1"/>
        <w:jc w:val="left"/>
        <w:outlineLvl w:val="2"/>
        <w:rPr>
          <w:rFonts w:eastAsia="黑体"/>
          <w:sz w:val="24"/>
        </w:rPr>
      </w:pPr>
      <w:bookmarkStart w:id="316" w:name="_Toc143102246"/>
      <w:bookmarkStart w:id="317" w:name="_Toc149140249"/>
      <w:bookmarkStart w:id="318" w:name="_Hlk138878705"/>
      <w:r>
        <w:rPr>
          <w:rFonts w:eastAsia="黑体"/>
          <w:sz w:val="24"/>
        </w:rPr>
        <w:t>附件2问题澄清</w:t>
      </w:r>
      <w:bookmarkEnd w:id="316"/>
      <w:bookmarkEnd w:id="317"/>
    </w:p>
    <w:p w14:paraId="5F1046D7">
      <w:pPr>
        <w:spacing w:line="360" w:lineRule="auto"/>
        <w:jc w:val="center"/>
        <w:rPr>
          <w:rFonts w:ascii="宋体" w:hAnsi="宋体"/>
          <w:b/>
          <w:bCs/>
          <w:sz w:val="30"/>
          <w:szCs w:val="30"/>
        </w:rPr>
      </w:pPr>
      <w:r>
        <w:rPr>
          <w:rFonts w:ascii="宋体" w:hAnsi="宋体"/>
          <w:b/>
          <w:bCs/>
          <w:sz w:val="30"/>
          <w:szCs w:val="30"/>
        </w:rPr>
        <w:t>问题澄清（供参考）</w:t>
      </w:r>
    </w:p>
    <w:p w14:paraId="0B6A7635">
      <w:pPr>
        <w:autoSpaceDE w:val="0"/>
        <w:autoSpaceDN w:val="0"/>
        <w:spacing w:line="360" w:lineRule="auto"/>
        <w:ind w:right="1680"/>
        <w:jc w:val="left"/>
        <w:rPr>
          <w:rFonts w:ascii="宋体" w:hAnsi="宋体"/>
          <w:kern w:val="0"/>
          <w:szCs w:val="21"/>
        </w:rPr>
      </w:pPr>
      <w:r>
        <w:rPr>
          <w:rFonts w:ascii="宋体" w:hAnsi="宋体"/>
          <w:kern w:val="0"/>
          <w:szCs w:val="21"/>
        </w:rPr>
        <w:t>评审小组：</w:t>
      </w:r>
    </w:p>
    <w:p w14:paraId="2D30300A">
      <w:pPr>
        <w:autoSpaceDE w:val="0"/>
        <w:autoSpaceDN w:val="0"/>
        <w:spacing w:line="360" w:lineRule="auto"/>
        <w:ind w:right="-58" w:firstLine="420" w:firstLineChars="200"/>
        <w:rPr>
          <w:rFonts w:ascii="宋体" w:hAnsi="宋体"/>
          <w:kern w:val="0"/>
          <w:szCs w:val="21"/>
        </w:rPr>
      </w:pPr>
      <w:r>
        <w:rPr>
          <w:rFonts w:ascii="宋体" w:hAnsi="宋体"/>
          <w:kern w:val="0"/>
          <w:szCs w:val="21"/>
        </w:rPr>
        <w:t xml:space="preserve">问题澄清通知已收悉，现澄清、说明和补正如下：               </w:t>
      </w:r>
    </w:p>
    <w:p w14:paraId="62304FD3">
      <w:pPr>
        <w:autoSpaceDE w:val="0"/>
        <w:autoSpaceDN w:val="0"/>
        <w:spacing w:line="360" w:lineRule="auto"/>
        <w:ind w:right="-58" w:firstLine="420" w:firstLineChars="200"/>
        <w:rPr>
          <w:rFonts w:ascii="宋体" w:hAnsi="宋体"/>
          <w:kern w:val="0"/>
          <w:szCs w:val="21"/>
        </w:rPr>
      </w:pPr>
      <w:r>
        <w:rPr>
          <w:kern w:val="0"/>
          <w:szCs w:val="21"/>
        </w:rPr>
        <w:t>1</w:t>
      </w:r>
      <w:r>
        <w:rPr>
          <w:rFonts w:ascii="宋体" w:hAnsi="宋体"/>
          <w:kern w:val="0"/>
          <w:szCs w:val="21"/>
        </w:rPr>
        <w:t>.</w:t>
      </w:r>
    </w:p>
    <w:p w14:paraId="0878D3B6">
      <w:pPr>
        <w:autoSpaceDE w:val="0"/>
        <w:autoSpaceDN w:val="0"/>
        <w:spacing w:line="360" w:lineRule="auto"/>
        <w:ind w:right="1680" w:firstLine="420" w:firstLineChars="200"/>
        <w:rPr>
          <w:rFonts w:ascii="宋体" w:hAnsi="宋体"/>
          <w:kern w:val="0"/>
          <w:szCs w:val="21"/>
        </w:rPr>
      </w:pPr>
      <w:r>
        <w:rPr>
          <w:kern w:val="0"/>
          <w:szCs w:val="21"/>
        </w:rPr>
        <w:t>2</w:t>
      </w:r>
      <w:r>
        <w:rPr>
          <w:rFonts w:ascii="宋体" w:hAnsi="宋体"/>
          <w:kern w:val="0"/>
          <w:szCs w:val="21"/>
        </w:rPr>
        <w:t>.</w:t>
      </w:r>
    </w:p>
    <w:p w14:paraId="56317061">
      <w:pPr>
        <w:autoSpaceDE w:val="0"/>
        <w:autoSpaceDN w:val="0"/>
        <w:spacing w:line="360" w:lineRule="auto"/>
        <w:ind w:right="1680" w:firstLine="420" w:firstLineChars="200"/>
        <w:rPr>
          <w:rFonts w:ascii="宋体" w:hAnsi="宋体"/>
          <w:kern w:val="0"/>
          <w:szCs w:val="21"/>
        </w:rPr>
      </w:pPr>
      <w:r>
        <w:rPr>
          <w:rFonts w:ascii="宋体" w:hAnsi="宋体"/>
          <w:kern w:val="0"/>
          <w:szCs w:val="21"/>
        </w:rPr>
        <w:t>……</w:t>
      </w:r>
    </w:p>
    <w:p w14:paraId="63BF5408">
      <w:pPr>
        <w:autoSpaceDE w:val="0"/>
        <w:autoSpaceDN w:val="0"/>
        <w:spacing w:line="360" w:lineRule="auto"/>
        <w:ind w:right="84" w:firstLine="420" w:firstLineChars="200"/>
        <w:rPr>
          <w:rFonts w:ascii="宋体" w:hAnsi="宋体"/>
          <w:kern w:val="0"/>
          <w:szCs w:val="21"/>
        </w:rPr>
      </w:pPr>
      <w:r>
        <w:rPr>
          <w:rFonts w:ascii="宋体" w:hAnsi="宋体"/>
          <w:kern w:val="0"/>
          <w:szCs w:val="21"/>
        </w:rPr>
        <w:t>上述问题澄清、说明和补正，不改变我方响应文件的实质性内容，构成我方响应文件的组成部分。</w:t>
      </w:r>
    </w:p>
    <w:p w14:paraId="5E3AADC8">
      <w:pPr>
        <w:autoSpaceDE w:val="0"/>
        <w:autoSpaceDN w:val="0"/>
        <w:spacing w:line="360" w:lineRule="auto"/>
        <w:ind w:right="1680"/>
        <w:jc w:val="left"/>
        <w:rPr>
          <w:rFonts w:ascii="宋体" w:hAnsi="宋体"/>
          <w:kern w:val="0"/>
          <w:szCs w:val="21"/>
        </w:rPr>
      </w:pPr>
    </w:p>
    <w:p w14:paraId="47B00950">
      <w:pPr>
        <w:autoSpaceDE w:val="0"/>
        <w:autoSpaceDN w:val="0"/>
        <w:spacing w:line="360" w:lineRule="auto"/>
        <w:ind w:right="84"/>
        <w:jc w:val="left"/>
        <w:rPr>
          <w:rFonts w:ascii="宋体" w:hAnsi="宋体"/>
          <w:kern w:val="0"/>
          <w:szCs w:val="21"/>
        </w:rPr>
      </w:pPr>
    </w:p>
    <w:p w14:paraId="5B2B96A2">
      <w:pPr>
        <w:autoSpaceDE w:val="0"/>
        <w:autoSpaceDN w:val="0"/>
        <w:spacing w:line="360" w:lineRule="auto"/>
        <w:ind w:right="1680"/>
        <w:jc w:val="left"/>
        <w:rPr>
          <w:rFonts w:ascii="宋体" w:hAnsi="宋体"/>
          <w:kern w:val="0"/>
          <w:szCs w:val="21"/>
        </w:rPr>
      </w:pPr>
    </w:p>
    <w:p w14:paraId="4F9B2192">
      <w:pPr>
        <w:autoSpaceDE w:val="0"/>
        <w:autoSpaceDN w:val="0"/>
        <w:spacing w:line="360" w:lineRule="auto"/>
        <w:ind w:right="1680"/>
        <w:jc w:val="right"/>
        <w:rPr>
          <w:rFonts w:ascii="宋体" w:hAnsi="宋体"/>
          <w:kern w:val="0"/>
          <w:szCs w:val="21"/>
        </w:rPr>
      </w:pPr>
      <w:r>
        <w:rPr>
          <w:rFonts w:ascii="宋体" w:hAnsi="宋体"/>
          <w:kern w:val="0"/>
          <w:szCs w:val="21"/>
        </w:rPr>
        <w:t>供应商名称（加盖公章）</w:t>
      </w:r>
    </w:p>
    <w:p w14:paraId="40B0BDB7">
      <w:pPr>
        <w:autoSpaceDE w:val="0"/>
        <w:autoSpaceDN w:val="0"/>
        <w:spacing w:line="360" w:lineRule="auto"/>
        <w:ind w:right="84"/>
        <w:jc w:val="center"/>
        <w:rPr>
          <w:rFonts w:ascii="宋体" w:hAnsi="宋体"/>
          <w:kern w:val="0"/>
          <w:szCs w:val="21"/>
        </w:rPr>
      </w:pPr>
      <w:r>
        <w:rPr>
          <w:rFonts w:ascii="宋体" w:hAnsi="宋体"/>
          <w:kern w:val="0"/>
          <w:szCs w:val="21"/>
        </w:rPr>
        <w:t xml:space="preserve">                               年   月   日</w:t>
      </w:r>
    </w:p>
    <w:bookmarkEnd w:id="318"/>
    <w:p w14:paraId="0264015B">
      <w:pPr>
        <w:pStyle w:val="15"/>
        <w:rPr>
          <w:rFonts w:cs="Times New Roman"/>
          <w:lang w:eastAsia="zh-CN"/>
        </w:rPr>
      </w:pPr>
      <w:r>
        <w:rPr>
          <w:rFonts w:cs="Times New Roman"/>
          <w:lang w:eastAsia="zh-CN"/>
        </w:rPr>
        <w:br w:type="page"/>
      </w:r>
    </w:p>
    <w:p w14:paraId="021EFC78">
      <w:pPr>
        <w:pStyle w:val="15"/>
        <w:spacing w:line="360" w:lineRule="auto"/>
        <w:ind w:right="84"/>
        <w:jc w:val="right"/>
        <w:rPr>
          <w:rFonts w:cs="Times New Roman"/>
          <w:sz w:val="21"/>
          <w:szCs w:val="21"/>
          <w:lang w:eastAsia="zh-CN"/>
        </w:rPr>
      </w:pPr>
    </w:p>
    <w:p w14:paraId="34547251">
      <w:pPr>
        <w:ind w:right="226"/>
        <w:jc w:val="right"/>
        <w:rPr>
          <w:rFonts w:ascii="宋体" w:hAnsi="宋体"/>
        </w:rPr>
      </w:pPr>
    </w:p>
    <w:p w14:paraId="6EAAA3BA">
      <w:pPr>
        <w:pStyle w:val="15"/>
        <w:spacing w:line="360" w:lineRule="auto"/>
        <w:ind w:right="924"/>
        <w:rPr>
          <w:rFonts w:cs="Times New Roman"/>
          <w:sz w:val="21"/>
          <w:szCs w:val="21"/>
          <w:lang w:eastAsia="zh-CN"/>
        </w:rPr>
      </w:pPr>
    </w:p>
    <w:p w14:paraId="18374C71">
      <w:pPr>
        <w:pStyle w:val="15"/>
        <w:spacing w:line="360" w:lineRule="auto"/>
        <w:ind w:right="924"/>
        <w:rPr>
          <w:rFonts w:cs="Times New Roman"/>
          <w:sz w:val="21"/>
          <w:szCs w:val="21"/>
          <w:lang w:eastAsia="zh-CN"/>
        </w:rPr>
      </w:pPr>
    </w:p>
    <w:p w14:paraId="38097788">
      <w:pPr>
        <w:pStyle w:val="15"/>
        <w:spacing w:line="360" w:lineRule="auto"/>
        <w:ind w:right="924"/>
        <w:rPr>
          <w:rFonts w:cs="Times New Roman"/>
          <w:sz w:val="21"/>
          <w:szCs w:val="21"/>
          <w:lang w:eastAsia="zh-CN"/>
        </w:rPr>
      </w:pPr>
    </w:p>
    <w:p w14:paraId="7DC20FD0">
      <w:pPr>
        <w:pStyle w:val="15"/>
        <w:spacing w:line="360" w:lineRule="auto"/>
        <w:ind w:right="924"/>
        <w:rPr>
          <w:rFonts w:cs="Times New Roman"/>
          <w:sz w:val="21"/>
          <w:szCs w:val="21"/>
          <w:lang w:eastAsia="zh-CN"/>
        </w:rPr>
      </w:pPr>
    </w:p>
    <w:p w14:paraId="6BE73331">
      <w:pPr>
        <w:tabs>
          <w:tab w:val="left" w:pos="1914"/>
        </w:tabs>
        <w:spacing w:before="38"/>
        <w:ind w:right="268"/>
        <w:jc w:val="center"/>
        <w:rPr>
          <w:rFonts w:ascii="宋体" w:hAnsi="宋体"/>
          <w:sz w:val="45"/>
        </w:rPr>
      </w:pPr>
    </w:p>
    <w:p w14:paraId="6507176D">
      <w:pPr>
        <w:tabs>
          <w:tab w:val="left" w:pos="1914"/>
        </w:tabs>
        <w:spacing w:before="38"/>
        <w:ind w:right="268"/>
        <w:rPr>
          <w:rFonts w:ascii="宋体" w:hAnsi="宋体"/>
          <w:sz w:val="45"/>
        </w:rPr>
      </w:pPr>
    </w:p>
    <w:p w14:paraId="4AF0CEAB">
      <w:pPr>
        <w:tabs>
          <w:tab w:val="left" w:pos="1914"/>
        </w:tabs>
        <w:spacing w:before="38"/>
        <w:ind w:right="268"/>
        <w:rPr>
          <w:rFonts w:ascii="宋体" w:hAnsi="宋体"/>
          <w:sz w:val="45"/>
        </w:rPr>
      </w:pPr>
    </w:p>
    <w:p w14:paraId="0E1A3FBB">
      <w:pPr>
        <w:tabs>
          <w:tab w:val="left" w:pos="1914"/>
        </w:tabs>
        <w:spacing w:before="38"/>
        <w:ind w:right="268"/>
        <w:rPr>
          <w:rFonts w:ascii="宋体" w:hAnsi="宋体"/>
          <w:sz w:val="45"/>
        </w:rPr>
      </w:pPr>
    </w:p>
    <w:p w14:paraId="48CDE81F">
      <w:pPr>
        <w:tabs>
          <w:tab w:val="left" w:pos="1914"/>
        </w:tabs>
        <w:spacing w:before="38"/>
        <w:ind w:right="268"/>
        <w:rPr>
          <w:rFonts w:ascii="宋体" w:hAnsi="宋体"/>
          <w:sz w:val="45"/>
        </w:rPr>
      </w:pPr>
    </w:p>
    <w:p w14:paraId="26E2771A">
      <w:pPr>
        <w:tabs>
          <w:tab w:val="left" w:pos="1914"/>
        </w:tabs>
        <w:spacing w:before="38"/>
        <w:ind w:right="268"/>
        <w:jc w:val="center"/>
        <w:rPr>
          <w:rFonts w:ascii="宋体" w:hAnsi="宋体"/>
          <w:sz w:val="45"/>
        </w:rPr>
      </w:pPr>
    </w:p>
    <w:p w14:paraId="250868A6">
      <w:pPr>
        <w:tabs>
          <w:tab w:val="left" w:pos="1914"/>
        </w:tabs>
        <w:spacing w:before="38"/>
        <w:ind w:right="268"/>
        <w:jc w:val="center"/>
        <w:rPr>
          <w:rFonts w:ascii="宋体" w:hAnsi="宋体"/>
          <w:sz w:val="45"/>
        </w:rPr>
      </w:pPr>
    </w:p>
    <w:p w14:paraId="06F68478">
      <w:pPr>
        <w:pStyle w:val="2"/>
        <w:jc w:val="center"/>
        <w:rPr>
          <w:rFonts w:ascii="宋体" w:hAnsi="宋体"/>
        </w:rPr>
      </w:pPr>
      <w:bookmarkStart w:id="319" w:name="_Toc48146150"/>
      <w:bookmarkStart w:id="320" w:name="_Toc149140250"/>
      <w:bookmarkStart w:id="321" w:name="_第三章_评审办法"/>
      <w:r>
        <w:rPr>
          <w:rFonts w:ascii="宋体" w:hAnsi="宋体"/>
        </w:rPr>
        <w:t>第三章 评审办法</w:t>
      </w:r>
      <w:bookmarkEnd w:id="319"/>
      <w:bookmarkEnd w:id="320"/>
    </w:p>
    <w:bookmarkEnd w:id="321"/>
    <w:p w14:paraId="5F9A53B8">
      <w:pPr>
        <w:tabs>
          <w:tab w:val="left" w:pos="1914"/>
        </w:tabs>
        <w:spacing w:before="38"/>
        <w:ind w:right="268"/>
        <w:jc w:val="center"/>
        <w:rPr>
          <w:rFonts w:ascii="宋体" w:hAnsi="宋体"/>
          <w:sz w:val="45"/>
        </w:rPr>
      </w:pPr>
    </w:p>
    <w:p w14:paraId="7EEC42AA">
      <w:pPr>
        <w:tabs>
          <w:tab w:val="left" w:pos="1914"/>
        </w:tabs>
        <w:spacing w:before="38"/>
        <w:ind w:right="268"/>
        <w:jc w:val="center"/>
        <w:rPr>
          <w:rFonts w:ascii="宋体" w:hAnsi="宋体"/>
          <w:sz w:val="45"/>
        </w:rPr>
      </w:pPr>
    </w:p>
    <w:p w14:paraId="31A4D9BC">
      <w:pPr>
        <w:rPr>
          <w:rFonts w:ascii="宋体" w:hAnsi="宋体"/>
        </w:rPr>
      </w:pPr>
      <w:r>
        <w:rPr>
          <w:rFonts w:ascii="宋体" w:hAnsi="宋体"/>
          <w:b/>
          <w:bCs/>
          <w:sz w:val="33"/>
        </w:rPr>
        <w:br w:type="page"/>
      </w:r>
      <w:bookmarkStart w:id="322" w:name="_Toc48146151"/>
    </w:p>
    <w:p w14:paraId="1E3F3DE0">
      <w:pPr>
        <w:keepNext/>
        <w:keepLines/>
        <w:spacing w:before="260" w:after="260" w:line="413" w:lineRule="auto"/>
        <w:jc w:val="center"/>
        <w:outlineLvl w:val="1"/>
        <w:rPr>
          <w:rFonts w:ascii="宋体" w:hAnsi="宋体"/>
          <w:b/>
          <w:sz w:val="32"/>
          <w:szCs w:val="20"/>
        </w:rPr>
      </w:pPr>
      <w:bookmarkStart w:id="323" w:name="_Toc118805531"/>
      <w:bookmarkStart w:id="324" w:name="_Toc19645"/>
      <w:bookmarkStart w:id="325" w:name="_Toc118805908"/>
      <w:bookmarkStart w:id="326" w:name="_Toc2978"/>
      <w:bookmarkStart w:id="327" w:name="_Toc21940_WPSOffice_Level1"/>
      <w:bookmarkStart w:id="328" w:name="_Toc32577"/>
      <w:bookmarkStart w:id="329" w:name="_Toc138604677"/>
      <w:bookmarkStart w:id="330" w:name="_Toc118806279"/>
      <w:bookmarkStart w:id="331" w:name="_Toc149140251"/>
      <w:bookmarkStart w:id="332" w:name="_Toc118805154"/>
      <w:bookmarkStart w:id="333" w:name="_Toc11644"/>
      <w:bookmarkStart w:id="334" w:name="_Toc11946"/>
      <w:bookmarkStart w:id="335" w:name="_Toc14439"/>
      <w:r>
        <w:rPr>
          <w:rFonts w:ascii="宋体" w:hAnsi="宋体"/>
          <w:b/>
          <w:sz w:val="32"/>
          <w:szCs w:val="20"/>
        </w:rPr>
        <w:t>评审办法前附表</w:t>
      </w:r>
      <w:bookmarkEnd w:id="323"/>
      <w:bookmarkEnd w:id="324"/>
      <w:bookmarkEnd w:id="325"/>
      <w:bookmarkEnd w:id="326"/>
      <w:bookmarkEnd w:id="327"/>
      <w:bookmarkEnd w:id="328"/>
      <w:bookmarkEnd w:id="329"/>
      <w:bookmarkEnd w:id="330"/>
      <w:bookmarkEnd w:id="331"/>
      <w:bookmarkEnd w:id="332"/>
      <w:bookmarkEnd w:id="333"/>
      <w:bookmarkEnd w:id="334"/>
      <w:bookmarkEnd w:id="335"/>
    </w:p>
    <w:tbl>
      <w:tblPr>
        <w:tblStyle w:val="40"/>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3"/>
        <w:gridCol w:w="1447"/>
        <w:gridCol w:w="2178"/>
        <w:gridCol w:w="4747"/>
      </w:tblGrid>
      <w:tr w14:paraId="129CC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480AAD03">
            <w:pPr>
              <w:spacing w:line="440" w:lineRule="exact"/>
              <w:jc w:val="center"/>
              <w:rPr>
                <w:rFonts w:ascii="宋体" w:hAnsi="宋体"/>
                <w:b/>
              </w:rPr>
            </w:pPr>
            <w:r>
              <w:rPr>
                <w:rFonts w:ascii="宋体" w:hAnsi="宋体"/>
                <w:b/>
              </w:rPr>
              <w:t>条款号及名称</w:t>
            </w:r>
          </w:p>
        </w:tc>
        <w:tc>
          <w:tcPr>
            <w:tcW w:w="2178" w:type="dxa"/>
            <w:tcBorders>
              <w:top w:val="single" w:color="auto" w:sz="4" w:space="0"/>
              <w:left w:val="single" w:color="auto" w:sz="4" w:space="0"/>
              <w:bottom w:val="single" w:color="auto" w:sz="4" w:space="0"/>
              <w:right w:val="single" w:color="auto" w:sz="4" w:space="0"/>
            </w:tcBorders>
            <w:vAlign w:val="center"/>
          </w:tcPr>
          <w:p w14:paraId="7C3F4EAC">
            <w:pPr>
              <w:spacing w:line="440" w:lineRule="exact"/>
              <w:jc w:val="center"/>
              <w:rPr>
                <w:rFonts w:ascii="宋体" w:hAnsi="宋体"/>
                <w:b/>
              </w:rPr>
            </w:pPr>
            <w:r>
              <w:rPr>
                <w:rFonts w:ascii="宋体" w:hAnsi="宋体"/>
                <w:b/>
              </w:rPr>
              <w:t>评审因素</w:t>
            </w:r>
          </w:p>
        </w:tc>
        <w:tc>
          <w:tcPr>
            <w:tcW w:w="4747" w:type="dxa"/>
            <w:tcBorders>
              <w:top w:val="single" w:color="auto" w:sz="4" w:space="0"/>
              <w:left w:val="single" w:color="auto" w:sz="4" w:space="0"/>
              <w:bottom w:val="single" w:color="auto" w:sz="4" w:space="0"/>
              <w:right w:val="single" w:color="auto" w:sz="4" w:space="0"/>
            </w:tcBorders>
            <w:vAlign w:val="center"/>
          </w:tcPr>
          <w:p w14:paraId="42E3AEF5">
            <w:pPr>
              <w:spacing w:line="440" w:lineRule="exact"/>
              <w:jc w:val="center"/>
              <w:rPr>
                <w:rFonts w:ascii="宋体" w:hAnsi="宋体"/>
                <w:b/>
              </w:rPr>
            </w:pPr>
            <w:r>
              <w:rPr>
                <w:rFonts w:ascii="宋体" w:hAnsi="宋体"/>
                <w:b/>
              </w:rPr>
              <w:t>评审标准</w:t>
            </w:r>
          </w:p>
        </w:tc>
      </w:tr>
      <w:tr w14:paraId="0CC23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13" w:type="dxa"/>
            <w:tcBorders>
              <w:top w:val="single" w:color="auto" w:sz="4" w:space="0"/>
              <w:bottom w:val="single" w:color="auto" w:sz="4" w:space="0"/>
              <w:right w:val="single" w:color="auto" w:sz="4" w:space="0"/>
            </w:tcBorders>
            <w:vAlign w:val="center"/>
          </w:tcPr>
          <w:p w14:paraId="2D7D080F">
            <w:pPr>
              <w:spacing w:line="440" w:lineRule="exact"/>
              <w:jc w:val="center"/>
              <w:rPr>
                <w:rFonts w:ascii="宋体" w:hAnsi="宋体"/>
                <w:b/>
              </w:rPr>
            </w:pPr>
            <w:r>
              <w:t>1</w:t>
            </w:r>
          </w:p>
        </w:tc>
        <w:tc>
          <w:tcPr>
            <w:tcW w:w="1447" w:type="dxa"/>
            <w:tcBorders>
              <w:top w:val="single" w:color="auto" w:sz="4" w:space="0"/>
              <w:left w:val="single" w:color="auto" w:sz="4" w:space="0"/>
              <w:bottom w:val="single" w:color="auto" w:sz="4" w:space="0"/>
              <w:right w:val="single" w:color="auto" w:sz="4" w:space="0"/>
            </w:tcBorders>
            <w:vAlign w:val="center"/>
          </w:tcPr>
          <w:p w14:paraId="67F55A8D">
            <w:pPr>
              <w:spacing w:line="440" w:lineRule="exact"/>
              <w:jc w:val="center"/>
              <w:rPr>
                <w:rFonts w:ascii="宋体" w:hAnsi="宋体"/>
                <w:b/>
              </w:rPr>
            </w:pPr>
            <w:r>
              <w:rPr>
                <w:rFonts w:ascii="宋体" w:hAnsi="宋体"/>
              </w:rPr>
              <w:t>评审方法</w:t>
            </w:r>
          </w:p>
        </w:tc>
        <w:tc>
          <w:tcPr>
            <w:tcW w:w="2178" w:type="dxa"/>
            <w:tcBorders>
              <w:top w:val="single" w:color="auto" w:sz="4" w:space="0"/>
              <w:left w:val="single" w:color="auto" w:sz="4" w:space="0"/>
              <w:bottom w:val="single" w:color="auto" w:sz="4" w:space="0"/>
              <w:right w:val="single" w:color="auto" w:sz="4" w:space="0"/>
            </w:tcBorders>
            <w:vAlign w:val="center"/>
          </w:tcPr>
          <w:p w14:paraId="3381666C">
            <w:pPr>
              <w:spacing w:line="440" w:lineRule="exact"/>
              <w:jc w:val="center"/>
              <w:rPr>
                <w:rFonts w:ascii="宋体" w:hAnsi="宋体"/>
                <w:b/>
              </w:rPr>
            </w:pPr>
            <w:r>
              <w:rPr>
                <w:rFonts w:ascii="宋体" w:hAnsi="宋体"/>
              </w:rPr>
              <w:t>评审方法</w:t>
            </w:r>
          </w:p>
        </w:tc>
        <w:tc>
          <w:tcPr>
            <w:tcW w:w="4747" w:type="dxa"/>
            <w:tcBorders>
              <w:top w:val="single" w:color="auto" w:sz="4" w:space="0"/>
              <w:left w:val="single" w:color="auto" w:sz="4" w:space="0"/>
              <w:bottom w:val="single" w:color="auto" w:sz="4" w:space="0"/>
              <w:right w:val="single" w:color="auto" w:sz="4" w:space="0"/>
            </w:tcBorders>
            <w:vAlign w:val="center"/>
          </w:tcPr>
          <w:p w14:paraId="1259CE54">
            <w:pPr>
              <w:spacing w:line="440" w:lineRule="exact"/>
              <w:jc w:val="left"/>
              <w:rPr>
                <w:rFonts w:ascii="宋体" w:hAnsi="宋体"/>
              </w:rPr>
            </w:pPr>
            <w:r>
              <w:rPr>
                <w:rFonts w:ascii="宋体" w:hAnsi="宋体"/>
              </w:rPr>
              <w:sym w:font="Wingdings 2" w:char="00A3"/>
            </w:r>
            <w:r>
              <w:rPr>
                <w:rFonts w:ascii="宋体" w:hAnsi="宋体"/>
              </w:rPr>
              <w:t>经评审的最低价法</w:t>
            </w:r>
          </w:p>
          <w:p w14:paraId="3B53E88A">
            <w:pPr>
              <w:spacing w:line="440" w:lineRule="exact"/>
              <w:jc w:val="left"/>
              <w:rPr>
                <w:rFonts w:ascii="宋体" w:hAnsi="宋体"/>
              </w:rPr>
            </w:pPr>
            <w:r>
              <w:rPr>
                <w:rFonts w:ascii="宋体" w:hAnsi="宋体"/>
              </w:rPr>
              <w:sym w:font="Wingdings 2" w:char="0052"/>
            </w:r>
            <w:r>
              <w:rPr>
                <w:rFonts w:ascii="宋体" w:hAnsi="宋体"/>
              </w:rPr>
              <w:t>综合评分法</w:t>
            </w:r>
          </w:p>
        </w:tc>
      </w:tr>
      <w:tr w14:paraId="1EE40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4991AD6D">
            <w:pPr>
              <w:spacing w:line="440" w:lineRule="exact"/>
              <w:jc w:val="center"/>
              <w:rPr>
                <w:rFonts w:ascii="宋体" w:hAnsi="宋体"/>
              </w:rPr>
            </w:pPr>
            <w:r>
              <w:t>2</w:t>
            </w:r>
            <w:r>
              <w:rPr>
                <w:rFonts w:ascii="宋体" w:hAnsi="宋体"/>
              </w:rPr>
              <w:t>.</w:t>
            </w:r>
            <w:r>
              <w:t>1</w:t>
            </w:r>
            <w:r>
              <w:rPr>
                <w:rFonts w:ascii="宋体" w:hAnsi="宋体"/>
              </w:rPr>
              <w:t>.</w:t>
            </w:r>
            <w:r>
              <w:t>1</w:t>
            </w:r>
          </w:p>
        </w:tc>
        <w:tc>
          <w:tcPr>
            <w:tcW w:w="1447" w:type="dxa"/>
            <w:vMerge w:val="restart"/>
            <w:tcBorders>
              <w:top w:val="single" w:color="auto" w:sz="4" w:space="0"/>
              <w:right w:val="single" w:color="auto" w:sz="4" w:space="0"/>
            </w:tcBorders>
            <w:vAlign w:val="center"/>
          </w:tcPr>
          <w:p w14:paraId="2C8088B0">
            <w:pPr>
              <w:spacing w:line="440" w:lineRule="exact"/>
              <w:jc w:val="center"/>
              <w:rPr>
                <w:rFonts w:ascii="宋体" w:hAnsi="宋体"/>
              </w:rPr>
            </w:pPr>
            <w:r>
              <w:rPr>
                <w:rFonts w:ascii="宋体" w:hAnsi="宋体"/>
              </w:rPr>
              <w:t>形式评审标准</w:t>
            </w:r>
          </w:p>
        </w:tc>
        <w:tc>
          <w:tcPr>
            <w:tcW w:w="2178" w:type="dxa"/>
            <w:tcBorders>
              <w:top w:val="single" w:color="auto" w:sz="4" w:space="0"/>
              <w:left w:val="single" w:color="auto" w:sz="4" w:space="0"/>
              <w:bottom w:val="single" w:color="auto" w:sz="4" w:space="0"/>
              <w:right w:val="single" w:color="auto" w:sz="4" w:space="0"/>
            </w:tcBorders>
            <w:vAlign w:val="center"/>
          </w:tcPr>
          <w:p w14:paraId="6FC600DB">
            <w:pPr>
              <w:spacing w:line="440" w:lineRule="exact"/>
              <w:jc w:val="center"/>
              <w:rPr>
                <w:rFonts w:ascii="宋体" w:hAnsi="宋体"/>
              </w:rPr>
            </w:pPr>
            <w:r>
              <w:rPr>
                <w:rFonts w:ascii="宋体" w:hAnsi="宋体"/>
              </w:rPr>
              <w:t>供应商名称</w:t>
            </w:r>
          </w:p>
        </w:tc>
        <w:tc>
          <w:tcPr>
            <w:tcW w:w="4747" w:type="dxa"/>
            <w:tcBorders>
              <w:top w:val="single" w:color="auto" w:sz="4" w:space="0"/>
              <w:left w:val="single" w:color="auto" w:sz="4" w:space="0"/>
              <w:bottom w:val="single" w:color="auto" w:sz="4" w:space="0"/>
              <w:right w:val="single" w:color="auto" w:sz="4" w:space="0"/>
            </w:tcBorders>
            <w:vAlign w:val="center"/>
          </w:tcPr>
          <w:p w14:paraId="043C5FE2">
            <w:pPr>
              <w:spacing w:line="440" w:lineRule="exact"/>
              <w:rPr>
                <w:rFonts w:ascii="宋体" w:hAnsi="宋体"/>
              </w:rPr>
            </w:pPr>
            <w:r>
              <w:rPr>
                <w:rFonts w:ascii="宋体" w:hAnsi="宋体"/>
              </w:rPr>
              <w:t>与供应商须知</w:t>
            </w:r>
            <w:r>
              <w:t>3</w:t>
            </w:r>
            <w:r>
              <w:rPr>
                <w:rFonts w:ascii="宋体" w:hAnsi="宋体"/>
              </w:rPr>
              <w:t>.</w:t>
            </w:r>
            <w:r>
              <w:t>5</w:t>
            </w:r>
            <w:r>
              <w:rPr>
                <w:rFonts w:ascii="宋体" w:hAnsi="宋体"/>
              </w:rPr>
              <w:t>.</w:t>
            </w:r>
            <w:r>
              <w:t>1</w:t>
            </w:r>
            <w:r>
              <w:rPr>
                <w:rFonts w:ascii="宋体" w:hAnsi="宋体"/>
              </w:rPr>
              <w:t>款依法设立提供的证明材料一致。</w:t>
            </w:r>
          </w:p>
        </w:tc>
      </w:tr>
      <w:tr w14:paraId="0DD36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nil"/>
              <w:bottom w:val="single" w:color="auto" w:sz="4" w:space="0"/>
              <w:right w:val="single" w:color="auto" w:sz="4" w:space="0"/>
            </w:tcBorders>
            <w:vAlign w:val="center"/>
          </w:tcPr>
          <w:p w14:paraId="68E1661F">
            <w:pPr>
              <w:rPr>
                <w:rFonts w:ascii="宋体" w:hAnsi="宋体"/>
              </w:rPr>
            </w:pPr>
          </w:p>
        </w:tc>
        <w:tc>
          <w:tcPr>
            <w:tcW w:w="1447" w:type="dxa"/>
            <w:vMerge w:val="continue"/>
            <w:tcBorders>
              <w:right w:val="single" w:color="auto" w:sz="4" w:space="0"/>
            </w:tcBorders>
            <w:vAlign w:val="center"/>
          </w:tcPr>
          <w:p w14:paraId="3DFC88E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66CBA545">
            <w:pPr>
              <w:spacing w:line="440" w:lineRule="exact"/>
              <w:jc w:val="center"/>
              <w:rPr>
                <w:rFonts w:ascii="宋体" w:hAnsi="宋体"/>
              </w:rPr>
            </w:pPr>
            <w:r>
              <w:rPr>
                <w:rFonts w:ascii="宋体" w:hAnsi="宋体"/>
              </w:rPr>
              <w:t>响应文件签字盖章</w:t>
            </w:r>
          </w:p>
        </w:tc>
        <w:tc>
          <w:tcPr>
            <w:tcW w:w="4747" w:type="dxa"/>
            <w:tcBorders>
              <w:top w:val="single" w:color="auto" w:sz="4" w:space="0"/>
              <w:left w:val="single" w:color="auto" w:sz="4" w:space="0"/>
              <w:bottom w:val="single" w:color="auto" w:sz="4" w:space="0"/>
              <w:right w:val="single" w:color="auto" w:sz="4" w:space="0"/>
            </w:tcBorders>
            <w:vAlign w:val="center"/>
          </w:tcPr>
          <w:p w14:paraId="64A54134">
            <w:pPr>
              <w:spacing w:line="440" w:lineRule="exact"/>
              <w:rPr>
                <w:rFonts w:ascii="宋体" w:hAnsi="宋体"/>
              </w:rPr>
            </w:pPr>
            <w:r>
              <w:rPr>
                <w:rFonts w:ascii="宋体" w:hAnsi="宋体"/>
              </w:rPr>
              <w:t>符合第二章第</w:t>
            </w:r>
            <w:r>
              <w:t>3</w:t>
            </w:r>
            <w:r>
              <w:rPr>
                <w:rFonts w:ascii="宋体" w:hAnsi="宋体"/>
              </w:rPr>
              <w:t>.</w:t>
            </w:r>
            <w:r>
              <w:t>7</w:t>
            </w:r>
            <w:r>
              <w:rPr>
                <w:rFonts w:ascii="宋体" w:hAnsi="宋体"/>
              </w:rPr>
              <w:t>.</w:t>
            </w:r>
            <w:r>
              <w:t>4</w:t>
            </w:r>
            <w:r>
              <w:rPr>
                <w:rFonts w:ascii="宋体" w:hAnsi="宋体"/>
              </w:rPr>
              <w:t>项的规定</w:t>
            </w:r>
          </w:p>
        </w:tc>
      </w:tr>
      <w:tr w14:paraId="6D66A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1013" w:type="dxa"/>
            <w:vMerge w:val="continue"/>
            <w:tcBorders>
              <w:top w:val="nil"/>
              <w:bottom w:val="single" w:color="auto" w:sz="4" w:space="0"/>
              <w:right w:val="single" w:color="auto" w:sz="4" w:space="0"/>
            </w:tcBorders>
            <w:vAlign w:val="center"/>
          </w:tcPr>
          <w:p w14:paraId="4F041899">
            <w:pPr>
              <w:rPr>
                <w:rFonts w:ascii="宋体" w:hAnsi="宋体"/>
              </w:rPr>
            </w:pPr>
          </w:p>
        </w:tc>
        <w:tc>
          <w:tcPr>
            <w:tcW w:w="1447" w:type="dxa"/>
            <w:vMerge w:val="continue"/>
            <w:tcBorders>
              <w:right w:val="single" w:color="auto" w:sz="4" w:space="0"/>
            </w:tcBorders>
            <w:vAlign w:val="center"/>
          </w:tcPr>
          <w:p w14:paraId="1914B007">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128A6F88">
            <w:pPr>
              <w:spacing w:line="440" w:lineRule="exact"/>
              <w:jc w:val="center"/>
              <w:rPr>
                <w:rFonts w:ascii="宋体" w:hAnsi="宋体"/>
              </w:rPr>
            </w:pPr>
            <w:r>
              <w:rPr>
                <w:rFonts w:ascii="宋体" w:hAnsi="宋体"/>
              </w:rPr>
              <w:t>联合体协议书</w:t>
            </w:r>
          </w:p>
        </w:tc>
        <w:tc>
          <w:tcPr>
            <w:tcW w:w="4747" w:type="dxa"/>
            <w:tcBorders>
              <w:top w:val="single" w:color="auto" w:sz="4" w:space="0"/>
              <w:left w:val="single" w:color="auto" w:sz="4" w:space="0"/>
              <w:bottom w:val="single" w:color="auto" w:sz="4" w:space="0"/>
              <w:right w:val="single" w:color="auto" w:sz="4" w:space="0"/>
            </w:tcBorders>
            <w:vAlign w:val="center"/>
          </w:tcPr>
          <w:p w14:paraId="3EF915EF">
            <w:pPr>
              <w:rPr>
                <w:rFonts w:ascii="宋体" w:hAnsi="宋体"/>
              </w:rPr>
            </w:pPr>
            <w:r>
              <w:rPr>
                <w:rFonts w:hint="eastAsia" w:ascii="宋体" w:hAnsi="宋体"/>
              </w:rPr>
              <w:t>供应商未以联合体形式申请</w:t>
            </w:r>
          </w:p>
        </w:tc>
      </w:tr>
      <w:tr w14:paraId="5185B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nil"/>
              <w:bottom w:val="single" w:color="auto" w:sz="4" w:space="0"/>
              <w:right w:val="single" w:color="auto" w:sz="4" w:space="0"/>
            </w:tcBorders>
            <w:vAlign w:val="center"/>
          </w:tcPr>
          <w:p w14:paraId="60FCAA9F">
            <w:pPr>
              <w:rPr>
                <w:rFonts w:ascii="宋体" w:hAnsi="宋体"/>
              </w:rPr>
            </w:pPr>
          </w:p>
        </w:tc>
        <w:tc>
          <w:tcPr>
            <w:tcW w:w="1447" w:type="dxa"/>
            <w:vMerge w:val="continue"/>
            <w:tcBorders>
              <w:right w:val="single" w:color="auto" w:sz="4" w:space="0"/>
            </w:tcBorders>
            <w:vAlign w:val="center"/>
          </w:tcPr>
          <w:p w14:paraId="64354E00">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40CF5F15">
            <w:pPr>
              <w:spacing w:line="440" w:lineRule="exact"/>
              <w:jc w:val="center"/>
              <w:rPr>
                <w:rFonts w:ascii="宋体" w:hAnsi="宋体"/>
              </w:rPr>
            </w:pPr>
            <w:r>
              <w:rPr>
                <w:rFonts w:ascii="宋体" w:hAnsi="宋体"/>
              </w:rPr>
              <w:t>响应函中实质性内容</w:t>
            </w:r>
          </w:p>
        </w:tc>
        <w:tc>
          <w:tcPr>
            <w:tcW w:w="4747" w:type="dxa"/>
            <w:tcBorders>
              <w:top w:val="single" w:color="auto" w:sz="4" w:space="0"/>
              <w:left w:val="single" w:color="auto" w:sz="4" w:space="0"/>
              <w:bottom w:val="single" w:color="auto" w:sz="4" w:space="0"/>
              <w:right w:val="single" w:color="auto" w:sz="4" w:space="0"/>
            </w:tcBorders>
            <w:vAlign w:val="center"/>
          </w:tcPr>
          <w:p w14:paraId="2B4F2236">
            <w:pPr>
              <w:spacing w:line="440" w:lineRule="exact"/>
              <w:rPr>
                <w:rFonts w:ascii="宋体" w:hAnsi="宋体"/>
              </w:rPr>
            </w:pPr>
            <w:r>
              <w:rPr>
                <w:rFonts w:hint="eastAsia" w:ascii="宋体" w:hAnsi="宋体"/>
                <w:color w:val="000000"/>
                <w:szCs w:val="21"/>
              </w:rPr>
              <w:t>按采购文件规定填报了项目名称、补遗书编号（如有）、供货时间、交货地点、质量标准</w:t>
            </w:r>
          </w:p>
        </w:tc>
      </w:tr>
      <w:tr w14:paraId="3DD22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trPr>
        <w:tc>
          <w:tcPr>
            <w:tcW w:w="1013" w:type="dxa"/>
            <w:vMerge w:val="continue"/>
            <w:tcBorders>
              <w:top w:val="nil"/>
              <w:bottom w:val="single" w:color="auto" w:sz="4" w:space="0"/>
              <w:right w:val="single" w:color="auto" w:sz="4" w:space="0"/>
            </w:tcBorders>
          </w:tcPr>
          <w:p w14:paraId="030D67EF">
            <w:pPr>
              <w:rPr>
                <w:rFonts w:ascii="宋体" w:hAnsi="宋体"/>
              </w:rPr>
            </w:pPr>
          </w:p>
        </w:tc>
        <w:tc>
          <w:tcPr>
            <w:tcW w:w="1447" w:type="dxa"/>
            <w:vMerge w:val="continue"/>
            <w:tcBorders>
              <w:left w:val="single" w:color="auto" w:sz="4" w:space="0"/>
              <w:right w:val="single" w:color="auto" w:sz="4" w:space="0"/>
            </w:tcBorders>
          </w:tcPr>
          <w:p w14:paraId="2D0DBDCB">
            <w:pPr>
              <w:rPr>
                <w:rFonts w:ascii="宋体" w:hAnsi="宋体"/>
              </w:rPr>
            </w:pPr>
          </w:p>
        </w:tc>
        <w:tc>
          <w:tcPr>
            <w:tcW w:w="2178" w:type="dxa"/>
            <w:tcBorders>
              <w:top w:val="single" w:color="auto" w:sz="4" w:space="0"/>
              <w:left w:val="single" w:color="auto" w:sz="4" w:space="0"/>
              <w:right w:val="single" w:color="auto" w:sz="4" w:space="0"/>
            </w:tcBorders>
            <w:vAlign w:val="center"/>
          </w:tcPr>
          <w:p w14:paraId="208811CF">
            <w:pPr>
              <w:spacing w:line="440" w:lineRule="exact"/>
              <w:jc w:val="center"/>
              <w:rPr>
                <w:rFonts w:ascii="宋体" w:hAnsi="宋体"/>
              </w:rPr>
            </w:pPr>
            <w:r>
              <w:rPr>
                <w:rFonts w:hint="eastAsia" w:ascii="宋体" w:hAnsi="宋体"/>
              </w:rPr>
              <w:t>格式、内容</w:t>
            </w:r>
          </w:p>
        </w:tc>
        <w:tc>
          <w:tcPr>
            <w:tcW w:w="4747" w:type="dxa"/>
            <w:tcBorders>
              <w:left w:val="single" w:color="auto" w:sz="4" w:space="0"/>
            </w:tcBorders>
            <w:vAlign w:val="center"/>
          </w:tcPr>
          <w:p w14:paraId="79E9C021">
            <w:pPr>
              <w:spacing w:line="440" w:lineRule="exact"/>
              <w:rPr>
                <w:rFonts w:ascii="宋体" w:hAnsi="宋体"/>
              </w:rPr>
            </w:pPr>
            <w:r>
              <w:rPr>
                <w:rFonts w:hint="eastAsia" w:ascii="宋体" w:hAnsi="宋体"/>
              </w:rPr>
              <w:t>响应文件按照采购文件规定的格式、内容填写，字迹清晰可辨：</w:t>
            </w:r>
          </w:p>
          <w:p w14:paraId="039FF151">
            <w:pPr>
              <w:spacing w:line="440" w:lineRule="exact"/>
              <w:rPr>
                <w:rFonts w:ascii="宋体" w:hAnsi="宋体"/>
              </w:rPr>
            </w:pPr>
            <w:r>
              <w:rPr>
                <w:rFonts w:hint="eastAsia" w:ascii="宋体" w:hAnsi="宋体"/>
              </w:rPr>
              <w:t>a</w:t>
            </w:r>
            <w:r>
              <w:rPr>
                <w:rFonts w:ascii="宋体" w:hAnsi="宋体"/>
              </w:rPr>
              <w:t>.</w:t>
            </w:r>
            <w:r>
              <w:rPr>
                <w:rFonts w:hint="eastAsia" w:ascii="宋体" w:hAnsi="宋体"/>
              </w:rPr>
              <w:t>响应函内容均符合采购文件规定；</w:t>
            </w:r>
          </w:p>
          <w:p w14:paraId="01AB535F">
            <w:pPr>
              <w:spacing w:line="440" w:lineRule="exact"/>
              <w:rPr>
                <w:rFonts w:ascii="宋体" w:hAnsi="宋体"/>
              </w:rPr>
            </w:pPr>
            <w:r>
              <w:rPr>
                <w:rFonts w:hint="eastAsia" w:ascii="宋体" w:hAnsi="宋体"/>
              </w:rPr>
              <w:t>b.响应文件组成齐全完整，内容均按规定填写。</w:t>
            </w:r>
          </w:p>
        </w:tc>
      </w:tr>
      <w:tr w14:paraId="26C11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076D591A">
            <w:pPr>
              <w:spacing w:line="440" w:lineRule="exact"/>
              <w:jc w:val="center"/>
              <w:rPr>
                <w:rFonts w:ascii="宋体" w:hAnsi="宋体"/>
              </w:rPr>
            </w:pPr>
            <w:r>
              <w:t>2</w:t>
            </w:r>
            <w:r>
              <w:rPr>
                <w:rFonts w:ascii="宋体" w:hAnsi="宋体"/>
              </w:rPr>
              <w:t>.</w:t>
            </w:r>
            <w:r>
              <w:t>1</w:t>
            </w:r>
            <w:r>
              <w:rPr>
                <w:rFonts w:ascii="宋体" w:hAnsi="宋体"/>
              </w:rPr>
              <w:t>.</w:t>
            </w:r>
            <w:r>
              <w:t>2</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5A0280DF">
            <w:pPr>
              <w:spacing w:line="440" w:lineRule="exact"/>
              <w:jc w:val="center"/>
              <w:rPr>
                <w:rFonts w:ascii="宋体" w:hAnsi="宋体"/>
              </w:rPr>
            </w:pPr>
            <w:r>
              <w:rPr>
                <w:rFonts w:ascii="宋体" w:hAnsi="宋体"/>
              </w:rPr>
              <w:t>资格评审标准</w:t>
            </w:r>
          </w:p>
        </w:tc>
        <w:tc>
          <w:tcPr>
            <w:tcW w:w="2178" w:type="dxa"/>
            <w:tcBorders>
              <w:top w:val="single" w:color="auto" w:sz="4" w:space="0"/>
              <w:left w:val="single" w:color="auto" w:sz="4" w:space="0"/>
              <w:bottom w:val="single" w:color="auto" w:sz="4" w:space="0"/>
              <w:right w:val="single" w:color="auto" w:sz="4" w:space="0"/>
            </w:tcBorders>
            <w:vAlign w:val="center"/>
          </w:tcPr>
          <w:p w14:paraId="5B071112">
            <w:pPr>
              <w:spacing w:line="440" w:lineRule="exact"/>
              <w:jc w:val="center"/>
              <w:rPr>
                <w:rFonts w:ascii="宋体" w:hAnsi="宋体"/>
              </w:rPr>
            </w:pPr>
            <w:r>
              <w:rPr>
                <w:rFonts w:ascii="宋体" w:hAnsi="宋体"/>
              </w:rPr>
              <w:t>依法设立</w:t>
            </w:r>
          </w:p>
        </w:tc>
        <w:tc>
          <w:tcPr>
            <w:tcW w:w="4747" w:type="dxa"/>
            <w:tcBorders>
              <w:top w:val="single" w:color="auto" w:sz="4" w:space="0"/>
              <w:left w:val="single" w:color="auto" w:sz="4" w:space="0"/>
              <w:bottom w:val="single" w:color="auto" w:sz="4" w:space="0"/>
              <w:right w:val="single" w:color="auto" w:sz="4" w:space="0"/>
            </w:tcBorders>
            <w:vAlign w:val="center"/>
          </w:tcPr>
          <w:p w14:paraId="37E42CE1">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1</w:t>
            </w:r>
            <w:r>
              <w:rPr>
                <w:rFonts w:ascii="宋体" w:hAnsi="宋体"/>
              </w:rPr>
              <w:t>款规定</w:t>
            </w:r>
          </w:p>
        </w:tc>
      </w:tr>
      <w:tr w14:paraId="56CC1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9DD26FA">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ECEAF2E">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46C2B137">
            <w:pPr>
              <w:spacing w:line="440" w:lineRule="exact"/>
              <w:jc w:val="center"/>
              <w:rPr>
                <w:rFonts w:ascii="宋体" w:hAnsi="宋体"/>
              </w:rPr>
            </w:pPr>
            <w:r>
              <w:rPr>
                <w:rFonts w:ascii="宋体" w:hAnsi="宋体"/>
              </w:rPr>
              <w:t>资质要求</w:t>
            </w:r>
          </w:p>
        </w:tc>
        <w:tc>
          <w:tcPr>
            <w:tcW w:w="4747" w:type="dxa"/>
            <w:tcBorders>
              <w:top w:val="single" w:color="auto" w:sz="4" w:space="0"/>
              <w:left w:val="single" w:color="auto" w:sz="4" w:space="0"/>
              <w:bottom w:val="single" w:color="auto" w:sz="4" w:space="0"/>
              <w:right w:val="single" w:color="auto" w:sz="4" w:space="0"/>
            </w:tcBorders>
            <w:vAlign w:val="center"/>
          </w:tcPr>
          <w:p w14:paraId="7EDB0822">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2</w:t>
            </w:r>
            <w:r>
              <w:rPr>
                <w:rFonts w:ascii="宋体" w:hAnsi="宋体"/>
              </w:rPr>
              <w:t>款规定</w:t>
            </w:r>
          </w:p>
        </w:tc>
      </w:tr>
      <w:tr w14:paraId="383BA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1ADADD4A">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15F228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D04DBE8">
            <w:pPr>
              <w:spacing w:line="440" w:lineRule="exact"/>
              <w:jc w:val="center"/>
              <w:rPr>
                <w:rFonts w:ascii="宋体" w:hAnsi="宋体"/>
              </w:rPr>
            </w:pPr>
            <w:r>
              <w:rPr>
                <w:rFonts w:ascii="宋体" w:hAnsi="宋体"/>
              </w:rPr>
              <w:t>业绩要求</w:t>
            </w:r>
          </w:p>
        </w:tc>
        <w:tc>
          <w:tcPr>
            <w:tcW w:w="4747" w:type="dxa"/>
            <w:tcBorders>
              <w:top w:val="single" w:color="auto" w:sz="4" w:space="0"/>
              <w:left w:val="single" w:color="auto" w:sz="4" w:space="0"/>
              <w:bottom w:val="single" w:color="auto" w:sz="4" w:space="0"/>
              <w:right w:val="single" w:color="auto" w:sz="4" w:space="0"/>
            </w:tcBorders>
            <w:vAlign w:val="center"/>
          </w:tcPr>
          <w:p w14:paraId="50341217">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4</w:t>
            </w:r>
            <w:r>
              <w:rPr>
                <w:rFonts w:ascii="宋体" w:hAnsi="宋体"/>
              </w:rPr>
              <w:t>款规定</w:t>
            </w:r>
          </w:p>
        </w:tc>
      </w:tr>
      <w:tr w14:paraId="3F093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1013" w:type="dxa"/>
            <w:vMerge w:val="continue"/>
            <w:tcBorders>
              <w:top w:val="single" w:color="auto" w:sz="4" w:space="0"/>
              <w:bottom w:val="single" w:color="auto" w:sz="4" w:space="0"/>
              <w:right w:val="single" w:color="auto" w:sz="4" w:space="0"/>
            </w:tcBorders>
            <w:vAlign w:val="center"/>
          </w:tcPr>
          <w:p w14:paraId="2DF6CBAE">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15FE5017">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5EB34D6A">
            <w:pPr>
              <w:spacing w:line="440" w:lineRule="exact"/>
              <w:jc w:val="center"/>
              <w:rPr>
                <w:rFonts w:ascii="宋体" w:hAnsi="宋体"/>
              </w:rPr>
            </w:pPr>
            <w:r>
              <w:rPr>
                <w:rFonts w:ascii="宋体" w:hAnsi="宋体"/>
              </w:rPr>
              <w:t>信誉要求</w:t>
            </w:r>
          </w:p>
        </w:tc>
        <w:tc>
          <w:tcPr>
            <w:tcW w:w="4747" w:type="dxa"/>
            <w:tcBorders>
              <w:top w:val="single" w:color="auto" w:sz="4" w:space="0"/>
              <w:left w:val="single" w:color="auto" w:sz="4" w:space="0"/>
              <w:bottom w:val="single" w:color="auto" w:sz="4" w:space="0"/>
              <w:right w:val="single" w:color="auto" w:sz="4" w:space="0"/>
            </w:tcBorders>
            <w:vAlign w:val="center"/>
          </w:tcPr>
          <w:p w14:paraId="23E3614D">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5</w:t>
            </w:r>
            <w:r>
              <w:rPr>
                <w:rFonts w:ascii="宋体" w:hAnsi="宋体"/>
              </w:rPr>
              <w:t>款规定</w:t>
            </w:r>
          </w:p>
        </w:tc>
      </w:tr>
      <w:tr w14:paraId="04CDB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1013" w:type="dxa"/>
            <w:vMerge w:val="continue"/>
            <w:tcBorders>
              <w:bottom w:val="single" w:color="auto" w:sz="4" w:space="0"/>
              <w:right w:val="single" w:color="auto" w:sz="4" w:space="0"/>
            </w:tcBorders>
            <w:vAlign w:val="center"/>
          </w:tcPr>
          <w:p w14:paraId="5DB6F167">
            <w:pPr>
              <w:spacing w:line="440" w:lineRule="exact"/>
            </w:pPr>
          </w:p>
        </w:tc>
        <w:tc>
          <w:tcPr>
            <w:tcW w:w="1447" w:type="dxa"/>
            <w:vMerge w:val="continue"/>
            <w:tcBorders>
              <w:left w:val="single" w:color="auto" w:sz="4" w:space="0"/>
              <w:bottom w:val="single" w:color="auto" w:sz="4" w:space="0"/>
              <w:right w:val="single" w:color="auto" w:sz="4" w:space="0"/>
            </w:tcBorders>
            <w:vAlign w:val="center"/>
          </w:tcPr>
          <w:p w14:paraId="7DFB3906">
            <w:pPr>
              <w:spacing w:line="440" w:lineRule="exact"/>
            </w:pPr>
          </w:p>
        </w:tc>
        <w:tc>
          <w:tcPr>
            <w:tcW w:w="2178" w:type="dxa"/>
            <w:tcBorders>
              <w:top w:val="single" w:color="auto" w:sz="4" w:space="0"/>
              <w:left w:val="single" w:color="auto" w:sz="4" w:space="0"/>
              <w:bottom w:val="single" w:color="auto" w:sz="4" w:space="0"/>
              <w:right w:val="single" w:color="auto" w:sz="4" w:space="0"/>
            </w:tcBorders>
            <w:vAlign w:val="center"/>
          </w:tcPr>
          <w:p w14:paraId="723976CA">
            <w:pPr>
              <w:spacing w:line="440" w:lineRule="exact"/>
              <w:jc w:val="center"/>
              <w:rPr>
                <w:rFonts w:hint="default" w:ascii="宋体" w:hAnsi="宋体" w:eastAsia="宋体"/>
                <w:lang w:val="en-US" w:eastAsia="zh-CN"/>
              </w:rPr>
            </w:pPr>
            <w:r>
              <w:rPr>
                <w:rFonts w:hint="eastAsia" w:ascii="宋体" w:hAnsi="宋体"/>
                <w:lang w:val="en-US" w:eastAsia="zh-CN"/>
              </w:rPr>
              <w:t>其他要求</w:t>
            </w:r>
          </w:p>
        </w:tc>
        <w:tc>
          <w:tcPr>
            <w:tcW w:w="4747" w:type="dxa"/>
            <w:tcBorders>
              <w:top w:val="single" w:color="auto" w:sz="4" w:space="0"/>
              <w:left w:val="single" w:color="auto" w:sz="4" w:space="0"/>
              <w:bottom w:val="single" w:color="auto" w:sz="4" w:space="0"/>
              <w:right w:val="single" w:color="auto" w:sz="4" w:space="0"/>
            </w:tcBorders>
            <w:vAlign w:val="center"/>
          </w:tcPr>
          <w:p w14:paraId="03AEB46A">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rPr>
                <w:rFonts w:hint="eastAsia"/>
                <w:lang w:val="en-US" w:eastAsia="zh-CN"/>
              </w:rPr>
              <w:t>7</w:t>
            </w:r>
            <w:r>
              <w:rPr>
                <w:rFonts w:ascii="宋体" w:hAnsi="宋体"/>
              </w:rPr>
              <w:t>款规定</w:t>
            </w:r>
          </w:p>
        </w:tc>
      </w:tr>
      <w:tr w14:paraId="5044A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5C910B3">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0FA4F8E3">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10AA69C7">
            <w:pPr>
              <w:spacing w:line="440" w:lineRule="exact"/>
              <w:jc w:val="center"/>
              <w:rPr>
                <w:rFonts w:ascii="宋体" w:hAnsi="宋体"/>
              </w:rPr>
            </w:pPr>
            <w:r>
              <w:rPr>
                <w:rFonts w:ascii="宋体" w:hAnsi="宋体"/>
              </w:rPr>
              <w:t>不存在第一章第</w:t>
            </w:r>
            <w:r>
              <w:rPr>
                <w:szCs w:val="21"/>
              </w:rPr>
              <w:t>3</w:t>
            </w:r>
            <w:r>
              <w:rPr>
                <w:rFonts w:ascii="宋体" w:hAnsi="宋体"/>
                <w:szCs w:val="21"/>
              </w:rPr>
              <w:t>.</w:t>
            </w:r>
            <w:r>
              <w:rPr>
                <w:szCs w:val="21"/>
              </w:rPr>
              <w:t>2</w:t>
            </w:r>
            <w:r>
              <w:rPr>
                <w:rFonts w:ascii="宋体" w:hAnsi="宋体"/>
                <w:szCs w:val="21"/>
              </w:rPr>
              <w:t>款</w:t>
            </w:r>
            <w:r>
              <w:rPr>
                <w:rFonts w:ascii="宋体" w:hAnsi="宋体"/>
              </w:rPr>
              <w:t>情形</w:t>
            </w:r>
          </w:p>
        </w:tc>
        <w:tc>
          <w:tcPr>
            <w:tcW w:w="4747" w:type="dxa"/>
            <w:tcBorders>
              <w:top w:val="single" w:color="auto" w:sz="4" w:space="0"/>
              <w:left w:val="single" w:color="auto" w:sz="4" w:space="0"/>
              <w:bottom w:val="single" w:color="auto" w:sz="4" w:space="0"/>
              <w:right w:val="single" w:color="auto" w:sz="4" w:space="0"/>
            </w:tcBorders>
            <w:vAlign w:val="center"/>
          </w:tcPr>
          <w:p w14:paraId="174DF52A">
            <w:pPr>
              <w:spacing w:line="440" w:lineRule="exact"/>
              <w:rPr>
                <w:rFonts w:ascii="宋体" w:hAnsi="宋体"/>
              </w:rPr>
            </w:pPr>
            <w:r>
              <w:rPr>
                <w:rFonts w:ascii="宋体" w:hAnsi="宋体"/>
              </w:rPr>
              <w:t>符合第一章第</w:t>
            </w:r>
            <w:r>
              <w:t>3</w:t>
            </w:r>
            <w:r>
              <w:rPr>
                <w:rFonts w:ascii="宋体" w:hAnsi="宋体"/>
              </w:rPr>
              <w:t>.</w:t>
            </w:r>
            <w:r>
              <w:t>2</w:t>
            </w:r>
            <w:r>
              <w:rPr>
                <w:rFonts w:ascii="宋体" w:hAnsi="宋体"/>
              </w:rPr>
              <w:t>款及供应商须知第</w:t>
            </w:r>
            <w:r>
              <w:t>3</w:t>
            </w:r>
            <w:r>
              <w:rPr>
                <w:rFonts w:ascii="宋体" w:hAnsi="宋体"/>
              </w:rPr>
              <w:t>.</w:t>
            </w:r>
            <w:r>
              <w:t>5</w:t>
            </w:r>
            <w:r>
              <w:rPr>
                <w:rFonts w:ascii="宋体" w:hAnsi="宋体"/>
              </w:rPr>
              <w:t>.</w:t>
            </w:r>
            <w:r>
              <w:t>8</w:t>
            </w:r>
            <w:r>
              <w:rPr>
                <w:rFonts w:ascii="宋体" w:hAnsi="宋体"/>
              </w:rPr>
              <w:t>款规定</w:t>
            </w:r>
          </w:p>
        </w:tc>
      </w:tr>
      <w:tr w14:paraId="6C067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478F5385">
            <w:pPr>
              <w:spacing w:line="440" w:lineRule="exact"/>
              <w:jc w:val="center"/>
              <w:rPr>
                <w:rFonts w:ascii="宋体" w:hAnsi="宋体"/>
              </w:rPr>
            </w:pPr>
            <w:r>
              <w:t>2</w:t>
            </w:r>
            <w:r>
              <w:rPr>
                <w:rFonts w:ascii="宋体" w:hAnsi="宋体"/>
              </w:rPr>
              <w:t>.</w:t>
            </w:r>
            <w:r>
              <w:t>1</w:t>
            </w:r>
            <w:r>
              <w:rPr>
                <w:rFonts w:ascii="宋体" w:hAnsi="宋体"/>
              </w:rPr>
              <w:t>.</w:t>
            </w:r>
            <w:r>
              <w:t>3</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71BBABCB">
            <w:pPr>
              <w:spacing w:line="440" w:lineRule="exact"/>
              <w:jc w:val="center"/>
              <w:rPr>
                <w:rFonts w:ascii="宋体" w:hAnsi="宋体"/>
              </w:rPr>
            </w:pPr>
            <w:r>
              <w:rPr>
                <w:rFonts w:ascii="宋体" w:hAnsi="宋体"/>
              </w:rPr>
              <w:t>响应性评审标准</w:t>
            </w:r>
          </w:p>
        </w:tc>
        <w:tc>
          <w:tcPr>
            <w:tcW w:w="2178" w:type="dxa"/>
            <w:tcBorders>
              <w:top w:val="single" w:color="auto" w:sz="4" w:space="0"/>
              <w:left w:val="single" w:color="auto" w:sz="4" w:space="0"/>
              <w:bottom w:val="single" w:color="auto" w:sz="4" w:space="0"/>
              <w:right w:val="single" w:color="auto" w:sz="4" w:space="0"/>
            </w:tcBorders>
          </w:tcPr>
          <w:p w14:paraId="09EE1ABA">
            <w:pPr>
              <w:spacing w:line="440" w:lineRule="exact"/>
              <w:jc w:val="center"/>
              <w:rPr>
                <w:rFonts w:ascii="宋体" w:hAnsi="宋体"/>
              </w:rPr>
            </w:pPr>
            <w:r>
              <w:rPr>
                <w:rFonts w:ascii="宋体" w:hAnsi="宋体"/>
              </w:rPr>
              <w:t>响应文件有效期</w:t>
            </w:r>
          </w:p>
        </w:tc>
        <w:tc>
          <w:tcPr>
            <w:tcW w:w="4747" w:type="dxa"/>
            <w:tcBorders>
              <w:top w:val="single" w:color="auto" w:sz="4" w:space="0"/>
              <w:left w:val="single" w:color="auto" w:sz="4" w:space="0"/>
              <w:bottom w:val="single" w:color="auto" w:sz="4" w:space="0"/>
            </w:tcBorders>
          </w:tcPr>
          <w:p w14:paraId="482858A9">
            <w:pPr>
              <w:spacing w:line="440" w:lineRule="exact"/>
              <w:jc w:val="left"/>
              <w:rPr>
                <w:rFonts w:ascii="宋体" w:hAnsi="宋体"/>
              </w:rPr>
            </w:pPr>
            <w:r>
              <w:rPr>
                <w:rFonts w:ascii="宋体" w:hAnsi="宋体"/>
              </w:rPr>
              <w:t>符合第二章第</w:t>
            </w:r>
            <w:r>
              <w:t>3</w:t>
            </w:r>
            <w:r>
              <w:rPr>
                <w:rFonts w:ascii="宋体" w:hAnsi="宋体"/>
              </w:rPr>
              <w:t>.</w:t>
            </w:r>
            <w:r>
              <w:t>3</w:t>
            </w:r>
            <w:r>
              <w:rPr>
                <w:rFonts w:ascii="宋体" w:hAnsi="宋体"/>
              </w:rPr>
              <w:t>.</w:t>
            </w:r>
            <w:r>
              <w:t>1</w:t>
            </w:r>
            <w:r>
              <w:rPr>
                <w:rFonts w:ascii="宋体" w:hAnsi="宋体"/>
              </w:rPr>
              <w:t>项规定</w:t>
            </w:r>
          </w:p>
        </w:tc>
      </w:tr>
      <w:tr w14:paraId="663BF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5BF71DE9">
            <w:pPr>
              <w:spacing w:line="440" w:lineRule="exact"/>
              <w:jc w:val="cente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5A6E3979">
            <w:pPr>
              <w:spacing w:line="440" w:lineRule="exact"/>
              <w:jc w:val="center"/>
              <w:rPr>
                <w:rFonts w:ascii="宋体" w:hAnsi="宋体"/>
              </w:rPr>
            </w:pPr>
          </w:p>
        </w:tc>
        <w:tc>
          <w:tcPr>
            <w:tcW w:w="2178" w:type="dxa"/>
            <w:tcBorders>
              <w:top w:val="single" w:color="auto" w:sz="4" w:space="0"/>
              <w:left w:val="single" w:color="auto" w:sz="4" w:space="0"/>
              <w:bottom w:val="single" w:color="auto" w:sz="4" w:space="0"/>
              <w:right w:val="single" w:color="auto" w:sz="4" w:space="0"/>
            </w:tcBorders>
          </w:tcPr>
          <w:p w14:paraId="199A0D10">
            <w:pPr>
              <w:spacing w:line="440" w:lineRule="exact"/>
              <w:jc w:val="center"/>
              <w:rPr>
                <w:rFonts w:ascii="宋体" w:hAnsi="宋体"/>
              </w:rPr>
            </w:pPr>
            <w:r>
              <w:rPr>
                <w:rFonts w:ascii="宋体" w:hAnsi="宋体"/>
              </w:rPr>
              <w:t>响应方案</w:t>
            </w:r>
          </w:p>
        </w:tc>
        <w:tc>
          <w:tcPr>
            <w:tcW w:w="4747" w:type="dxa"/>
            <w:tcBorders>
              <w:top w:val="single" w:color="auto" w:sz="4" w:space="0"/>
              <w:left w:val="single" w:color="auto" w:sz="4" w:space="0"/>
              <w:bottom w:val="single" w:color="auto" w:sz="4" w:space="0"/>
            </w:tcBorders>
          </w:tcPr>
          <w:p w14:paraId="561C2B71">
            <w:pPr>
              <w:spacing w:line="440" w:lineRule="exact"/>
              <w:jc w:val="left"/>
              <w:rPr>
                <w:rFonts w:ascii="宋体" w:hAnsi="宋体"/>
              </w:rPr>
            </w:pPr>
            <w:r>
              <w:rPr>
                <w:rFonts w:ascii="宋体" w:hAnsi="宋体"/>
              </w:rPr>
              <w:t>符合第二章第</w:t>
            </w:r>
            <w:r>
              <w:t>3</w:t>
            </w:r>
            <w:r>
              <w:rPr>
                <w:rFonts w:ascii="宋体" w:hAnsi="宋体"/>
              </w:rPr>
              <w:t>.</w:t>
            </w:r>
            <w:r>
              <w:t>6</w:t>
            </w:r>
            <w:r>
              <w:rPr>
                <w:rFonts w:ascii="宋体" w:hAnsi="宋体"/>
              </w:rPr>
              <w:t>款规定</w:t>
            </w:r>
          </w:p>
        </w:tc>
      </w:tr>
      <w:tr w14:paraId="0A84D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CD2238F">
            <w:pPr>
              <w:spacing w:line="440" w:lineRule="exact"/>
              <w:jc w:val="cente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DBC2A8E">
            <w:pPr>
              <w:spacing w:line="440" w:lineRule="exact"/>
              <w:jc w:val="cente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26BF17AE">
            <w:pPr>
              <w:spacing w:line="440" w:lineRule="exact"/>
              <w:jc w:val="center"/>
              <w:rPr>
                <w:rFonts w:ascii="宋体" w:hAnsi="宋体"/>
              </w:rPr>
            </w:pPr>
            <w:r>
              <w:rPr>
                <w:rFonts w:ascii="宋体" w:hAnsi="宋体"/>
              </w:rPr>
              <w:t>质量标准</w:t>
            </w:r>
          </w:p>
        </w:tc>
        <w:tc>
          <w:tcPr>
            <w:tcW w:w="4747" w:type="dxa"/>
            <w:tcBorders>
              <w:top w:val="single" w:color="auto" w:sz="4" w:space="0"/>
              <w:left w:val="single" w:color="auto" w:sz="4" w:space="0"/>
              <w:bottom w:val="single" w:color="auto" w:sz="4" w:space="0"/>
            </w:tcBorders>
            <w:vAlign w:val="center"/>
          </w:tcPr>
          <w:p w14:paraId="2D4E368D">
            <w:pPr>
              <w:spacing w:line="440" w:lineRule="exact"/>
              <w:jc w:val="left"/>
              <w:rPr>
                <w:rFonts w:ascii="宋体" w:hAnsi="宋体"/>
              </w:rPr>
            </w:pPr>
            <w:r>
              <w:rPr>
                <w:rFonts w:ascii="宋体" w:hAnsi="宋体"/>
              </w:rPr>
              <w:t>符合第一章第</w:t>
            </w:r>
            <w:r>
              <w:t>2</w:t>
            </w:r>
            <w:r>
              <w:rPr>
                <w:rFonts w:ascii="宋体" w:hAnsi="宋体"/>
              </w:rPr>
              <w:t>条规定</w:t>
            </w:r>
          </w:p>
        </w:tc>
      </w:tr>
      <w:tr w14:paraId="41A74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77D8F169">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0760263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1ABD8C1">
            <w:pPr>
              <w:spacing w:line="440" w:lineRule="exact"/>
              <w:jc w:val="center"/>
              <w:rPr>
                <w:rFonts w:ascii="宋体" w:hAnsi="宋体"/>
              </w:rPr>
            </w:pPr>
            <w:r>
              <w:rPr>
                <w:rFonts w:ascii="宋体" w:hAnsi="宋体"/>
              </w:rPr>
              <w:t>合同条款</w:t>
            </w:r>
          </w:p>
        </w:tc>
        <w:tc>
          <w:tcPr>
            <w:tcW w:w="4747" w:type="dxa"/>
            <w:tcBorders>
              <w:top w:val="single" w:color="auto" w:sz="4" w:space="0"/>
              <w:left w:val="single" w:color="auto" w:sz="4" w:space="0"/>
              <w:bottom w:val="single" w:color="auto" w:sz="4" w:space="0"/>
            </w:tcBorders>
            <w:vAlign w:val="center"/>
          </w:tcPr>
          <w:p w14:paraId="00775E3F">
            <w:pPr>
              <w:spacing w:line="440" w:lineRule="exact"/>
              <w:jc w:val="left"/>
              <w:rPr>
                <w:rFonts w:ascii="宋体" w:hAnsi="宋体"/>
              </w:rPr>
            </w:pPr>
            <w:r>
              <w:rPr>
                <w:rFonts w:ascii="宋体" w:hAnsi="宋体"/>
              </w:rPr>
              <w:t>符合第二章第</w:t>
            </w:r>
            <w:r>
              <w:t>1</w:t>
            </w:r>
            <w:r>
              <w:rPr>
                <w:rFonts w:ascii="宋体" w:hAnsi="宋体"/>
              </w:rPr>
              <w:t>.</w:t>
            </w:r>
            <w:r>
              <w:t>10</w:t>
            </w:r>
            <w:r>
              <w:rPr>
                <w:rFonts w:ascii="宋体" w:hAnsi="宋体"/>
              </w:rPr>
              <w:t>.</w:t>
            </w:r>
            <w:r>
              <w:t>1</w:t>
            </w:r>
            <w:r>
              <w:rPr>
                <w:rFonts w:ascii="宋体" w:hAnsi="宋体"/>
              </w:rPr>
              <w:t>项规定</w:t>
            </w:r>
          </w:p>
        </w:tc>
      </w:tr>
      <w:tr w14:paraId="0E046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1013" w:type="dxa"/>
            <w:vMerge w:val="continue"/>
            <w:tcBorders>
              <w:top w:val="single" w:color="auto" w:sz="4" w:space="0"/>
              <w:bottom w:val="single" w:color="auto" w:sz="4" w:space="0"/>
              <w:right w:val="single" w:color="auto" w:sz="4" w:space="0"/>
            </w:tcBorders>
            <w:vAlign w:val="center"/>
          </w:tcPr>
          <w:p w14:paraId="489E7996">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4999263">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79A86363">
            <w:pPr>
              <w:spacing w:line="440" w:lineRule="exact"/>
              <w:jc w:val="center"/>
              <w:rPr>
                <w:rFonts w:ascii="宋体" w:hAnsi="宋体"/>
              </w:rPr>
            </w:pPr>
            <w:r>
              <w:rPr>
                <w:rFonts w:ascii="宋体" w:hAnsi="宋体"/>
              </w:rPr>
              <w:t>对非关键条款的偏差</w:t>
            </w:r>
          </w:p>
        </w:tc>
        <w:tc>
          <w:tcPr>
            <w:tcW w:w="4747" w:type="dxa"/>
            <w:tcBorders>
              <w:top w:val="single" w:color="auto" w:sz="4" w:space="0"/>
              <w:left w:val="single" w:color="auto" w:sz="4" w:space="0"/>
              <w:bottom w:val="single" w:color="auto" w:sz="4" w:space="0"/>
            </w:tcBorders>
            <w:vAlign w:val="center"/>
          </w:tcPr>
          <w:p w14:paraId="1C45E628">
            <w:pPr>
              <w:spacing w:line="440" w:lineRule="exact"/>
              <w:rPr>
                <w:rFonts w:ascii="宋体" w:hAnsi="宋体"/>
              </w:rPr>
            </w:pPr>
            <w:r>
              <w:rPr>
                <w:rFonts w:ascii="宋体" w:hAnsi="宋体"/>
              </w:rPr>
              <w:t>偏差范围和偏差项数符合第二章第</w:t>
            </w:r>
            <w:r>
              <w:t>1</w:t>
            </w:r>
            <w:r>
              <w:rPr>
                <w:rFonts w:ascii="宋体" w:hAnsi="宋体"/>
              </w:rPr>
              <w:t>.</w:t>
            </w:r>
            <w:r>
              <w:t>10</w:t>
            </w:r>
            <w:r>
              <w:rPr>
                <w:rFonts w:ascii="宋体" w:hAnsi="宋体"/>
              </w:rPr>
              <w:t>.</w:t>
            </w:r>
            <w:r>
              <w:t>2</w:t>
            </w:r>
            <w:r>
              <w:rPr>
                <w:rFonts w:ascii="宋体" w:hAnsi="宋体"/>
              </w:rPr>
              <w:t>项规定</w:t>
            </w:r>
          </w:p>
        </w:tc>
      </w:tr>
      <w:tr w14:paraId="2BA7B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3" w:hRule="atLeast"/>
        </w:trPr>
        <w:tc>
          <w:tcPr>
            <w:tcW w:w="1013" w:type="dxa"/>
            <w:vMerge w:val="continue"/>
            <w:tcBorders>
              <w:top w:val="single" w:color="auto" w:sz="4" w:space="0"/>
              <w:bottom w:val="single" w:color="auto" w:sz="4" w:space="0"/>
              <w:right w:val="single" w:color="auto" w:sz="4" w:space="0"/>
            </w:tcBorders>
            <w:vAlign w:val="center"/>
          </w:tcPr>
          <w:p w14:paraId="6D8A8B1C">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24A45AB4">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14E22D0">
            <w:pPr>
              <w:tabs>
                <w:tab w:val="left" w:pos="1914"/>
              </w:tabs>
              <w:spacing w:before="38"/>
              <w:jc w:val="center"/>
              <w:rPr>
                <w:rFonts w:ascii="宋体" w:hAnsi="宋体"/>
              </w:rPr>
            </w:pPr>
            <w:r>
              <w:rPr>
                <w:rFonts w:hint="eastAsia" w:ascii="宋体" w:hAnsi="宋体"/>
              </w:rPr>
              <w:t>分包</w:t>
            </w:r>
          </w:p>
        </w:tc>
        <w:tc>
          <w:tcPr>
            <w:tcW w:w="4747" w:type="dxa"/>
            <w:tcBorders>
              <w:top w:val="single" w:color="auto" w:sz="4" w:space="0"/>
              <w:left w:val="single" w:color="auto" w:sz="4" w:space="0"/>
              <w:bottom w:val="single" w:color="auto" w:sz="4" w:space="0"/>
            </w:tcBorders>
            <w:vAlign w:val="center"/>
          </w:tcPr>
          <w:p w14:paraId="6C408BA4">
            <w:pPr>
              <w:tabs>
                <w:tab w:val="left" w:pos="1914"/>
              </w:tabs>
              <w:spacing w:before="38"/>
              <w:ind w:right="268"/>
              <w:jc w:val="left"/>
              <w:rPr>
                <w:rFonts w:ascii="宋体" w:hAnsi="宋体"/>
              </w:rPr>
            </w:pPr>
            <w:r>
              <w:rPr>
                <w:rFonts w:hint="eastAsia" w:ascii="宋体" w:hAnsi="宋体"/>
                <w:w w:val="105"/>
                <w:szCs w:val="21"/>
              </w:rPr>
              <w:t>供应商</w:t>
            </w:r>
            <w:r>
              <w:rPr>
                <w:rFonts w:hint="eastAsia" w:ascii="宋体" w:hAnsi="宋体"/>
                <w:color w:val="000000"/>
                <w:szCs w:val="21"/>
              </w:rPr>
              <w:t>未对本项目进行分包</w:t>
            </w:r>
          </w:p>
        </w:tc>
      </w:tr>
      <w:tr w14:paraId="77AD7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013" w:type="dxa"/>
            <w:vMerge w:val="continue"/>
            <w:tcBorders>
              <w:bottom w:val="single" w:color="auto" w:sz="4" w:space="0"/>
              <w:right w:val="single" w:color="auto" w:sz="4" w:space="0"/>
            </w:tcBorders>
            <w:vAlign w:val="center"/>
          </w:tcPr>
          <w:p w14:paraId="20E72754">
            <w:pPr>
              <w:tabs>
                <w:tab w:val="left" w:pos="1914"/>
              </w:tabs>
              <w:spacing w:before="38"/>
              <w:ind w:right="268"/>
              <w:jc w:val="left"/>
            </w:pPr>
          </w:p>
        </w:tc>
        <w:tc>
          <w:tcPr>
            <w:tcW w:w="1447" w:type="dxa"/>
            <w:vMerge w:val="continue"/>
            <w:tcBorders>
              <w:left w:val="single" w:color="auto" w:sz="4" w:space="0"/>
              <w:bottom w:val="single" w:color="auto" w:sz="4" w:space="0"/>
              <w:right w:val="single" w:color="auto" w:sz="4" w:space="0"/>
            </w:tcBorders>
            <w:vAlign w:val="center"/>
          </w:tcPr>
          <w:p w14:paraId="11B2A36A">
            <w:pPr>
              <w:tabs>
                <w:tab w:val="left" w:pos="1914"/>
              </w:tabs>
              <w:spacing w:before="38"/>
              <w:ind w:right="268"/>
              <w:jc w:val="left"/>
            </w:pPr>
          </w:p>
        </w:tc>
        <w:tc>
          <w:tcPr>
            <w:tcW w:w="2178" w:type="dxa"/>
            <w:tcBorders>
              <w:top w:val="single" w:color="auto" w:sz="4" w:space="0"/>
              <w:left w:val="single" w:color="auto" w:sz="4" w:space="0"/>
              <w:bottom w:val="single" w:color="auto" w:sz="4" w:space="0"/>
              <w:right w:val="single" w:color="auto" w:sz="4" w:space="0"/>
            </w:tcBorders>
            <w:vAlign w:val="center"/>
          </w:tcPr>
          <w:p w14:paraId="3614211B">
            <w:pPr>
              <w:tabs>
                <w:tab w:val="left" w:pos="1914"/>
              </w:tabs>
              <w:spacing w:before="38"/>
              <w:ind w:right="268"/>
              <w:jc w:val="center"/>
              <w:rPr>
                <w:rFonts w:ascii="宋体" w:hAnsi="宋体"/>
                <w:w w:val="105"/>
                <w:szCs w:val="21"/>
              </w:rPr>
            </w:pPr>
            <w:r>
              <w:rPr>
                <w:rFonts w:hint="eastAsia" w:ascii="宋体" w:hAnsi="宋体"/>
              </w:rPr>
              <w:t>权利义务</w:t>
            </w:r>
          </w:p>
        </w:tc>
        <w:tc>
          <w:tcPr>
            <w:tcW w:w="4747" w:type="dxa"/>
            <w:tcBorders>
              <w:top w:val="single" w:color="auto" w:sz="4" w:space="0"/>
              <w:left w:val="single" w:color="auto" w:sz="4" w:space="0"/>
              <w:bottom w:val="single" w:color="auto" w:sz="4" w:space="0"/>
            </w:tcBorders>
            <w:vAlign w:val="center"/>
          </w:tcPr>
          <w:p w14:paraId="31F9E6C4">
            <w:pPr>
              <w:spacing w:line="440" w:lineRule="exact"/>
              <w:rPr>
                <w:rFonts w:ascii="宋体" w:hAnsi="宋体"/>
              </w:rPr>
            </w:pPr>
            <w:r>
              <w:rPr>
                <w:rFonts w:hint="eastAsia" w:ascii="宋体" w:hAnsi="宋体"/>
              </w:rPr>
              <w:t>权利义务符合采购文件规定：</w:t>
            </w:r>
          </w:p>
          <w:p w14:paraId="5A79A184">
            <w:pPr>
              <w:spacing w:line="440" w:lineRule="exact"/>
              <w:rPr>
                <w:rFonts w:ascii="宋体" w:hAnsi="宋体"/>
              </w:rPr>
            </w:pPr>
            <w:r>
              <w:rPr>
                <w:rFonts w:hint="eastAsia" w:ascii="宋体" w:hAnsi="宋体"/>
              </w:rPr>
              <w:t>a．供应商应接受采购文件规定的风险划分原则，未提出新的风险划分办法；</w:t>
            </w:r>
          </w:p>
          <w:p w14:paraId="6B938913">
            <w:pPr>
              <w:spacing w:line="440" w:lineRule="exact"/>
              <w:rPr>
                <w:rFonts w:ascii="宋体" w:hAnsi="宋体"/>
              </w:rPr>
            </w:pPr>
            <w:r>
              <w:rPr>
                <w:rFonts w:hint="eastAsia" w:ascii="宋体" w:hAnsi="宋体"/>
              </w:rPr>
              <w:t>b．供应商未增加采购人的责任范围，或减少供应商义务；</w:t>
            </w:r>
          </w:p>
          <w:p w14:paraId="64BA94A1">
            <w:pPr>
              <w:spacing w:line="440" w:lineRule="exact"/>
              <w:rPr>
                <w:rFonts w:ascii="宋体" w:hAnsi="宋体"/>
              </w:rPr>
            </w:pPr>
            <w:r>
              <w:rPr>
                <w:rFonts w:hint="eastAsia" w:ascii="宋体" w:hAnsi="宋体"/>
              </w:rPr>
              <w:t>c．供应商未提出不同的验收、计量、支付办法；</w:t>
            </w:r>
          </w:p>
          <w:p w14:paraId="49406CCA">
            <w:pPr>
              <w:spacing w:line="440" w:lineRule="exact"/>
              <w:rPr>
                <w:rFonts w:ascii="宋体" w:hAnsi="宋体"/>
              </w:rPr>
            </w:pPr>
            <w:r>
              <w:rPr>
                <w:rFonts w:hint="eastAsia" w:ascii="宋体" w:hAnsi="宋体"/>
              </w:rPr>
              <w:t>d．供应商对合同纠纷、事故处理办法未提出异议；</w:t>
            </w:r>
          </w:p>
          <w:p w14:paraId="27A525CB">
            <w:pPr>
              <w:spacing w:line="440" w:lineRule="exact"/>
              <w:rPr>
                <w:rFonts w:ascii="宋体" w:hAnsi="宋体"/>
              </w:rPr>
            </w:pPr>
            <w:r>
              <w:rPr>
                <w:rFonts w:hint="eastAsia" w:ascii="宋体" w:hAnsi="宋体"/>
              </w:rPr>
              <w:t>e．供应商在采购活动中无欺诈行为；</w:t>
            </w:r>
          </w:p>
          <w:p w14:paraId="659A91C2">
            <w:pPr>
              <w:spacing w:line="440" w:lineRule="exact"/>
              <w:rPr>
                <w:rFonts w:ascii="宋体" w:hAnsi="宋体"/>
                <w:w w:val="105"/>
                <w:szCs w:val="21"/>
              </w:rPr>
            </w:pPr>
            <w:r>
              <w:rPr>
                <w:rFonts w:hint="eastAsia" w:ascii="宋体" w:hAnsi="宋体"/>
              </w:rPr>
              <w:t>f．供应商未对合同条款有重要保留。</w:t>
            </w:r>
          </w:p>
        </w:tc>
      </w:tr>
      <w:tr w14:paraId="5861B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460" w:type="dxa"/>
            <w:gridSpan w:val="2"/>
            <w:tcBorders>
              <w:top w:val="single" w:color="auto" w:sz="4" w:space="0"/>
              <w:bottom w:val="single" w:color="auto" w:sz="4" w:space="0"/>
              <w:right w:val="single" w:color="auto" w:sz="4" w:space="0"/>
            </w:tcBorders>
            <w:vAlign w:val="center"/>
          </w:tcPr>
          <w:p w14:paraId="0B01EF9B">
            <w:pPr>
              <w:jc w:val="center"/>
              <w:rPr>
                <w:rFonts w:ascii="宋体" w:hAnsi="宋体"/>
              </w:rPr>
            </w:pPr>
            <w:r>
              <w:t>2</w:t>
            </w:r>
            <w:r>
              <w:rPr>
                <w:rFonts w:ascii="宋体" w:hAnsi="宋体"/>
              </w:rPr>
              <w:t>.</w:t>
            </w:r>
            <w:r>
              <w:t>2</w:t>
            </w:r>
            <w:r>
              <w:rPr>
                <w:rFonts w:ascii="宋体" w:hAnsi="宋体"/>
              </w:rPr>
              <w:t>.</w:t>
            </w:r>
            <w:r>
              <w:t>2</w:t>
            </w:r>
          </w:p>
        </w:tc>
        <w:tc>
          <w:tcPr>
            <w:tcW w:w="2178" w:type="dxa"/>
            <w:tcBorders>
              <w:top w:val="single" w:color="auto" w:sz="4" w:space="0"/>
              <w:left w:val="single" w:color="auto" w:sz="4" w:space="0"/>
              <w:bottom w:val="single" w:color="auto" w:sz="4" w:space="0"/>
              <w:right w:val="single" w:color="auto" w:sz="4" w:space="0"/>
            </w:tcBorders>
            <w:vAlign w:val="center"/>
          </w:tcPr>
          <w:p w14:paraId="4F643789">
            <w:pPr>
              <w:spacing w:line="440" w:lineRule="exact"/>
              <w:jc w:val="center"/>
              <w:rPr>
                <w:rFonts w:ascii="宋体" w:hAnsi="宋体"/>
              </w:rPr>
            </w:pPr>
            <w:r>
              <w:rPr>
                <w:rFonts w:ascii="宋体" w:hAnsi="宋体"/>
              </w:rPr>
              <w:t>评审价格</w:t>
            </w:r>
          </w:p>
        </w:tc>
        <w:tc>
          <w:tcPr>
            <w:tcW w:w="4747" w:type="dxa"/>
            <w:tcBorders>
              <w:top w:val="single" w:color="auto" w:sz="4" w:space="0"/>
              <w:left w:val="single" w:color="auto" w:sz="4" w:space="0"/>
              <w:bottom w:val="single" w:color="auto" w:sz="4" w:space="0"/>
            </w:tcBorders>
            <w:vAlign w:val="center"/>
          </w:tcPr>
          <w:p w14:paraId="7A5A9B35">
            <w:pPr>
              <w:spacing w:line="440" w:lineRule="exact"/>
              <w:jc w:val="center"/>
              <w:rPr>
                <w:rFonts w:ascii="宋体" w:hAnsi="宋体"/>
              </w:rPr>
            </w:pPr>
            <w:r>
              <w:rPr>
                <w:rFonts w:hint="eastAsia" w:ascii="宋体" w:hAnsi="宋体"/>
              </w:rPr>
              <w:t>/</w:t>
            </w:r>
          </w:p>
        </w:tc>
      </w:tr>
      <w:tr w14:paraId="3E5AE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5" w:type="dxa"/>
            <w:gridSpan w:val="4"/>
            <w:tcBorders>
              <w:top w:val="single" w:color="auto" w:sz="4" w:space="0"/>
              <w:bottom w:val="single" w:color="auto" w:sz="4" w:space="0"/>
              <w:right w:val="single" w:color="auto" w:sz="4" w:space="0"/>
            </w:tcBorders>
            <w:vAlign w:val="center"/>
          </w:tcPr>
          <w:p w14:paraId="6484C37B">
            <w:pPr>
              <w:spacing w:line="440" w:lineRule="exact"/>
              <w:jc w:val="center"/>
              <w:rPr>
                <w:rFonts w:ascii="宋体" w:hAnsi="宋体"/>
                <w:bCs/>
              </w:rPr>
            </w:pPr>
            <w:r>
              <w:rPr>
                <w:bCs/>
                <w:szCs w:val="21"/>
              </w:rPr>
              <w:t>3</w:t>
            </w:r>
            <w:r>
              <w:rPr>
                <w:rFonts w:ascii="宋体" w:hAnsi="宋体"/>
                <w:bCs/>
              </w:rPr>
              <w:t>详细评审标准和程序</w:t>
            </w:r>
            <w:r>
              <w:rPr>
                <w:rFonts w:ascii="宋体" w:hAnsi="宋体"/>
                <w:bCs/>
                <w:szCs w:val="21"/>
              </w:rPr>
              <w:t>（综合评分法）</w:t>
            </w:r>
          </w:p>
        </w:tc>
      </w:tr>
      <w:tr w14:paraId="2B04C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3F8963A0">
            <w:pPr>
              <w:spacing w:line="440" w:lineRule="exact"/>
              <w:jc w:val="center"/>
              <w:rPr>
                <w:rFonts w:ascii="宋体" w:hAnsi="宋体"/>
                <w:bCs/>
              </w:rPr>
            </w:pPr>
            <w:r>
              <w:rPr>
                <w:rFonts w:ascii="宋体" w:hAnsi="宋体"/>
                <w:bCs/>
                <w:szCs w:val="21"/>
              </w:rPr>
              <w:t>条款号</w:t>
            </w:r>
          </w:p>
        </w:tc>
        <w:tc>
          <w:tcPr>
            <w:tcW w:w="2178" w:type="dxa"/>
            <w:tcBorders>
              <w:top w:val="single" w:color="auto" w:sz="4" w:space="0"/>
              <w:left w:val="single" w:color="auto" w:sz="4" w:space="0"/>
              <w:bottom w:val="single" w:color="auto" w:sz="4" w:space="0"/>
              <w:right w:val="single" w:color="auto" w:sz="4" w:space="0"/>
            </w:tcBorders>
            <w:vAlign w:val="center"/>
          </w:tcPr>
          <w:p w14:paraId="7DD30DDD">
            <w:pPr>
              <w:spacing w:line="440" w:lineRule="exact"/>
              <w:jc w:val="center"/>
              <w:rPr>
                <w:rFonts w:ascii="宋体" w:hAnsi="宋体"/>
                <w:bCs/>
              </w:rPr>
            </w:pPr>
            <w:r>
              <w:rPr>
                <w:rFonts w:ascii="宋体" w:hAnsi="宋体"/>
                <w:bCs/>
                <w:szCs w:val="21"/>
              </w:rPr>
              <w:t>条款内容</w:t>
            </w:r>
          </w:p>
        </w:tc>
        <w:tc>
          <w:tcPr>
            <w:tcW w:w="4747" w:type="dxa"/>
            <w:tcBorders>
              <w:top w:val="single" w:color="auto" w:sz="4" w:space="0"/>
              <w:left w:val="single" w:color="auto" w:sz="4" w:space="0"/>
              <w:bottom w:val="single" w:color="auto" w:sz="4" w:space="0"/>
              <w:right w:val="single" w:color="auto" w:sz="4" w:space="0"/>
            </w:tcBorders>
            <w:vAlign w:val="center"/>
          </w:tcPr>
          <w:p w14:paraId="2D53BD2B">
            <w:pPr>
              <w:spacing w:line="440" w:lineRule="exact"/>
              <w:jc w:val="center"/>
              <w:rPr>
                <w:rFonts w:ascii="宋体" w:hAnsi="宋体"/>
                <w:bCs/>
              </w:rPr>
            </w:pPr>
            <w:r>
              <w:rPr>
                <w:rFonts w:ascii="宋体" w:hAnsi="宋体"/>
                <w:bCs/>
                <w:szCs w:val="21"/>
              </w:rPr>
              <w:t>编列内容</w:t>
            </w:r>
          </w:p>
        </w:tc>
      </w:tr>
      <w:tr w14:paraId="1CC18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bottom w:val="single" w:color="auto" w:sz="4" w:space="0"/>
              <w:right w:val="single" w:color="auto" w:sz="4" w:space="0"/>
            </w:tcBorders>
            <w:vAlign w:val="center"/>
          </w:tcPr>
          <w:p w14:paraId="1D4042E5">
            <w:pPr>
              <w:spacing w:line="440" w:lineRule="exact"/>
              <w:jc w:val="center"/>
              <w:rPr>
                <w:rFonts w:ascii="宋体" w:hAnsi="宋体"/>
                <w:bCs/>
              </w:rPr>
            </w:pPr>
            <w:r>
              <w:rPr>
                <w:bCs/>
              </w:rPr>
              <w:t>3</w:t>
            </w:r>
            <w:r>
              <w:rPr>
                <w:rFonts w:ascii="宋体" w:hAnsi="宋体"/>
                <w:bCs/>
              </w:rPr>
              <w:t>.</w:t>
            </w:r>
            <w:r>
              <w:rPr>
                <w:bCs/>
              </w:rPr>
              <w:t>1</w:t>
            </w:r>
          </w:p>
        </w:tc>
        <w:tc>
          <w:tcPr>
            <w:tcW w:w="2178" w:type="dxa"/>
            <w:tcBorders>
              <w:top w:val="single" w:color="auto" w:sz="4" w:space="0"/>
              <w:left w:val="single" w:color="auto" w:sz="4" w:space="0"/>
              <w:bottom w:val="single" w:color="auto" w:sz="4" w:space="0"/>
              <w:right w:val="single" w:color="auto" w:sz="4" w:space="0"/>
            </w:tcBorders>
            <w:vAlign w:val="center"/>
          </w:tcPr>
          <w:p w14:paraId="294755A9">
            <w:pPr>
              <w:spacing w:line="440" w:lineRule="exact"/>
              <w:jc w:val="center"/>
              <w:rPr>
                <w:rFonts w:ascii="宋体" w:hAnsi="宋体"/>
                <w:bCs/>
              </w:rPr>
            </w:pPr>
            <w:r>
              <w:rPr>
                <w:rFonts w:ascii="宋体" w:hAnsi="宋体"/>
                <w:bCs/>
              </w:rPr>
              <w:t>分值构成</w:t>
            </w:r>
          </w:p>
          <w:p w14:paraId="3CEF6ABA">
            <w:pPr>
              <w:spacing w:line="440" w:lineRule="exact"/>
              <w:jc w:val="center"/>
              <w:rPr>
                <w:rFonts w:ascii="宋体" w:hAnsi="宋体"/>
                <w:bCs/>
              </w:rPr>
            </w:pPr>
            <w:r>
              <w:rPr>
                <w:rFonts w:ascii="宋体" w:hAnsi="宋体"/>
                <w:bCs/>
              </w:rPr>
              <w:t>(总分</w:t>
            </w:r>
            <w:r>
              <w:rPr>
                <w:bCs/>
              </w:rPr>
              <w:t>100</w:t>
            </w:r>
            <w:r>
              <w:rPr>
                <w:rFonts w:ascii="宋体" w:hAnsi="宋体"/>
                <w:bCs/>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5E57E81E">
            <w:pPr>
              <w:spacing w:line="440" w:lineRule="exact"/>
              <w:rPr>
                <w:rFonts w:ascii="宋体" w:hAnsi="宋体"/>
                <w:bCs/>
              </w:rPr>
            </w:pPr>
            <w:r>
              <w:rPr>
                <w:rFonts w:ascii="宋体" w:hAnsi="宋体"/>
                <w:bCs/>
              </w:rPr>
              <w:t>（</w:t>
            </w:r>
            <w:r>
              <w:rPr>
                <w:bCs/>
              </w:rPr>
              <w:t>1</w:t>
            </w:r>
            <w:r>
              <w:rPr>
                <w:rFonts w:ascii="宋体" w:hAnsi="宋体"/>
                <w:bCs/>
              </w:rPr>
              <w:t>）商务部分：</w:t>
            </w:r>
            <w:r>
              <w:rPr>
                <w:rFonts w:ascii="宋体" w:hAnsi="宋体"/>
                <w:bCs/>
                <w:u w:val="single"/>
              </w:rPr>
              <w:t xml:space="preserve"> </w:t>
            </w:r>
            <w:r>
              <w:rPr>
                <w:rFonts w:hint="eastAsia" w:ascii="宋体" w:hAnsi="宋体"/>
                <w:bCs/>
                <w:u w:val="single"/>
              </w:rPr>
              <w:t>40</w:t>
            </w:r>
            <w:r>
              <w:rPr>
                <w:rFonts w:ascii="宋体" w:hAnsi="宋体"/>
                <w:bCs/>
                <w:u w:val="single"/>
              </w:rPr>
              <w:t xml:space="preserve"> </w:t>
            </w:r>
            <w:r>
              <w:rPr>
                <w:rFonts w:ascii="宋体" w:hAnsi="宋体"/>
                <w:bCs/>
              </w:rPr>
              <w:t>分</w:t>
            </w:r>
          </w:p>
          <w:p w14:paraId="49CF1708">
            <w:pPr>
              <w:spacing w:line="440" w:lineRule="exact"/>
              <w:rPr>
                <w:rFonts w:ascii="宋体" w:hAnsi="宋体"/>
                <w:bCs/>
              </w:rPr>
            </w:pPr>
            <w:r>
              <w:rPr>
                <w:rFonts w:ascii="宋体" w:hAnsi="宋体"/>
                <w:bCs/>
              </w:rPr>
              <w:t>（</w:t>
            </w:r>
            <w:r>
              <w:rPr>
                <w:bCs/>
              </w:rPr>
              <w:t>2</w:t>
            </w:r>
            <w:r>
              <w:rPr>
                <w:rFonts w:ascii="宋体" w:hAnsi="宋体"/>
                <w:bCs/>
              </w:rPr>
              <w:t>）技术部分：</w:t>
            </w:r>
            <w:r>
              <w:rPr>
                <w:rFonts w:ascii="宋体" w:hAnsi="宋体"/>
                <w:bCs/>
                <w:u w:val="single"/>
              </w:rPr>
              <w:t xml:space="preserve"> </w:t>
            </w:r>
            <w:r>
              <w:rPr>
                <w:rFonts w:hint="eastAsia" w:ascii="宋体" w:hAnsi="宋体"/>
                <w:bCs/>
                <w:u w:val="single"/>
              </w:rPr>
              <w:t>60</w:t>
            </w:r>
            <w:r>
              <w:rPr>
                <w:rFonts w:ascii="宋体" w:hAnsi="宋体"/>
                <w:bCs/>
                <w:u w:val="single"/>
              </w:rPr>
              <w:t xml:space="preserve"> </w:t>
            </w:r>
            <w:r>
              <w:rPr>
                <w:rFonts w:ascii="宋体" w:hAnsi="宋体"/>
                <w:bCs/>
              </w:rPr>
              <w:t>分</w:t>
            </w:r>
          </w:p>
        </w:tc>
      </w:tr>
      <w:tr w14:paraId="61791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460" w:type="dxa"/>
            <w:gridSpan w:val="2"/>
            <w:tcBorders>
              <w:top w:val="single" w:color="auto" w:sz="4" w:space="0"/>
              <w:bottom w:val="single" w:color="auto" w:sz="4" w:space="0"/>
              <w:right w:val="single" w:color="auto" w:sz="4" w:space="0"/>
            </w:tcBorders>
            <w:vAlign w:val="center"/>
          </w:tcPr>
          <w:p w14:paraId="0470DA73">
            <w:pPr>
              <w:spacing w:line="440" w:lineRule="exact"/>
              <w:jc w:val="center"/>
              <w:rPr>
                <w:rFonts w:ascii="宋体" w:hAnsi="宋体"/>
              </w:rPr>
            </w:pPr>
            <w:r>
              <w:t>3</w:t>
            </w:r>
            <w:r>
              <w:rPr>
                <w:rFonts w:ascii="宋体" w:hAnsi="宋体"/>
              </w:rPr>
              <w:t>.</w:t>
            </w:r>
            <w:r>
              <w:t>2</w:t>
            </w:r>
            <w:r>
              <w:rPr>
                <w:rFonts w:ascii="宋体" w:hAnsi="宋体"/>
              </w:rPr>
              <w:t>（</w:t>
            </w:r>
            <w:r>
              <w:t>2</w:t>
            </w:r>
            <w:r>
              <w:rPr>
                <w:rFonts w:ascii="宋体" w:hAnsi="宋体"/>
              </w:rPr>
              <w:t>）</w:t>
            </w:r>
          </w:p>
        </w:tc>
        <w:tc>
          <w:tcPr>
            <w:tcW w:w="2178" w:type="dxa"/>
            <w:tcBorders>
              <w:top w:val="single" w:color="auto" w:sz="4" w:space="0"/>
              <w:left w:val="single" w:color="auto" w:sz="4" w:space="0"/>
              <w:bottom w:val="single" w:color="auto" w:sz="4" w:space="0"/>
              <w:right w:val="single" w:color="auto" w:sz="4" w:space="0"/>
            </w:tcBorders>
            <w:vAlign w:val="center"/>
          </w:tcPr>
          <w:p w14:paraId="0EDB36FC">
            <w:pPr>
              <w:spacing w:line="440" w:lineRule="exact"/>
              <w:jc w:val="center"/>
              <w:rPr>
                <w:rFonts w:ascii="宋体" w:hAnsi="宋体"/>
              </w:rPr>
            </w:pPr>
            <w:r>
              <w:rPr>
                <w:rFonts w:ascii="宋体" w:hAnsi="宋体"/>
              </w:rPr>
              <w:t>评审基准价计算方法</w:t>
            </w:r>
          </w:p>
        </w:tc>
        <w:tc>
          <w:tcPr>
            <w:tcW w:w="4747" w:type="dxa"/>
            <w:tcBorders>
              <w:top w:val="single" w:color="auto" w:sz="4" w:space="0"/>
              <w:left w:val="single" w:color="auto" w:sz="4" w:space="0"/>
              <w:bottom w:val="single" w:color="auto" w:sz="4" w:space="0"/>
              <w:right w:val="single" w:color="auto" w:sz="4" w:space="0"/>
            </w:tcBorders>
            <w:vAlign w:val="center"/>
          </w:tcPr>
          <w:p w14:paraId="00783CAE">
            <w:pPr>
              <w:spacing w:line="400" w:lineRule="exact"/>
              <w:jc w:val="center"/>
              <w:rPr>
                <w:rFonts w:ascii="宋体" w:hAnsi="宋体"/>
              </w:rPr>
            </w:pPr>
            <w:r>
              <w:rPr>
                <w:rFonts w:hint="eastAsia" w:ascii="宋体" w:hAnsi="宋体"/>
              </w:rPr>
              <w:t>/</w:t>
            </w:r>
          </w:p>
        </w:tc>
      </w:tr>
      <w:tr w14:paraId="6E2B2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02A1DFDF">
            <w:pPr>
              <w:spacing w:line="440" w:lineRule="exact"/>
              <w:jc w:val="center"/>
              <w:rPr>
                <w:rFonts w:ascii="宋体" w:hAnsi="宋体"/>
                <w:bCs/>
              </w:rPr>
            </w:pPr>
            <w:r>
              <w:rPr>
                <w:rFonts w:ascii="宋体" w:hAnsi="宋体"/>
                <w:bCs/>
              </w:rPr>
              <w:t>条款号</w:t>
            </w:r>
          </w:p>
        </w:tc>
        <w:tc>
          <w:tcPr>
            <w:tcW w:w="2178" w:type="dxa"/>
            <w:tcBorders>
              <w:top w:val="single" w:color="auto" w:sz="4" w:space="0"/>
              <w:left w:val="single" w:color="auto" w:sz="4" w:space="0"/>
              <w:bottom w:val="single" w:color="auto" w:sz="4" w:space="0"/>
              <w:right w:val="single" w:color="auto" w:sz="4" w:space="0"/>
            </w:tcBorders>
            <w:vAlign w:val="center"/>
          </w:tcPr>
          <w:p w14:paraId="69DF444E">
            <w:pPr>
              <w:spacing w:line="440" w:lineRule="exact"/>
              <w:jc w:val="center"/>
              <w:rPr>
                <w:rFonts w:ascii="宋体" w:hAnsi="宋体"/>
                <w:bCs/>
              </w:rPr>
            </w:pPr>
            <w:r>
              <w:rPr>
                <w:rFonts w:ascii="宋体" w:hAnsi="宋体"/>
                <w:bCs/>
              </w:rPr>
              <w:t>评分因素</w:t>
            </w:r>
          </w:p>
        </w:tc>
        <w:tc>
          <w:tcPr>
            <w:tcW w:w="4747" w:type="dxa"/>
            <w:tcBorders>
              <w:top w:val="single" w:color="auto" w:sz="4" w:space="0"/>
              <w:left w:val="single" w:color="auto" w:sz="4" w:space="0"/>
              <w:bottom w:val="single" w:color="auto" w:sz="4" w:space="0"/>
              <w:right w:val="single" w:color="auto" w:sz="4" w:space="0"/>
            </w:tcBorders>
            <w:vAlign w:val="center"/>
          </w:tcPr>
          <w:p w14:paraId="1E8DE0B7">
            <w:pPr>
              <w:spacing w:line="440" w:lineRule="exact"/>
              <w:jc w:val="center"/>
              <w:rPr>
                <w:rFonts w:ascii="宋体" w:hAnsi="宋体"/>
                <w:bCs/>
              </w:rPr>
            </w:pPr>
            <w:r>
              <w:rPr>
                <w:rFonts w:ascii="宋体" w:hAnsi="宋体"/>
                <w:bCs/>
              </w:rPr>
              <w:t>评分标准</w:t>
            </w:r>
          </w:p>
        </w:tc>
      </w:tr>
      <w:tr w14:paraId="6C8CE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013" w:type="dxa"/>
            <w:vMerge w:val="restart"/>
            <w:tcBorders>
              <w:top w:val="single" w:color="auto" w:sz="4" w:space="0"/>
              <w:right w:val="single" w:color="auto" w:sz="4" w:space="0"/>
            </w:tcBorders>
            <w:vAlign w:val="center"/>
          </w:tcPr>
          <w:p w14:paraId="6E92C2E3">
            <w:pPr>
              <w:spacing w:line="440" w:lineRule="exact"/>
              <w:jc w:val="center"/>
              <w:rPr>
                <w:rFonts w:ascii="宋体" w:hAnsi="宋体"/>
                <w:bCs/>
              </w:rPr>
            </w:pPr>
            <w:r>
              <w:rPr>
                <w:bCs/>
              </w:rPr>
              <w:t>3</w:t>
            </w:r>
            <w:r>
              <w:rPr>
                <w:rFonts w:ascii="宋体" w:hAnsi="宋体"/>
                <w:bCs/>
              </w:rPr>
              <w:t>.</w:t>
            </w:r>
            <w:r>
              <w:rPr>
                <w:bCs/>
              </w:rPr>
              <w:t>3</w:t>
            </w:r>
            <w:r>
              <w:rPr>
                <w:rFonts w:ascii="宋体" w:hAnsi="宋体"/>
                <w:bCs/>
              </w:rPr>
              <w:t>（</w:t>
            </w:r>
            <w:r>
              <w:rPr>
                <w:bCs/>
              </w:rPr>
              <w:t>1</w:t>
            </w:r>
            <w:r>
              <w:rPr>
                <w:rFonts w:ascii="宋体" w:hAnsi="宋体"/>
                <w:bCs/>
              </w:rPr>
              <w:t>）</w:t>
            </w:r>
          </w:p>
        </w:tc>
        <w:tc>
          <w:tcPr>
            <w:tcW w:w="1447" w:type="dxa"/>
            <w:vMerge w:val="restart"/>
            <w:tcBorders>
              <w:top w:val="single" w:color="auto" w:sz="4" w:space="0"/>
              <w:left w:val="single" w:color="auto" w:sz="4" w:space="0"/>
              <w:right w:val="single" w:color="auto" w:sz="4" w:space="0"/>
            </w:tcBorders>
            <w:vAlign w:val="center"/>
          </w:tcPr>
          <w:p w14:paraId="27F6ECD2">
            <w:pPr>
              <w:spacing w:line="440" w:lineRule="exact"/>
              <w:jc w:val="center"/>
              <w:rPr>
                <w:rFonts w:ascii="宋体" w:hAnsi="宋体"/>
                <w:bCs/>
                <w:highlight w:val="none"/>
              </w:rPr>
            </w:pPr>
            <w:r>
              <w:rPr>
                <w:rFonts w:ascii="宋体" w:hAnsi="宋体"/>
                <w:bCs/>
                <w:highlight w:val="none"/>
              </w:rPr>
              <w:t>商务评分标准</w:t>
            </w:r>
          </w:p>
        </w:tc>
        <w:tc>
          <w:tcPr>
            <w:tcW w:w="2178" w:type="dxa"/>
            <w:tcBorders>
              <w:top w:val="single" w:color="auto" w:sz="4" w:space="0"/>
              <w:left w:val="single" w:color="auto" w:sz="4" w:space="0"/>
              <w:right w:val="single" w:color="auto" w:sz="4" w:space="0"/>
            </w:tcBorders>
            <w:vAlign w:val="center"/>
          </w:tcPr>
          <w:p w14:paraId="17A0659E">
            <w:pPr>
              <w:widowControl/>
              <w:jc w:val="center"/>
              <w:rPr>
                <w:rFonts w:ascii="宋体" w:hAnsi="宋体"/>
                <w:bCs/>
                <w:highlight w:val="none"/>
              </w:rPr>
            </w:pPr>
            <w:r>
              <w:rPr>
                <w:rFonts w:ascii="宋体" w:hAnsi="宋体"/>
                <w:bCs/>
                <w:highlight w:val="none"/>
              </w:rPr>
              <w:t>供货业绩</w:t>
            </w:r>
          </w:p>
          <w:p w14:paraId="0D95C462">
            <w:pPr>
              <w:widowControl/>
              <w:jc w:val="center"/>
              <w:rPr>
                <w:rFonts w:ascii="宋体" w:hAnsi="宋体"/>
                <w:bCs/>
                <w:highlight w:val="none"/>
              </w:rPr>
            </w:pPr>
            <w:r>
              <w:rPr>
                <w:rFonts w:ascii="宋体" w:hAnsi="宋体"/>
                <w:bCs/>
                <w:highlight w:val="none"/>
              </w:rPr>
              <w:t>(</w:t>
            </w:r>
            <w:r>
              <w:rPr>
                <w:rFonts w:hint="eastAsia" w:ascii="宋体" w:hAnsi="宋体"/>
                <w:bCs/>
                <w:highlight w:val="none"/>
              </w:rPr>
              <w:t>20</w:t>
            </w:r>
            <w:r>
              <w:rPr>
                <w:rFonts w:ascii="宋体" w:hAnsi="宋体"/>
                <w:bCs/>
                <w:highlight w:val="none"/>
              </w:rPr>
              <w:t>分)</w:t>
            </w:r>
          </w:p>
        </w:tc>
        <w:tc>
          <w:tcPr>
            <w:tcW w:w="4747" w:type="dxa"/>
            <w:tcBorders>
              <w:top w:val="single" w:color="auto" w:sz="4" w:space="0"/>
              <w:left w:val="single" w:color="auto" w:sz="4" w:space="0"/>
              <w:right w:val="single" w:color="auto" w:sz="4" w:space="0"/>
            </w:tcBorders>
            <w:vAlign w:val="center"/>
          </w:tcPr>
          <w:p w14:paraId="6C6C6106">
            <w:pPr>
              <w:pStyle w:val="167"/>
              <w:spacing w:before="27" w:line="214" w:lineRule="auto"/>
              <w:rPr>
                <w:sz w:val="21"/>
                <w:szCs w:val="21"/>
                <w:highlight w:val="none"/>
              </w:rPr>
            </w:pPr>
            <w:r>
              <w:rPr>
                <w:sz w:val="21"/>
                <w:szCs w:val="21"/>
                <w:highlight w:val="none"/>
              </w:rPr>
              <w:t>满足资格审查条件</w:t>
            </w:r>
            <w:r>
              <w:rPr>
                <w:rFonts w:ascii="Times New Roman" w:hAnsi="Times New Roman" w:eastAsia="Times New Roman" w:cs="Times New Roman"/>
                <w:sz w:val="21"/>
                <w:szCs w:val="21"/>
                <w:highlight w:val="none"/>
              </w:rPr>
              <w:t>(</w:t>
            </w:r>
            <w:r>
              <w:rPr>
                <w:sz w:val="21"/>
                <w:szCs w:val="21"/>
                <w:highlight w:val="none"/>
              </w:rPr>
              <w:t>业绩最低要求</w:t>
            </w:r>
            <w:r>
              <w:rPr>
                <w:rFonts w:ascii="Times New Roman" w:hAnsi="Times New Roman" w:eastAsia="Times New Roman" w:cs="Times New Roman"/>
                <w:sz w:val="21"/>
                <w:szCs w:val="21"/>
                <w:highlight w:val="none"/>
              </w:rPr>
              <w:t>)</w:t>
            </w:r>
            <w:r>
              <w:rPr>
                <w:sz w:val="21"/>
                <w:szCs w:val="21"/>
                <w:highlight w:val="none"/>
              </w:rPr>
              <w:t>得</w:t>
            </w:r>
            <w:r>
              <w:rPr>
                <w:spacing w:val="-10"/>
                <w:sz w:val="21"/>
                <w:szCs w:val="21"/>
                <w:highlight w:val="none"/>
              </w:rPr>
              <w:t xml:space="preserve"> </w:t>
            </w:r>
            <w:r>
              <w:rPr>
                <w:rFonts w:ascii="Times New Roman" w:hAnsi="Times New Roman" w:eastAsia="Times New Roman" w:cs="Times New Roman"/>
                <w:sz w:val="21"/>
                <w:szCs w:val="21"/>
                <w:highlight w:val="none"/>
              </w:rPr>
              <w:t>12</w:t>
            </w:r>
            <w:r>
              <w:rPr>
                <w:rFonts w:ascii="Times New Roman" w:hAnsi="Times New Roman" w:eastAsia="Times New Roman" w:cs="Times New Roman"/>
                <w:spacing w:val="18"/>
                <w:sz w:val="21"/>
                <w:szCs w:val="21"/>
                <w:highlight w:val="none"/>
              </w:rPr>
              <w:t xml:space="preserve"> </w:t>
            </w:r>
            <w:r>
              <w:rPr>
                <w:sz w:val="21"/>
                <w:szCs w:val="21"/>
                <w:highlight w:val="none"/>
              </w:rPr>
              <w:t>分；</w:t>
            </w:r>
          </w:p>
          <w:p w14:paraId="60F7A875">
            <w:pPr>
              <w:pStyle w:val="167"/>
              <w:spacing w:before="31" w:line="239" w:lineRule="auto"/>
              <w:ind w:left="9" w:right="10" w:firstLine="426"/>
              <w:rPr>
                <w:sz w:val="21"/>
                <w:szCs w:val="21"/>
                <w:highlight w:val="none"/>
              </w:rPr>
            </w:pPr>
            <w:r>
              <w:rPr>
                <w:spacing w:val="6"/>
                <w:sz w:val="21"/>
                <w:szCs w:val="21"/>
                <w:highlight w:val="none"/>
              </w:rPr>
              <w:t>每增加一个</w:t>
            </w:r>
            <w:r>
              <w:rPr>
                <w:rFonts w:hint="eastAsia"/>
                <w:spacing w:val="6"/>
                <w:sz w:val="21"/>
                <w:szCs w:val="21"/>
                <w:highlight w:val="none"/>
                <w:lang w:val="en-US" w:eastAsia="zh-CN"/>
              </w:rPr>
              <w:t>粉煤灰</w:t>
            </w:r>
            <w:r>
              <w:rPr>
                <w:spacing w:val="6"/>
                <w:sz w:val="21"/>
                <w:szCs w:val="21"/>
                <w:highlight w:val="none"/>
              </w:rPr>
              <w:t>原材料供货合同业绩（单份</w:t>
            </w:r>
            <w:r>
              <w:rPr>
                <w:spacing w:val="2"/>
                <w:sz w:val="21"/>
                <w:szCs w:val="21"/>
                <w:highlight w:val="none"/>
              </w:rPr>
              <w:t>合同金额不少于</w:t>
            </w:r>
            <w:r>
              <w:rPr>
                <w:rFonts w:ascii="Times New Roman" w:hAnsi="Times New Roman" w:eastAsia="Times New Roman" w:cs="Times New Roman"/>
                <w:spacing w:val="2"/>
                <w:sz w:val="21"/>
                <w:szCs w:val="21"/>
                <w:highlight w:val="none"/>
              </w:rPr>
              <w:t>50</w:t>
            </w:r>
            <w:r>
              <w:rPr>
                <w:spacing w:val="2"/>
                <w:sz w:val="21"/>
                <w:szCs w:val="21"/>
                <w:highlight w:val="none"/>
              </w:rPr>
              <w:t>万元）得</w:t>
            </w:r>
            <w:r>
              <w:rPr>
                <w:rFonts w:ascii="Times New Roman" w:hAnsi="Times New Roman" w:eastAsia="Times New Roman" w:cs="Times New Roman"/>
                <w:spacing w:val="2"/>
                <w:sz w:val="21"/>
                <w:szCs w:val="21"/>
                <w:highlight w:val="none"/>
              </w:rPr>
              <w:t>2</w:t>
            </w:r>
            <w:r>
              <w:rPr>
                <w:spacing w:val="2"/>
                <w:sz w:val="21"/>
                <w:szCs w:val="21"/>
                <w:highlight w:val="none"/>
              </w:rPr>
              <w:t>分，最高得</w:t>
            </w:r>
            <w:r>
              <w:rPr>
                <w:rFonts w:hint="eastAsia" w:ascii="Times New Roman" w:hAnsi="Times New Roman" w:eastAsia="宋体" w:cs="Times New Roman"/>
                <w:spacing w:val="2"/>
                <w:sz w:val="21"/>
                <w:szCs w:val="21"/>
                <w:highlight w:val="none"/>
                <w:lang w:val="en-US" w:eastAsia="zh-CN"/>
              </w:rPr>
              <w:t>8</w:t>
            </w:r>
            <w:r>
              <w:rPr>
                <w:spacing w:val="2"/>
                <w:sz w:val="21"/>
                <w:szCs w:val="21"/>
                <w:highlight w:val="none"/>
              </w:rPr>
              <w:t>分。</w:t>
            </w:r>
          </w:p>
          <w:p w14:paraId="5FAD874E">
            <w:pPr>
              <w:pStyle w:val="167"/>
              <w:spacing w:line="233" w:lineRule="auto"/>
              <w:ind w:left="8"/>
              <w:rPr>
                <w:sz w:val="21"/>
                <w:szCs w:val="21"/>
                <w:highlight w:val="none"/>
              </w:rPr>
            </w:pPr>
            <w:r>
              <w:rPr>
                <w:b/>
                <w:bCs/>
                <w:spacing w:val="2"/>
                <w:sz w:val="21"/>
                <w:szCs w:val="21"/>
                <w:highlight w:val="none"/>
              </w:rPr>
              <w:t>注：</w:t>
            </w:r>
            <w:r>
              <w:rPr>
                <w:rFonts w:ascii="Times New Roman" w:hAnsi="Times New Roman" w:eastAsia="Times New Roman" w:cs="Times New Roman"/>
                <w:b/>
                <w:bCs/>
                <w:spacing w:val="2"/>
                <w:sz w:val="21"/>
                <w:szCs w:val="21"/>
                <w:highlight w:val="none"/>
              </w:rPr>
              <w:t>1.</w:t>
            </w:r>
            <w:r>
              <w:rPr>
                <w:b/>
                <w:bCs/>
                <w:spacing w:val="2"/>
                <w:sz w:val="21"/>
                <w:szCs w:val="21"/>
                <w:highlight w:val="none"/>
              </w:rPr>
              <w:t>需提供相关合同复印件且签字盖公</w:t>
            </w:r>
            <w:r>
              <w:rPr>
                <w:b/>
                <w:bCs/>
                <w:spacing w:val="1"/>
                <w:sz w:val="21"/>
                <w:szCs w:val="21"/>
                <w:highlight w:val="none"/>
              </w:rPr>
              <w:t>章齐全；</w:t>
            </w:r>
          </w:p>
          <w:p w14:paraId="4993F382">
            <w:pPr>
              <w:spacing w:line="360" w:lineRule="auto"/>
              <w:rPr>
                <w:rFonts w:ascii="宋体" w:hAnsi="宋体"/>
                <w:bCs/>
                <w:highlight w:val="none"/>
              </w:rPr>
            </w:pPr>
            <w:r>
              <w:rPr>
                <w:rFonts w:ascii="Times New Roman" w:hAnsi="Times New Roman" w:eastAsia="Times New Roman" w:cs="Times New Roman"/>
                <w:b/>
                <w:bCs/>
                <w:spacing w:val="6"/>
                <w:sz w:val="21"/>
                <w:szCs w:val="21"/>
                <w:highlight w:val="none"/>
              </w:rPr>
              <w:t>2.</w:t>
            </w:r>
            <w:r>
              <w:rPr>
                <w:b/>
                <w:bCs/>
                <w:spacing w:val="6"/>
                <w:sz w:val="21"/>
                <w:szCs w:val="21"/>
                <w:highlight w:val="none"/>
              </w:rPr>
              <w:t>投标人如为代理经销商，则必须有生产商的授</w:t>
            </w:r>
            <w:r>
              <w:rPr>
                <w:b/>
                <w:bCs/>
                <w:spacing w:val="4"/>
                <w:sz w:val="21"/>
                <w:szCs w:val="21"/>
                <w:highlight w:val="none"/>
              </w:rPr>
              <w:t>权委托书，生产商</w:t>
            </w:r>
            <w:r>
              <w:rPr>
                <w:b/>
                <w:bCs/>
                <w:spacing w:val="3"/>
                <w:sz w:val="21"/>
                <w:szCs w:val="21"/>
                <w:highlight w:val="none"/>
              </w:rPr>
              <w:t>直接销售</w:t>
            </w:r>
            <w:r>
              <w:rPr>
                <w:b/>
                <w:bCs/>
                <w:spacing w:val="1"/>
                <w:sz w:val="21"/>
                <w:szCs w:val="21"/>
                <w:highlight w:val="none"/>
              </w:rPr>
              <w:t>的业绩视同代理经销商的业绩。</w:t>
            </w:r>
          </w:p>
        </w:tc>
      </w:tr>
      <w:tr w14:paraId="2A254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013" w:type="dxa"/>
            <w:vMerge w:val="continue"/>
            <w:tcBorders>
              <w:right w:val="single" w:color="auto" w:sz="4" w:space="0"/>
            </w:tcBorders>
            <w:vAlign w:val="center"/>
          </w:tcPr>
          <w:p w14:paraId="682E4C76">
            <w:pPr>
              <w:spacing w:line="360" w:lineRule="auto"/>
            </w:pPr>
          </w:p>
        </w:tc>
        <w:tc>
          <w:tcPr>
            <w:tcW w:w="1447" w:type="dxa"/>
            <w:vMerge w:val="continue"/>
            <w:tcBorders>
              <w:left w:val="single" w:color="auto" w:sz="4" w:space="0"/>
              <w:right w:val="single" w:color="auto" w:sz="4" w:space="0"/>
            </w:tcBorders>
            <w:vAlign w:val="center"/>
          </w:tcPr>
          <w:p w14:paraId="30840D83">
            <w:pPr>
              <w:spacing w:line="360" w:lineRule="auto"/>
              <w:rPr>
                <w:highlight w:val="none"/>
              </w:rPr>
            </w:pPr>
          </w:p>
        </w:tc>
        <w:tc>
          <w:tcPr>
            <w:tcW w:w="2178" w:type="dxa"/>
            <w:tcBorders>
              <w:top w:val="single" w:color="auto" w:sz="4" w:space="0"/>
              <w:left w:val="single" w:color="auto" w:sz="4" w:space="0"/>
              <w:right w:val="single" w:color="auto" w:sz="4" w:space="0"/>
            </w:tcBorders>
            <w:shd w:val="clear" w:color="auto" w:fill="auto"/>
            <w:vAlign w:val="center"/>
          </w:tcPr>
          <w:p w14:paraId="35039FF8">
            <w:pPr>
              <w:spacing w:line="262" w:lineRule="auto"/>
              <w:jc w:val="center"/>
              <w:rPr>
                <w:rFonts w:ascii="Arial"/>
                <w:sz w:val="21"/>
                <w:highlight w:val="none"/>
              </w:rPr>
            </w:pPr>
          </w:p>
          <w:p w14:paraId="3FABC5F2">
            <w:pPr>
              <w:spacing w:line="262" w:lineRule="auto"/>
              <w:jc w:val="center"/>
              <w:rPr>
                <w:rFonts w:ascii="Arial"/>
                <w:sz w:val="21"/>
                <w:highlight w:val="none"/>
              </w:rPr>
            </w:pPr>
          </w:p>
          <w:p w14:paraId="04DCBB72">
            <w:pPr>
              <w:pStyle w:val="167"/>
              <w:spacing w:before="68" w:line="221" w:lineRule="auto"/>
              <w:ind w:left="288"/>
              <w:jc w:val="center"/>
              <w:rPr>
                <w:sz w:val="21"/>
                <w:szCs w:val="21"/>
                <w:highlight w:val="none"/>
              </w:rPr>
            </w:pPr>
            <w:r>
              <w:rPr>
                <w:spacing w:val="2"/>
                <w:sz w:val="21"/>
                <w:szCs w:val="21"/>
                <w:highlight w:val="none"/>
              </w:rPr>
              <w:t>运输保障能力</w:t>
            </w:r>
          </w:p>
          <w:p w14:paraId="55625C24">
            <w:pPr>
              <w:spacing w:line="263" w:lineRule="auto"/>
              <w:jc w:val="center"/>
              <w:rPr>
                <w:rFonts w:ascii="Arial"/>
                <w:sz w:val="21"/>
                <w:highlight w:val="none"/>
              </w:rPr>
            </w:pPr>
            <w:r>
              <w:rPr>
                <w:spacing w:val="12"/>
                <w:sz w:val="21"/>
                <w:szCs w:val="21"/>
                <w:highlight w:val="none"/>
              </w:rPr>
              <w:t>（</w:t>
            </w:r>
            <w:r>
              <w:rPr>
                <w:rFonts w:ascii="Times New Roman" w:hAnsi="Times New Roman" w:eastAsia="Times New Roman" w:cs="Times New Roman"/>
                <w:spacing w:val="12"/>
                <w:sz w:val="21"/>
                <w:szCs w:val="21"/>
                <w:highlight w:val="none"/>
              </w:rPr>
              <w:t>8</w:t>
            </w:r>
            <w:r>
              <w:rPr>
                <w:spacing w:val="12"/>
                <w:sz w:val="21"/>
                <w:szCs w:val="21"/>
                <w:highlight w:val="none"/>
              </w:rPr>
              <w:t>分）</w:t>
            </w:r>
          </w:p>
          <w:p w14:paraId="7E4DD4A6">
            <w:pPr>
              <w:spacing w:line="263" w:lineRule="auto"/>
              <w:jc w:val="center"/>
              <w:rPr>
                <w:rFonts w:ascii="Arial"/>
                <w:sz w:val="21"/>
                <w:highlight w:val="none"/>
              </w:rPr>
            </w:pPr>
          </w:p>
          <w:p w14:paraId="2F88FC9C">
            <w:pPr>
              <w:pStyle w:val="167"/>
              <w:spacing w:before="22" w:line="235" w:lineRule="auto"/>
              <w:ind w:left="532" w:leftChars="0"/>
              <w:jc w:val="center"/>
              <w:rPr>
                <w:rFonts w:ascii="宋体" w:hAnsi="宋体" w:eastAsia="宋体" w:cs="宋体"/>
                <w:kern w:val="2"/>
                <w:sz w:val="21"/>
                <w:szCs w:val="21"/>
                <w:highlight w:val="none"/>
                <w:lang w:val="en-US" w:eastAsia="en-US" w:bidi="ar-SA"/>
              </w:rPr>
            </w:pPr>
          </w:p>
        </w:tc>
        <w:tc>
          <w:tcPr>
            <w:tcW w:w="4747" w:type="dxa"/>
            <w:tcBorders>
              <w:top w:val="single" w:color="auto" w:sz="4" w:space="0"/>
              <w:left w:val="single" w:color="auto" w:sz="4" w:space="0"/>
              <w:right w:val="single" w:color="auto" w:sz="4" w:space="0"/>
            </w:tcBorders>
            <w:shd w:val="clear" w:color="auto" w:fill="auto"/>
            <w:vAlign w:val="top"/>
          </w:tcPr>
          <w:p w14:paraId="45D4163B">
            <w:pPr>
              <w:pStyle w:val="167"/>
              <w:spacing w:before="23" w:line="239" w:lineRule="auto"/>
              <w:ind w:left="10" w:right="2" w:firstLine="429"/>
              <w:rPr>
                <w:rFonts w:hint="eastAsia" w:eastAsia="宋体"/>
                <w:sz w:val="21"/>
                <w:szCs w:val="21"/>
                <w:highlight w:val="none"/>
                <w:lang w:eastAsia="zh-CN"/>
              </w:rPr>
            </w:pPr>
            <w:r>
              <w:rPr>
                <w:rFonts w:hint="eastAsia"/>
                <w:spacing w:val="2"/>
                <w:sz w:val="21"/>
                <w:szCs w:val="21"/>
                <w:highlight w:val="none"/>
                <w:lang w:val="en-US" w:eastAsia="zh-CN"/>
              </w:rPr>
              <w:t>满足资格审查车辆数量（最低要求）</w:t>
            </w:r>
            <w:r>
              <w:rPr>
                <w:spacing w:val="2"/>
                <w:sz w:val="21"/>
                <w:szCs w:val="21"/>
                <w:highlight w:val="none"/>
              </w:rPr>
              <w:t xml:space="preserve">的得 </w:t>
            </w:r>
            <w:r>
              <w:rPr>
                <w:rFonts w:ascii="Times New Roman" w:hAnsi="Times New Roman" w:eastAsia="Times New Roman" w:cs="Times New Roman"/>
                <w:spacing w:val="2"/>
                <w:sz w:val="21"/>
                <w:szCs w:val="21"/>
                <w:highlight w:val="none"/>
              </w:rPr>
              <w:t>4</w:t>
            </w:r>
            <w:r>
              <w:rPr>
                <w:rFonts w:ascii="Times New Roman" w:hAnsi="Times New Roman" w:eastAsia="Times New Roman" w:cs="Times New Roman"/>
                <w:spacing w:val="47"/>
                <w:w w:val="101"/>
                <w:sz w:val="21"/>
                <w:szCs w:val="21"/>
                <w:highlight w:val="none"/>
              </w:rPr>
              <w:t xml:space="preserve"> </w:t>
            </w:r>
            <w:r>
              <w:rPr>
                <w:spacing w:val="2"/>
                <w:sz w:val="21"/>
                <w:szCs w:val="21"/>
                <w:highlight w:val="none"/>
              </w:rPr>
              <w:t>分，</w:t>
            </w:r>
            <w:r>
              <w:rPr>
                <w:spacing w:val="-1"/>
                <w:sz w:val="21"/>
                <w:szCs w:val="21"/>
                <w:highlight w:val="none"/>
              </w:rPr>
              <w:t>每增加</w:t>
            </w:r>
            <w:r>
              <w:rPr>
                <w:spacing w:val="-5"/>
                <w:sz w:val="21"/>
                <w:szCs w:val="21"/>
                <w:highlight w:val="none"/>
              </w:rPr>
              <w:t xml:space="preserve"> </w:t>
            </w:r>
            <w:r>
              <w:rPr>
                <w:rFonts w:ascii="Times New Roman" w:hAnsi="Times New Roman" w:eastAsia="Times New Roman" w:cs="Times New Roman"/>
                <w:spacing w:val="-1"/>
                <w:sz w:val="21"/>
                <w:szCs w:val="21"/>
                <w:highlight w:val="none"/>
              </w:rPr>
              <w:t xml:space="preserve">1 </w:t>
            </w:r>
            <w:r>
              <w:rPr>
                <w:spacing w:val="-1"/>
                <w:sz w:val="21"/>
                <w:szCs w:val="21"/>
                <w:highlight w:val="none"/>
              </w:rPr>
              <w:t>辆罐车加</w:t>
            </w:r>
            <w:r>
              <w:rPr>
                <w:spacing w:val="-36"/>
                <w:sz w:val="21"/>
                <w:szCs w:val="21"/>
                <w:highlight w:val="none"/>
              </w:rPr>
              <w:t xml:space="preserve"> </w:t>
            </w:r>
            <w:r>
              <w:rPr>
                <w:rFonts w:ascii="Times New Roman" w:hAnsi="Times New Roman" w:eastAsia="Times New Roman" w:cs="Times New Roman"/>
                <w:spacing w:val="-1"/>
                <w:sz w:val="21"/>
                <w:szCs w:val="21"/>
                <w:highlight w:val="none"/>
              </w:rPr>
              <w:t>0.5</w:t>
            </w:r>
            <w:r>
              <w:rPr>
                <w:rFonts w:ascii="Times New Roman" w:hAnsi="Times New Roman" w:eastAsia="Times New Roman" w:cs="Times New Roman"/>
                <w:spacing w:val="19"/>
                <w:sz w:val="21"/>
                <w:szCs w:val="21"/>
                <w:highlight w:val="none"/>
              </w:rPr>
              <w:t xml:space="preserve"> </w:t>
            </w:r>
            <w:r>
              <w:rPr>
                <w:spacing w:val="-1"/>
                <w:sz w:val="21"/>
                <w:szCs w:val="21"/>
                <w:highlight w:val="none"/>
              </w:rPr>
              <w:t>分，最多加</w:t>
            </w:r>
            <w:r>
              <w:rPr>
                <w:rFonts w:ascii="Times New Roman" w:hAnsi="Times New Roman" w:eastAsia="Times New Roman" w:cs="Times New Roman"/>
                <w:spacing w:val="-1"/>
                <w:sz w:val="21"/>
                <w:szCs w:val="21"/>
                <w:highlight w:val="none"/>
              </w:rPr>
              <w:t>4</w:t>
            </w:r>
            <w:r>
              <w:rPr>
                <w:rFonts w:ascii="Times New Roman" w:hAnsi="Times New Roman" w:eastAsia="Times New Roman" w:cs="Times New Roman"/>
                <w:spacing w:val="19"/>
                <w:sz w:val="21"/>
                <w:szCs w:val="21"/>
                <w:highlight w:val="none"/>
              </w:rPr>
              <w:t xml:space="preserve"> </w:t>
            </w:r>
            <w:r>
              <w:rPr>
                <w:spacing w:val="-1"/>
                <w:sz w:val="21"/>
                <w:szCs w:val="21"/>
                <w:highlight w:val="none"/>
              </w:rPr>
              <w:t>分。</w:t>
            </w:r>
          </w:p>
          <w:p w14:paraId="3988890F">
            <w:pPr>
              <w:pStyle w:val="167"/>
              <w:spacing w:before="6"/>
              <w:ind w:left="8" w:right="6" w:firstLine="431"/>
              <w:rPr>
                <w:sz w:val="21"/>
                <w:szCs w:val="21"/>
                <w:highlight w:val="none"/>
              </w:rPr>
            </w:pPr>
          </w:p>
          <w:p w14:paraId="730DB88F">
            <w:pPr>
              <w:pStyle w:val="167"/>
              <w:spacing w:before="2" w:line="221" w:lineRule="auto"/>
              <w:ind w:left="7" w:leftChars="0" w:right="11" w:rightChars="0" w:firstLine="428" w:firstLineChars="0"/>
              <w:rPr>
                <w:rFonts w:hint="eastAsia" w:ascii="宋体" w:hAnsi="宋体" w:eastAsia="宋体" w:cs="宋体"/>
                <w:kern w:val="2"/>
                <w:sz w:val="21"/>
                <w:szCs w:val="21"/>
                <w:highlight w:val="none"/>
                <w:lang w:val="en-US" w:eastAsia="en-US" w:bidi="ar-SA"/>
              </w:rPr>
            </w:pPr>
            <w:r>
              <w:rPr>
                <w:b/>
                <w:bCs/>
                <w:spacing w:val="6"/>
                <w:sz w:val="21"/>
                <w:szCs w:val="21"/>
                <w:highlight w:val="none"/>
              </w:rPr>
              <w:t>注：需提供自有车辆明细或运输服务合同租赁车</w:t>
            </w:r>
            <w:r>
              <w:rPr>
                <w:b/>
                <w:bCs/>
                <w:spacing w:val="3"/>
                <w:sz w:val="21"/>
                <w:szCs w:val="21"/>
                <w:highlight w:val="none"/>
              </w:rPr>
              <w:t>辆明细，且提供每辆车的行驶证复印件。</w:t>
            </w:r>
          </w:p>
        </w:tc>
      </w:tr>
      <w:tr w14:paraId="0528C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013" w:type="dxa"/>
            <w:vMerge w:val="continue"/>
            <w:tcBorders>
              <w:right w:val="single" w:color="auto" w:sz="4" w:space="0"/>
            </w:tcBorders>
            <w:vAlign w:val="center"/>
          </w:tcPr>
          <w:p w14:paraId="64E0BDF8">
            <w:pPr>
              <w:spacing w:line="360" w:lineRule="auto"/>
            </w:pPr>
          </w:p>
        </w:tc>
        <w:tc>
          <w:tcPr>
            <w:tcW w:w="1447" w:type="dxa"/>
            <w:vMerge w:val="continue"/>
            <w:tcBorders>
              <w:left w:val="single" w:color="auto" w:sz="4" w:space="0"/>
              <w:right w:val="single" w:color="auto" w:sz="4" w:space="0"/>
            </w:tcBorders>
            <w:vAlign w:val="center"/>
          </w:tcPr>
          <w:p w14:paraId="6DEB6DDE">
            <w:pPr>
              <w:spacing w:line="360" w:lineRule="auto"/>
              <w:rPr>
                <w:highlight w:val="none"/>
              </w:rPr>
            </w:pPr>
          </w:p>
        </w:tc>
        <w:tc>
          <w:tcPr>
            <w:tcW w:w="2178" w:type="dxa"/>
            <w:tcBorders>
              <w:top w:val="single" w:color="auto" w:sz="4" w:space="0"/>
              <w:left w:val="single" w:color="auto" w:sz="4" w:space="0"/>
              <w:right w:val="single" w:color="auto" w:sz="4" w:space="0"/>
            </w:tcBorders>
            <w:vAlign w:val="top"/>
          </w:tcPr>
          <w:p w14:paraId="4173048C">
            <w:pPr>
              <w:spacing w:line="367" w:lineRule="auto"/>
              <w:rPr>
                <w:rFonts w:ascii="Arial"/>
                <w:sz w:val="21"/>
                <w:highlight w:val="none"/>
              </w:rPr>
            </w:pPr>
          </w:p>
          <w:p w14:paraId="73F9CAD8">
            <w:pPr>
              <w:pStyle w:val="167"/>
              <w:spacing w:before="68" w:line="239" w:lineRule="auto"/>
              <w:ind w:left="502" w:right="284" w:hanging="210"/>
              <w:rPr>
                <w:sz w:val="21"/>
                <w:szCs w:val="21"/>
                <w:highlight w:val="none"/>
              </w:rPr>
            </w:pPr>
            <w:r>
              <w:rPr>
                <w:spacing w:val="1"/>
                <w:sz w:val="21"/>
                <w:szCs w:val="21"/>
                <w:highlight w:val="none"/>
              </w:rPr>
              <w:t>企业相关管理体系认证</w:t>
            </w:r>
          </w:p>
          <w:p w14:paraId="52440098">
            <w:pPr>
              <w:pStyle w:val="167"/>
              <w:spacing w:line="235" w:lineRule="auto"/>
              <w:ind w:left="561" w:leftChars="0"/>
              <w:rPr>
                <w:rFonts w:ascii="宋体" w:hAnsi="宋体"/>
                <w:highlight w:val="none"/>
              </w:rPr>
            </w:pPr>
            <w:r>
              <w:rPr>
                <w:spacing w:val="-3"/>
                <w:sz w:val="21"/>
                <w:szCs w:val="21"/>
                <w:highlight w:val="none"/>
              </w:rPr>
              <w:t>（</w:t>
            </w:r>
            <w:r>
              <w:rPr>
                <w:rFonts w:ascii="Times New Roman" w:hAnsi="Times New Roman" w:eastAsia="Times New Roman" w:cs="Times New Roman"/>
                <w:spacing w:val="-3"/>
                <w:sz w:val="21"/>
                <w:szCs w:val="21"/>
                <w:highlight w:val="none"/>
              </w:rPr>
              <w:t>2</w:t>
            </w:r>
            <w:r>
              <w:rPr>
                <w:spacing w:val="-3"/>
                <w:sz w:val="21"/>
                <w:szCs w:val="21"/>
                <w:highlight w:val="none"/>
              </w:rPr>
              <w:t>分）</w:t>
            </w:r>
          </w:p>
        </w:tc>
        <w:tc>
          <w:tcPr>
            <w:tcW w:w="4747" w:type="dxa"/>
            <w:tcBorders>
              <w:top w:val="single" w:color="auto" w:sz="4" w:space="0"/>
              <w:left w:val="single" w:color="auto" w:sz="4" w:space="0"/>
              <w:right w:val="single" w:color="auto" w:sz="4" w:space="0"/>
            </w:tcBorders>
            <w:vAlign w:val="top"/>
          </w:tcPr>
          <w:p w14:paraId="38AAAC5E">
            <w:pPr>
              <w:pStyle w:val="167"/>
              <w:spacing w:before="29" w:line="239" w:lineRule="auto"/>
              <w:ind w:left="10" w:right="4" w:firstLine="420"/>
              <w:jc w:val="both"/>
              <w:rPr>
                <w:sz w:val="21"/>
                <w:szCs w:val="21"/>
                <w:highlight w:val="none"/>
              </w:rPr>
            </w:pPr>
            <w:r>
              <w:rPr>
                <w:spacing w:val="6"/>
                <w:sz w:val="21"/>
                <w:szCs w:val="21"/>
                <w:highlight w:val="none"/>
              </w:rPr>
              <w:t>投标人通过环境管理和职业安全健康管理相关体</w:t>
            </w:r>
            <w:r>
              <w:rPr>
                <w:spacing w:val="1"/>
                <w:sz w:val="21"/>
                <w:szCs w:val="21"/>
                <w:highlight w:val="none"/>
              </w:rPr>
              <w:t>系认证，并具有有效的认证证书，每提供一项得1分，</w:t>
            </w:r>
            <w:r>
              <w:rPr>
                <w:spacing w:val="-5"/>
                <w:sz w:val="21"/>
                <w:szCs w:val="21"/>
                <w:highlight w:val="none"/>
              </w:rPr>
              <w:t>最高得2分。</w:t>
            </w:r>
          </w:p>
          <w:p w14:paraId="266977AA">
            <w:pPr>
              <w:pStyle w:val="167"/>
              <w:spacing w:line="219" w:lineRule="auto"/>
              <w:ind w:left="8"/>
              <w:rPr>
                <w:sz w:val="21"/>
                <w:szCs w:val="21"/>
                <w:highlight w:val="none"/>
              </w:rPr>
            </w:pPr>
            <w:r>
              <w:rPr>
                <w:spacing w:val="-1"/>
                <w:sz w:val="21"/>
                <w:szCs w:val="21"/>
                <w:highlight w:val="none"/>
              </w:rPr>
              <w:t>注：1.需提供相关证书复印件加盖投标人公章。</w:t>
            </w:r>
          </w:p>
          <w:p w14:paraId="366CB173">
            <w:pPr>
              <w:pStyle w:val="167"/>
              <w:spacing w:before="23" w:line="222" w:lineRule="auto"/>
              <w:ind w:left="8" w:leftChars="0" w:right="4" w:rightChars="0" w:firstLine="422" w:firstLineChars="0"/>
              <w:rPr>
                <w:rFonts w:hint="eastAsia" w:ascii="宋体" w:hAnsi="宋体"/>
                <w:bCs/>
                <w:highlight w:val="none"/>
              </w:rPr>
            </w:pPr>
            <w:r>
              <w:rPr>
                <w:spacing w:val="6"/>
                <w:sz w:val="21"/>
                <w:szCs w:val="21"/>
                <w:highlight w:val="none"/>
              </w:rPr>
              <w:t>2.如代理经销商投标，可提供生产厂家上述相关</w:t>
            </w:r>
            <w:r>
              <w:rPr>
                <w:spacing w:val="-2"/>
                <w:sz w:val="21"/>
                <w:szCs w:val="21"/>
                <w:highlight w:val="none"/>
              </w:rPr>
              <w:t>证书并加盖投标人公章。</w:t>
            </w:r>
          </w:p>
        </w:tc>
      </w:tr>
      <w:tr w14:paraId="3FBAB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013" w:type="dxa"/>
            <w:vMerge w:val="continue"/>
            <w:tcBorders>
              <w:right w:val="single" w:color="auto" w:sz="4" w:space="0"/>
            </w:tcBorders>
            <w:vAlign w:val="center"/>
          </w:tcPr>
          <w:p w14:paraId="0CDBA9AF">
            <w:pPr>
              <w:spacing w:line="360" w:lineRule="auto"/>
            </w:pPr>
          </w:p>
        </w:tc>
        <w:tc>
          <w:tcPr>
            <w:tcW w:w="1447" w:type="dxa"/>
            <w:vMerge w:val="continue"/>
            <w:tcBorders>
              <w:left w:val="single" w:color="auto" w:sz="4" w:space="0"/>
              <w:right w:val="single" w:color="auto" w:sz="4" w:space="0"/>
            </w:tcBorders>
            <w:vAlign w:val="center"/>
          </w:tcPr>
          <w:p w14:paraId="33DAC276">
            <w:pPr>
              <w:spacing w:line="360" w:lineRule="auto"/>
              <w:rPr>
                <w:highlight w:val="none"/>
              </w:rPr>
            </w:pPr>
          </w:p>
        </w:tc>
        <w:tc>
          <w:tcPr>
            <w:tcW w:w="2178" w:type="dxa"/>
            <w:tcBorders>
              <w:top w:val="single" w:color="auto" w:sz="4" w:space="0"/>
              <w:left w:val="single" w:color="auto" w:sz="4" w:space="0"/>
              <w:right w:val="single" w:color="auto" w:sz="4" w:space="0"/>
            </w:tcBorders>
            <w:vAlign w:val="top"/>
          </w:tcPr>
          <w:p w14:paraId="3ECC425F">
            <w:pPr>
              <w:spacing w:line="302" w:lineRule="auto"/>
              <w:rPr>
                <w:rFonts w:ascii="Arial"/>
                <w:sz w:val="21"/>
                <w:highlight w:val="none"/>
              </w:rPr>
            </w:pPr>
          </w:p>
          <w:p w14:paraId="2A79EC0D">
            <w:pPr>
              <w:spacing w:line="303" w:lineRule="auto"/>
              <w:rPr>
                <w:rFonts w:ascii="Arial"/>
                <w:sz w:val="21"/>
                <w:highlight w:val="none"/>
              </w:rPr>
            </w:pPr>
          </w:p>
          <w:p w14:paraId="66FD61F1">
            <w:pPr>
              <w:spacing w:line="303" w:lineRule="auto"/>
              <w:rPr>
                <w:rFonts w:ascii="Arial"/>
                <w:sz w:val="21"/>
                <w:highlight w:val="none"/>
              </w:rPr>
            </w:pPr>
          </w:p>
          <w:p w14:paraId="3AB342F5">
            <w:pPr>
              <w:pStyle w:val="167"/>
              <w:spacing w:before="68" w:line="221" w:lineRule="auto"/>
              <w:ind w:left="220"/>
              <w:rPr>
                <w:sz w:val="21"/>
                <w:szCs w:val="21"/>
                <w:highlight w:val="none"/>
              </w:rPr>
            </w:pPr>
            <w:r>
              <w:rPr>
                <w:spacing w:val="-3"/>
                <w:sz w:val="21"/>
                <w:szCs w:val="21"/>
                <w:highlight w:val="none"/>
              </w:rPr>
              <w:t>资金授信方案</w:t>
            </w:r>
          </w:p>
          <w:p w14:paraId="78BD3525">
            <w:pPr>
              <w:pStyle w:val="167"/>
              <w:spacing w:before="20" w:line="235" w:lineRule="auto"/>
              <w:ind w:left="499" w:leftChars="0"/>
              <w:rPr>
                <w:rFonts w:ascii="宋体" w:hAnsi="宋体"/>
                <w:bCs/>
                <w:highlight w:val="none"/>
              </w:rPr>
            </w:pPr>
            <w:r>
              <w:rPr>
                <w:spacing w:val="-4"/>
                <w:sz w:val="21"/>
                <w:szCs w:val="21"/>
                <w:highlight w:val="none"/>
              </w:rPr>
              <w:t>（</w:t>
            </w:r>
            <w:r>
              <w:rPr>
                <w:rFonts w:ascii="Times New Roman" w:hAnsi="Times New Roman" w:eastAsia="Times New Roman" w:cs="Times New Roman"/>
                <w:spacing w:val="-4"/>
                <w:sz w:val="21"/>
                <w:szCs w:val="21"/>
                <w:highlight w:val="none"/>
              </w:rPr>
              <w:t>10</w:t>
            </w:r>
            <w:r>
              <w:rPr>
                <w:rFonts w:ascii="Times New Roman" w:hAnsi="Times New Roman" w:eastAsia="Times New Roman" w:cs="Times New Roman"/>
                <w:spacing w:val="18"/>
                <w:w w:val="101"/>
                <w:sz w:val="21"/>
                <w:szCs w:val="21"/>
                <w:highlight w:val="none"/>
              </w:rPr>
              <w:t xml:space="preserve"> </w:t>
            </w:r>
            <w:r>
              <w:rPr>
                <w:spacing w:val="-4"/>
                <w:sz w:val="21"/>
                <w:szCs w:val="21"/>
                <w:highlight w:val="none"/>
              </w:rPr>
              <w:t>分）</w:t>
            </w:r>
          </w:p>
        </w:tc>
        <w:tc>
          <w:tcPr>
            <w:tcW w:w="4747" w:type="dxa"/>
            <w:tcBorders>
              <w:top w:val="single" w:color="auto" w:sz="4" w:space="0"/>
              <w:left w:val="single" w:color="auto" w:sz="4" w:space="0"/>
              <w:right w:val="single" w:color="auto" w:sz="4" w:space="0"/>
            </w:tcBorders>
            <w:vAlign w:val="top"/>
          </w:tcPr>
          <w:p w14:paraId="23A8042F">
            <w:pPr>
              <w:spacing w:line="360" w:lineRule="auto"/>
              <w:rPr>
                <w:sz w:val="21"/>
                <w:szCs w:val="21"/>
                <w:highlight w:val="none"/>
              </w:rPr>
            </w:pPr>
            <w:r>
              <w:rPr>
                <w:rFonts w:hint="eastAsia"/>
                <w:sz w:val="21"/>
                <w:szCs w:val="21"/>
                <w:highlight w:val="none"/>
                <w:lang w:val="en-US" w:eastAsia="zh-CN"/>
              </w:rPr>
              <w:t>粉煤灰</w:t>
            </w:r>
            <w:r>
              <w:rPr>
                <w:sz w:val="21"/>
                <w:szCs w:val="21"/>
                <w:highlight w:val="none"/>
              </w:rPr>
              <w:t>：</w:t>
            </w:r>
          </w:p>
          <w:p w14:paraId="7C7FA2C9">
            <w:pPr>
              <w:spacing w:line="360" w:lineRule="auto"/>
              <w:rPr>
                <w:rFonts w:ascii="宋体" w:hAnsi="宋体"/>
                <w:bCs/>
                <w:highlight w:val="none"/>
              </w:rPr>
            </w:pPr>
            <w:r>
              <w:rPr>
                <w:rFonts w:hint="eastAsia" w:ascii="宋体" w:hAnsi="宋体"/>
                <w:bCs/>
                <w:highlight w:val="none"/>
              </w:rPr>
              <w:t>授信金额达到</w:t>
            </w:r>
            <w:r>
              <w:rPr>
                <w:rFonts w:hint="eastAsia" w:ascii="宋体" w:hAnsi="宋体"/>
                <w:bCs/>
                <w:highlight w:val="none"/>
                <w:lang w:val="en-US" w:eastAsia="zh-CN"/>
              </w:rPr>
              <w:t>200</w:t>
            </w:r>
            <w:r>
              <w:rPr>
                <w:rFonts w:hint="eastAsia" w:ascii="宋体" w:hAnsi="宋体"/>
                <w:bCs/>
                <w:highlight w:val="none"/>
              </w:rPr>
              <w:t>万元得</w:t>
            </w:r>
            <w:r>
              <w:rPr>
                <w:rFonts w:hint="eastAsia" w:ascii="宋体" w:hAnsi="宋体"/>
                <w:bCs/>
                <w:highlight w:val="none"/>
                <w:lang w:val="en-US" w:eastAsia="zh-CN"/>
              </w:rPr>
              <w:t>5</w:t>
            </w:r>
            <w:r>
              <w:rPr>
                <w:rFonts w:hint="eastAsia" w:ascii="宋体" w:hAnsi="宋体"/>
                <w:bCs/>
                <w:highlight w:val="none"/>
              </w:rPr>
              <w:t>分；</w:t>
            </w:r>
          </w:p>
          <w:p w14:paraId="129F9358">
            <w:pPr>
              <w:pStyle w:val="167"/>
              <w:spacing w:before="21" w:line="239" w:lineRule="auto"/>
              <w:ind w:right="253"/>
              <w:rPr>
                <w:rFonts w:hint="eastAsia" w:ascii="宋体" w:hAnsi="宋体" w:eastAsia="宋体" w:cs="Times New Roman"/>
                <w:bCs/>
                <w:kern w:val="2"/>
                <w:sz w:val="21"/>
                <w:szCs w:val="24"/>
                <w:highlight w:val="none"/>
                <w:lang w:val="en-US" w:eastAsia="zh-CN" w:bidi="ar-SA"/>
              </w:rPr>
            </w:pPr>
            <w:r>
              <w:rPr>
                <w:rFonts w:hint="eastAsia" w:ascii="宋体" w:hAnsi="宋体" w:eastAsia="宋体" w:cs="Times New Roman"/>
                <w:bCs/>
                <w:kern w:val="2"/>
                <w:sz w:val="21"/>
                <w:szCs w:val="24"/>
                <w:highlight w:val="none"/>
                <w:lang w:val="en-US" w:eastAsia="zh-CN" w:bidi="ar-SA"/>
              </w:rPr>
              <w:t>授信金额每增加</w:t>
            </w:r>
            <w:r>
              <w:rPr>
                <w:rFonts w:hint="eastAsia" w:cs="Times New Roman"/>
                <w:bCs/>
                <w:kern w:val="2"/>
                <w:sz w:val="21"/>
                <w:szCs w:val="24"/>
                <w:highlight w:val="none"/>
                <w:lang w:val="en-US" w:eastAsia="zh-CN" w:bidi="ar-SA"/>
              </w:rPr>
              <w:t>1</w:t>
            </w:r>
            <w:r>
              <w:rPr>
                <w:rFonts w:hint="eastAsia" w:ascii="宋体" w:hAnsi="宋体" w:eastAsia="宋体" w:cs="Times New Roman"/>
                <w:bCs/>
                <w:kern w:val="2"/>
                <w:sz w:val="21"/>
                <w:szCs w:val="24"/>
                <w:highlight w:val="none"/>
                <w:lang w:val="en-US" w:eastAsia="zh-CN" w:bidi="ar-SA"/>
              </w:rPr>
              <w:t>00万元，加1分，最多加</w:t>
            </w:r>
            <w:r>
              <w:rPr>
                <w:rFonts w:hint="eastAsia" w:cs="Times New Roman"/>
                <w:bCs/>
                <w:kern w:val="2"/>
                <w:sz w:val="21"/>
                <w:szCs w:val="24"/>
                <w:highlight w:val="none"/>
                <w:lang w:val="en-US" w:eastAsia="zh-CN" w:bidi="ar-SA"/>
              </w:rPr>
              <w:t>5</w:t>
            </w:r>
            <w:r>
              <w:rPr>
                <w:rFonts w:hint="eastAsia" w:ascii="宋体" w:hAnsi="宋体" w:eastAsia="宋体" w:cs="Times New Roman"/>
                <w:bCs/>
                <w:kern w:val="2"/>
                <w:sz w:val="21"/>
                <w:szCs w:val="24"/>
                <w:highlight w:val="none"/>
                <w:lang w:val="en-US" w:eastAsia="zh-CN" w:bidi="ar-SA"/>
              </w:rPr>
              <w:t>分。</w:t>
            </w:r>
          </w:p>
          <w:p w14:paraId="3904D306">
            <w:pPr>
              <w:pStyle w:val="167"/>
              <w:spacing w:before="21" w:line="239" w:lineRule="auto"/>
              <w:ind w:right="253"/>
              <w:rPr>
                <w:rFonts w:hint="eastAsia" w:ascii="宋体" w:hAnsi="宋体" w:eastAsia="宋体" w:cs="Times New Roman"/>
                <w:bCs/>
                <w:kern w:val="2"/>
                <w:sz w:val="21"/>
                <w:szCs w:val="24"/>
                <w:highlight w:val="none"/>
                <w:lang w:val="en-US" w:eastAsia="zh-CN" w:bidi="ar-SA"/>
              </w:rPr>
            </w:pPr>
          </w:p>
          <w:p w14:paraId="0557DAB3">
            <w:pPr>
              <w:pStyle w:val="167"/>
              <w:spacing w:before="1" w:line="222" w:lineRule="auto"/>
              <w:rPr>
                <w:rFonts w:ascii="宋体" w:hAnsi="宋体"/>
                <w:bCs/>
                <w:highlight w:val="none"/>
              </w:rPr>
            </w:pPr>
          </w:p>
        </w:tc>
      </w:tr>
      <w:tr w14:paraId="7608E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7" w:hRule="atLeast"/>
        </w:trPr>
        <w:tc>
          <w:tcPr>
            <w:tcW w:w="1013" w:type="dxa"/>
            <w:vMerge w:val="restart"/>
            <w:tcBorders>
              <w:top w:val="single" w:color="auto" w:sz="4" w:space="0"/>
              <w:bottom w:val="single" w:color="auto" w:sz="4" w:space="0"/>
              <w:right w:val="single" w:color="auto" w:sz="4" w:space="0"/>
            </w:tcBorders>
            <w:vAlign w:val="center"/>
          </w:tcPr>
          <w:p w14:paraId="6B2C8123">
            <w:pPr>
              <w:spacing w:line="440" w:lineRule="exact"/>
              <w:jc w:val="center"/>
              <w:rPr>
                <w:rFonts w:ascii="宋体" w:hAnsi="宋体"/>
              </w:rPr>
            </w:pPr>
            <w:r>
              <w:t>3</w:t>
            </w:r>
            <w:r>
              <w:rPr>
                <w:rFonts w:ascii="宋体" w:hAnsi="宋体"/>
              </w:rPr>
              <w:t>.</w:t>
            </w:r>
            <w:r>
              <w:t>3</w:t>
            </w:r>
            <w:r>
              <w:rPr>
                <w:rFonts w:ascii="宋体" w:hAnsi="宋体"/>
              </w:rPr>
              <w:t>（</w:t>
            </w:r>
            <w:r>
              <w:t>2</w:t>
            </w:r>
            <w:r>
              <w:rPr>
                <w:rFonts w:ascii="宋体" w:hAnsi="宋体"/>
              </w:rPr>
              <w:t>）</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42220FDC">
            <w:pPr>
              <w:spacing w:line="440" w:lineRule="exact"/>
              <w:jc w:val="center"/>
              <w:rPr>
                <w:rFonts w:ascii="宋体" w:hAnsi="宋体"/>
                <w:highlight w:val="none"/>
              </w:rPr>
            </w:pPr>
            <w:r>
              <w:rPr>
                <w:rFonts w:ascii="宋体" w:hAnsi="宋体"/>
                <w:highlight w:val="none"/>
              </w:rPr>
              <w:t>技术评分标准</w:t>
            </w:r>
          </w:p>
        </w:tc>
        <w:tc>
          <w:tcPr>
            <w:tcW w:w="2178" w:type="dxa"/>
            <w:tcBorders>
              <w:top w:val="single" w:color="auto" w:sz="4" w:space="0"/>
              <w:left w:val="single" w:color="auto" w:sz="4" w:space="0"/>
              <w:bottom w:val="single" w:color="auto" w:sz="4" w:space="0"/>
              <w:right w:val="single" w:color="auto" w:sz="4" w:space="0"/>
            </w:tcBorders>
            <w:vAlign w:val="center"/>
          </w:tcPr>
          <w:p w14:paraId="469357B9">
            <w:pPr>
              <w:spacing w:before="65" w:line="193" w:lineRule="auto"/>
              <w:jc w:val="center"/>
              <w:rPr>
                <w:rFonts w:ascii="宋体" w:hAnsi="宋体" w:cs="宋体"/>
                <w:spacing w:val="4"/>
                <w:szCs w:val="21"/>
                <w:highlight w:val="none"/>
              </w:rPr>
            </w:pPr>
            <w:r>
              <w:rPr>
                <w:rFonts w:hint="eastAsia" w:ascii="宋体" w:hAnsi="宋体" w:cs="宋体"/>
                <w:spacing w:val="4"/>
                <w:szCs w:val="21"/>
                <w:highlight w:val="none"/>
              </w:rPr>
              <w:t>供货方案及供货过程控制措施</w:t>
            </w:r>
          </w:p>
          <w:p w14:paraId="0BED52B2">
            <w:pPr>
              <w:ind w:right="-78"/>
              <w:jc w:val="center"/>
              <w:rPr>
                <w:rFonts w:ascii="宋体" w:hAnsi="宋体" w:cs="宋体"/>
                <w:highlight w:val="none"/>
              </w:rPr>
            </w:pPr>
            <w:r>
              <w:rPr>
                <w:rFonts w:hint="eastAsia" w:ascii="宋体" w:hAnsi="宋体" w:cs="宋体"/>
                <w:spacing w:val="4"/>
                <w:szCs w:val="21"/>
                <w:highlight w:val="none"/>
              </w:rPr>
              <w:t>（15分）</w:t>
            </w:r>
          </w:p>
        </w:tc>
        <w:tc>
          <w:tcPr>
            <w:tcW w:w="4747" w:type="dxa"/>
            <w:tcBorders>
              <w:top w:val="single" w:color="auto" w:sz="4" w:space="0"/>
              <w:left w:val="single" w:color="auto" w:sz="4" w:space="0"/>
              <w:bottom w:val="single" w:color="auto" w:sz="4" w:space="0"/>
              <w:right w:val="single" w:color="auto" w:sz="4" w:space="0"/>
            </w:tcBorders>
            <w:vAlign w:val="center"/>
          </w:tcPr>
          <w:p w14:paraId="2E6BAF7A">
            <w:pPr>
              <w:tabs>
                <w:tab w:val="left" w:pos="1914"/>
                <w:tab w:val="left" w:pos="4853"/>
              </w:tabs>
              <w:spacing w:before="38" w:line="360" w:lineRule="auto"/>
              <w:rPr>
                <w:rFonts w:ascii="宋体" w:hAnsi="宋体" w:cs="宋体"/>
                <w:spacing w:val="4"/>
                <w:szCs w:val="21"/>
                <w:highlight w:val="none"/>
              </w:rPr>
            </w:pPr>
            <w:r>
              <w:rPr>
                <w:rFonts w:hint="eastAsia" w:ascii="宋体" w:hAnsi="宋体" w:cs="宋体"/>
                <w:spacing w:val="4"/>
                <w:szCs w:val="21"/>
                <w:highlight w:val="none"/>
              </w:rPr>
              <w:t>科学合理、完善可行，得12~15分；</w:t>
            </w:r>
          </w:p>
          <w:p w14:paraId="6BA82E5C">
            <w:pPr>
              <w:pStyle w:val="15"/>
              <w:spacing w:line="360" w:lineRule="auto"/>
              <w:rPr>
                <w:spacing w:val="4"/>
                <w:sz w:val="21"/>
                <w:szCs w:val="21"/>
                <w:highlight w:val="none"/>
                <w:lang w:eastAsia="zh-CN"/>
              </w:rPr>
            </w:pPr>
            <w:r>
              <w:rPr>
                <w:rFonts w:hint="eastAsia"/>
                <w:spacing w:val="4"/>
                <w:sz w:val="21"/>
                <w:szCs w:val="21"/>
                <w:highlight w:val="none"/>
                <w:lang w:eastAsia="zh-CN"/>
              </w:rPr>
              <w:t>较合理，能够满足要求</w:t>
            </w:r>
            <w:r>
              <w:rPr>
                <w:rFonts w:hint="eastAsia"/>
                <w:spacing w:val="4"/>
                <w:szCs w:val="21"/>
                <w:highlight w:val="none"/>
                <w:lang w:eastAsia="zh-CN"/>
              </w:rPr>
              <w:t>，</w:t>
            </w:r>
            <w:r>
              <w:rPr>
                <w:rFonts w:hint="eastAsia"/>
                <w:spacing w:val="4"/>
                <w:sz w:val="21"/>
                <w:szCs w:val="21"/>
                <w:highlight w:val="none"/>
                <w:lang w:eastAsia="zh-CN"/>
              </w:rPr>
              <w:t>得9~12分；</w:t>
            </w:r>
          </w:p>
          <w:p w14:paraId="2E75F34C">
            <w:pPr>
              <w:pStyle w:val="35"/>
              <w:spacing w:line="360" w:lineRule="auto"/>
              <w:rPr>
                <w:rFonts w:cs="宋体"/>
                <w:highlight w:val="none"/>
              </w:rPr>
            </w:pPr>
            <w:r>
              <w:rPr>
                <w:rFonts w:hint="eastAsia" w:cs="宋体"/>
                <w:spacing w:val="4"/>
                <w:sz w:val="21"/>
                <w:szCs w:val="21"/>
                <w:highlight w:val="none"/>
              </w:rPr>
              <w:t>一般，基本满足要求，得0~9分。</w:t>
            </w:r>
          </w:p>
        </w:tc>
      </w:tr>
      <w:tr w14:paraId="4F0B3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5" w:hRule="atLeast"/>
        </w:trPr>
        <w:tc>
          <w:tcPr>
            <w:tcW w:w="1013" w:type="dxa"/>
            <w:vMerge w:val="continue"/>
            <w:tcBorders>
              <w:top w:val="single" w:color="auto" w:sz="4" w:space="0"/>
              <w:bottom w:val="single" w:color="auto" w:sz="4" w:space="0"/>
              <w:right w:val="single" w:color="auto" w:sz="4" w:space="0"/>
            </w:tcBorders>
            <w:vAlign w:val="center"/>
          </w:tcPr>
          <w:p w14:paraId="19E34731">
            <w:pPr>
              <w:spacing w:line="440" w:lineRule="exact"/>
              <w:jc w:val="center"/>
              <w:rPr>
                <w:rFonts w:ascii="宋体" w:hAnsi="宋体"/>
              </w:rPr>
            </w:pPr>
          </w:p>
        </w:tc>
        <w:tc>
          <w:tcPr>
            <w:tcW w:w="1447" w:type="dxa"/>
            <w:vMerge w:val="continue"/>
            <w:tcBorders>
              <w:top w:val="single" w:color="auto" w:sz="4" w:space="0"/>
              <w:bottom w:val="single" w:color="auto" w:sz="4" w:space="0"/>
              <w:right w:val="single" w:color="auto" w:sz="4" w:space="0"/>
            </w:tcBorders>
            <w:vAlign w:val="center"/>
          </w:tcPr>
          <w:p w14:paraId="2AB51209">
            <w:pPr>
              <w:spacing w:line="440" w:lineRule="exact"/>
              <w:jc w:val="center"/>
              <w:rPr>
                <w:rFonts w:ascii="宋体" w:hAnsi="宋体"/>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39F3247E">
            <w:pPr>
              <w:spacing w:before="65" w:line="193" w:lineRule="auto"/>
              <w:jc w:val="center"/>
              <w:rPr>
                <w:rFonts w:ascii="宋体" w:hAnsi="宋体" w:cs="宋体"/>
                <w:spacing w:val="4"/>
                <w:szCs w:val="21"/>
                <w:highlight w:val="none"/>
              </w:rPr>
            </w:pPr>
            <w:r>
              <w:rPr>
                <w:rFonts w:hint="eastAsia" w:ascii="宋体" w:hAnsi="宋体" w:cs="宋体"/>
                <w:spacing w:val="4"/>
                <w:szCs w:val="21"/>
                <w:highlight w:val="none"/>
              </w:rPr>
              <w:t>质量控制体系</w:t>
            </w:r>
          </w:p>
          <w:p w14:paraId="1C694D3D">
            <w:pPr>
              <w:ind w:right="-78"/>
              <w:jc w:val="center"/>
              <w:rPr>
                <w:rFonts w:ascii="宋体" w:hAnsi="宋体" w:cs="宋体"/>
                <w:kern w:val="0"/>
                <w:highlight w:val="none"/>
              </w:rPr>
            </w:pPr>
            <w:r>
              <w:rPr>
                <w:rFonts w:hint="eastAsia" w:ascii="宋体" w:hAnsi="宋体" w:cs="宋体"/>
                <w:spacing w:val="4"/>
                <w:szCs w:val="21"/>
                <w:highlight w:val="none"/>
              </w:rPr>
              <w:t>(15分)</w:t>
            </w:r>
          </w:p>
        </w:tc>
        <w:tc>
          <w:tcPr>
            <w:tcW w:w="4747" w:type="dxa"/>
            <w:tcBorders>
              <w:top w:val="single" w:color="auto" w:sz="4" w:space="0"/>
              <w:left w:val="single" w:color="auto" w:sz="4" w:space="0"/>
              <w:bottom w:val="single" w:color="auto" w:sz="4" w:space="0"/>
              <w:right w:val="single" w:color="auto" w:sz="4" w:space="0"/>
            </w:tcBorders>
            <w:vAlign w:val="center"/>
          </w:tcPr>
          <w:p w14:paraId="4C3B4F9B">
            <w:pPr>
              <w:tabs>
                <w:tab w:val="left" w:pos="1914"/>
                <w:tab w:val="left" w:pos="4853"/>
              </w:tabs>
              <w:spacing w:before="38" w:line="360" w:lineRule="auto"/>
              <w:rPr>
                <w:rFonts w:ascii="宋体" w:hAnsi="宋体" w:cs="宋体"/>
                <w:spacing w:val="4"/>
                <w:szCs w:val="21"/>
                <w:highlight w:val="none"/>
              </w:rPr>
            </w:pPr>
            <w:r>
              <w:rPr>
                <w:rFonts w:hint="eastAsia" w:ascii="宋体" w:hAnsi="宋体" w:cs="宋体"/>
                <w:spacing w:val="4"/>
                <w:szCs w:val="21"/>
                <w:highlight w:val="none"/>
              </w:rPr>
              <w:t>科学合理、完善可行，得12~15分；</w:t>
            </w:r>
          </w:p>
          <w:p w14:paraId="170946A0">
            <w:pPr>
              <w:pStyle w:val="15"/>
              <w:spacing w:line="360" w:lineRule="auto"/>
              <w:rPr>
                <w:spacing w:val="4"/>
                <w:sz w:val="21"/>
                <w:szCs w:val="21"/>
                <w:highlight w:val="none"/>
                <w:lang w:eastAsia="zh-CN"/>
              </w:rPr>
            </w:pPr>
            <w:r>
              <w:rPr>
                <w:rFonts w:hint="eastAsia"/>
                <w:spacing w:val="4"/>
                <w:sz w:val="21"/>
                <w:szCs w:val="21"/>
                <w:highlight w:val="none"/>
                <w:lang w:eastAsia="zh-CN"/>
              </w:rPr>
              <w:t>较合理，能够满足要求，得9~12分；</w:t>
            </w:r>
          </w:p>
          <w:p w14:paraId="73AD9193">
            <w:pPr>
              <w:widowControl/>
              <w:spacing w:line="360" w:lineRule="auto"/>
              <w:jc w:val="left"/>
              <w:rPr>
                <w:rFonts w:ascii="宋体" w:hAnsi="宋体" w:cs="宋体"/>
                <w:highlight w:val="none"/>
              </w:rPr>
            </w:pPr>
            <w:r>
              <w:rPr>
                <w:rFonts w:hint="eastAsia" w:ascii="宋体" w:hAnsi="宋体" w:cs="宋体"/>
                <w:spacing w:val="4"/>
                <w:szCs w:val="21"/>
                <w:highlight w:val="none"/>
              </w:rPr>
              <w:t>一般，基本满足要求，得0~9分。</w:t>
            </w:r>
          </w:p>
        </w:tc>
      </w:tr>
      <w:tr w14:paraId="31FF6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1013" w:type="dxa"/>
            <w:vMerge w:val="continue"/>
            <w:tcBorders>
              <w:top w:val="single" w:color="auto" w:sz="4" w:space="0"/>
              <w:bottom w:val="single" w:color="auto" w:sz="4" w:space="0"/>
              <w:right w:val="single" w:color="auto" w:sz="4" w:space="0"/>
            </w:tcBorders>
            <w:vAlign w:val="center"/>
          </w:tcPr>
          <w:p w14:paraId="5CC26302">
            <w:pPr>
              <w:spacing w:line="440" w:lineRule="exact"/>
              <w:jc w:val="center"/>
              <w:rPr>
                <w:rFonts w:ascii="宋体" w:hAnsi="宋体"/>
              </w:rPr>
            </w:pPr>
          </w:p>
        </w:tc>
        <w:tc>
          <w:tcPr>
            <w:tcW w:w="1447" w:type="dxa"/>
            <w:vMerge w:val="continue"/>
            <w:tcBorders>
              <w:top w:val="single" w:color="auto" w:sz="4" w:space="0"/>
              <w:bottom w:val="single" w:color="auto" w:sz="4" w:space="0"/>
              <w:right w:val="single" w:color="auto" w:sz="4" w:space="0"/>
            </w:tcBorders>
            <w:vAlign w:val="center"/>
          </w:tcPr>
          <w:p w14:paraId="242980D2">
            <w:pPr>
              <w:spacing w:line="440" w:lineRule="exact"/>
              <w:jc w:val="center"/>
              <w:rPr>
                <w:rFonts w:ascii="宋体" w:hAnsi="宋体"/>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149D3B51">
            <w:pPr>
              <w:spacing w:before="65" w:line="193" w:lineRule="auto"/>
              <w:jc w:val="center"/>
              <w:rPr>
                <w:rFonts w:ascii="宋体" w:hAnsi="宋体" w:cs="宋体"/>
                <w:spacing w:val="4"/>
                <w:szCs w:val="21"/>
                <w:highlight w:val="none"/>
              </w:rPr>
            </w:pPr>
            <w:r>
              <w:rPr>
                <w:rFonts w:hint="eastAsia" w:ascii="宋体" w:hAnsi="宋体" w:cs="宋体"/>
                <w:spacing w:val="4"/>
                <w:szCs w:val="21"/>
                <w:highlight w:val="none"/>
              </w:rPr>
              <w:t>交货进度保证措施</w:t>
            </w:r>
          </w:p>
          <w:p w14:paraId="4A533CAE">
            <w:pPr>
              <w:ind w:right="17"/>
              <w:jc w:val="center"/>
              <w:rPr>
                <w:rFonts w:ascii="宋体" w:hAnsi="宋体" w:cs="宋体"/>
                <w:kern w:val="0"/>
                <w:highlight w:val="none"/>
              </w:rPr>
            </w:pPr>
            <w:r>
              <w:rPr>
                <w:rFonts w:hint="eastAsia" w:ascii="宋体" w:hAnsi="宋体" w:cs="宋体"/>
                <w:spacing w:val="4"/>
                <w:szCs w:val="21"/>
                <w:highlight w:val="none"/>
              </w:rPr>
              <w:t>(15分)</w:t>
            </w:r>
          </w:p>
        </w:tc>
        <w:tc>
          <w:tcPr>
            <w:tcW w:w="4747" w:type="dxa"/>
            <w:tcBorders>
              <w:top w:val="single" w:color="auto" w:sz="4" w:space="0"/>
              <w:left w:val="single" w:color="auto" w:sz="4" w:space="0"/>
              <w:bottom w:val="single" w:color="auto" w:sz="4" w:space="0"/>
              <w:right w:val="single" w:color="auto" w:sz="4" w:space="0"/>
            </w:tcBorders>
            <w:vAlign w:val="center"/>
          </w:tcPr>
          <w:p w14:paraId="4D3567C3">
            <w:pPr>
              <w:tabs>
                <w:tab w:val="left" w:pos="1914"/>
                <w:tab w:val="left" w:pos="4853"/>
              </w:tabs>
              <w:spacing w:before="38" w:line="360" w:lineRule="auto"/>
              <w:rPr>
                <w:rFonts w:ascii="宋体" w:hAnsi="宋体" w:cs="宋体"/>
                <w:spacing w:val="4"/>
                <w:szCs w:val="21"/>
                <w:highlight w:val="none"/>
              </w:rPr>
            </w:pPr>
            <w:r>
              <w:rPr>
                <w:rFonts w:hint="eastAsia" w:ascii="宋体" w:hAnsi="宋体" w:cs="宋体"/>
                <w:spacing w:val="4"/>
                <w:szCs w:val="21"/>
                <w:highlight w:val="none"/>
              </w:rPr>
              <w:t>科学合理、完善可行，得12~15分；</w:t>
            </w:r>
          </w:p>
          <w:p w14:paraId="4AD5DC88">
            <w:pPr>
              <w:pStyle w:val="15"/>
              <w:spacing w:line="360" w:lineRule="auto"/>
              <w:rPr>
                <w:spacing w:val="4"/>
                <w:sz w:val="21"/>
                <w:szCs w:val="21"/>
                <w:highlight w:val="none"/>
                <w:lang w:eastAsia="zh-CN"/>
              </w:rPr>
            </w:pPr>
            <w:r>
              <w:rPr>
                <w:rFonts w:hint="eastAsia"/>
                <w:spacing w:val="4"/>
                <w:sz w:val="21"/>
                <w:szCs w:val="21"/>
                <w:highlight w:val="none"/>
                <w:lang w:eastAsia="zh-CN"/>
              </w:rPr>
              <w:t>较合理，能够满足要求，得9~12分；</w:t>
            </w:r>
          </w:p>
          <w:p w14:paraId="491D55A2">
            <w:pPr>
              <w:tabs>
                <w:tab w:val="left" w:pos="1914"/>
                <w:tab w:val="left" w:pos="4853"/>
              </w:tabs>
              <w:spacing w:before="38" w:line="360" w:lineRule="auto"/>
              <w:rPr>
                <w:rFonts w:ascii="宋体" w:hAnsi="宋体" w:cs="宋体"/>
                <w:highlight w:val="none"/>
              </w:rPr>
            </w:pPr>
            <w:r>
              <w:rPr>
                <w:rFonts w:hint="eastAsia" w:ascii="宋体" w:hAnsi="宋体" w:cs="宋体"/>
                <w:spacing w:val="4"/>
                <w:szCs w:val="21"/>
                <w:highlight w:val="none"/>
              </w:rPr>
              <w:t>一般，基本满足要求，得 0~9分。</w:t>
            </w:r>
          </w:p>
        </w:tc>
      </w:tr>
      <w:tr w14:paraId="153F5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29" w:hRule="atLeast"/>
        </w:trPr>
        <w:tc>
          <w:tcPr>
            <w:tcW w:w="1013" w:type="dxa"/>
            <w:vMerge w:val="continue"/>
            <w:tcBorders>
              <w:top w:val="single" w:color="auto" w:sz="4" w:space="0"/>
              <w:bottom w:val="single" w:color="auto" w:sz="4" w:space="0"/>
              <w:right w:val="single" w:color="auto" w:sz="4" w:space="0"/>
            </w:tcBorders>
            <w:vAlign w:val="center"/>
          </w:tcPr>
          <w:p w14:paraId="7C8FF630">
            <w:pPr>
              <w:spacing w:line="440" w:lineRule="exact"/>
              <w:jc w:val="center"/>
              <w:rPr>
                <w:rFonts w:ascii="宋体" w:hAnsi="宋体"/>
              </w:rPr>
            </w:pPr>
          </w:p>
        </w:tc>
        <w:tc>
          <w:tcPr>
            <w:tcW w:w="1447" w:type="dxa"/>
            <w:vMerge w:val="continue"/>
            <w:tcBorders>
              <w:top w:val="single" w:color="auto" w:sz="4" w:space="0"/>
              <w:bottom w:val="single" w:color="auto" w:sz="4" w:space="0"/>
              <w:right w:val="single" w:color="auto" w:sz="4" w:space="0"/>
            </w:tcBorders>
            <w:vAlign w:val="center"/>
          </w:tcPr>
          <w:p w14:paraId="090F95C2">
            <w:pPr>
              <w:spacing w:line="440" w:lineRule="exact"/>
              <w:jc w:val="center"/>
              <w:rPr>
                <w:rFonts w:ascii="宋体" w:hAnsi="宋体"/>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1F46FAC9">
            <w:pPr>
              <w:spacing w:before="65" w:line="193" w:lineRule="auto"/>
              <w:jc w:val="center"/>
              <w:rPr>
                <w:rFonts w:ascii="宋体" w:hAnsi="宋体" w:cs="宋体"/>
                <w:spacing w:val="4"/>
                <w:highlight w:val="none"/>
              </w:rPr>
            </w:pPr>
            <w:r>
              <w:rPr>
                <w:rFonts w:hint="eastAsia" w:ascii="宋体" w:hAnsi="宋体" w:cs="宋体"/>
                <w:spacing w:val="4"/>
                <w:highlight w:val="none"/>
              </w:rPr>
              <w:t>售后服务承诺</w:t>
            </w:r>
          </w:p>
          <w:p w14:paraId="7FF23D15">
            <w:pPr>
              <w:ind w:right="56"/>
              <w:jc w:val="center"/>
              <w:rPr>
                <w:rFonts w:ascii="宋体" w:hAnsi="宋体" w:cs="宋体"/>
                <w:kern w:val="0"/>
                <w:highlight w:val="none"/>
              </w:rPr>
            </w:pPr>
            <w:r>
              <w:rPr>
                <w:rFonts w:hint="eastAsia" w:ascii="宋体" w:hAnsi="宋体" w:cs="宋体"/>
                <w:spacing w:val="4"/>
                <w:szCs w:val="21"/>
                <w:highlight w:val="none"/>
              </w:rPr>
              <w:t>(15分)</w:t>
            </w:r>
          </w:p>
        </w:tc>
        <w:tc>
          <w:tcPr>
            <w:tcW w:w="4747" w:type="dxa"/>
            <w:tcBorders>
              <w:top w:val="single" w:color="auto" w:sz="4" w:space="0"/>
              <w:left w:val="single" w:color="auto" w:sz="4" w:space="0"/>
              <w:bottom w:val="single" w:color="auto" w:sz="4" w:space="0"/>
              <w:right w:val="single" w:color="auto" w:sz="4" w:space="0"/>
            </w:tcBorders>
            <w:vAlign w:val="center"/>
          </w:tcPr>
          <w:p w14:paraId="143F5BED">
            <w:pPr>
              <w:pStyle w:val="15"/>
              <w:spacing w:line="360" w:lineRule="auto"/>
              <w:rPr>
                <w:spacing w:val="4"/>
                <w:sz w:val="21"/>
                <w:szCs w:val="21"/>
                <w:highlight w:val="none"/>
                <w:lang w:eastAsia="zh-CN"/>
              </w:rPr>
            </w:pPr>
            <w:r>
              <w:rPr>
                <w:rFonts w:hint="eastAsia"/>
                <w:spacing w:val="4"/>
                <w:sz w:val="21"/>
                <w:szCs w:val="21"/>
                <w:highlight w:val="none"/>
                <w:lang w:eastAsia="zh-CN"/>
              </w:rPr>
              <w:t>完善、明确，得12~15分</w:t>
            </w:r>
          </w:p>
          <w:p w14:paraId="6EE595F8">
            <w:pPr>
              <w:tabs>
                <w:tab w:val="left" w:pos="1914"/>
                <w:tab w:val="left" w:pos="4853"/>
              </w:tabs>
              <w:spacing w:before="38" w:line="360" w:lineRule="auto"/>
              <w:rPr>
                <w:rFonts w:ascii="宋体" w:hAnsi="宋体" w:cs="宋体"/>
                <w:spacing w:val="4"/>
                <w:kern w:val="0"/>
                <w:szCs w:val="21"/>
                <w:highlight w:val="none"/>
              </w:rPr>
            </w:pPr>
            <w:r>
              <w:rPr>
                <w:rFonts w:hint="eastAsia" w:ascii="宋体" w:hAnsi="宋体" w:cs="宋体"/>
                <w:spacing w:val="4"/>
                <w:kern w:val="0"/>
                <w:szCs w:val="21"/>
                <w:highlight w:val="none"/>
              </w:rPr>
              <w:t>较好，能够满足要求，得9~12分；</w:t>
            </w:r>
          </w:p>
          <w:p w14:paraId="7B8BF621">
            <w:pPr>
              <w:spacing w:line="360" w:lineRule="auto"/>
              <w:rPr>
                <w:rFonts w:ascii="宋体" w:hAnsi="宋体" w:cs="宋体"/>
                <w:highlight w:val="none"/>
              </w:rPr>
            </w:pPr>
            <w:r>
              <w:rPr>
                <w:rFonts w:hint="eastAsia" w:ascii="宋体" w:hAnsi="宋体" w:cs="宋体"/>
                <w:spacing w:val="4"/>
                <w:szCs w:val="21"/>
                <w:highlight w:val="none"/>
              </w:rPr>
              <w:t>一般，基本满足要求，得0~9分。</w:t>
            </w:r>
          </w:p>
        </w:tc>
      </w:tr>
      <w:tr w14:paraId="71631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1" w:hRule="atLeast"/>
        </w:trPr>
        <w:tc>
          <w:tcPr>
            <w:tcW w:w="1013" w:type="dxa"/>
            <w:tcBorders>
              <w:top w:val="single" w:color="auto" w:sz="4" w:space="0"/>
              <w:left w:val="single" w:color="auto" w:sz="4" w:space="0"/>
              <w:bottom w:val="single" w:color="auto" w:sz="4" w:space="0"/>
              <w:right w:val="single" w:color="auto" w:sz="4" w:space="0"/>
            </w:tcBorders>
            <w:vAlign w:val="center"/>
          </w:tcPr>
          <w:p w14:paraId="7B28DA0C">
            <w:pPr>
              <w:spacing w:line="440" w:lineRule="exact"/>
              <w:jc w:val="center"/>
              <w:rPr>
                <w:rFonts w:ascii="宋体" w:hAnsi="宋体"/>
              </w:rPr>
            </w:pPr>
            <w:r>
              <w:t>3</w:t>
            </w:r>
            <w:r>
              <w:rPr>
                <w:rFonts w:ascii="宋体" w:hAnsi="宋体"/>
              </w:rPr>
              <w:t>.</w:t>
            </w:r>
            <w:r>
              <w:t>3</w:t>
            </w:r>
            <w:r>
              <w:rPr>
                <w:rFonts w:ascii="宋体" w:hAnsi="宋体"/>
              </w:rPr>
              <w:t>（</w:t>
            </w:r>
            <w:r>
              <w:t>3</w:t>
            </w:r>
            <w:r>
              <w:rPr>
                <w:rFonts w:ascii="宋体" w:hAnsi="宋体"/>
              </w:rPr>
              <w:t>）</w:t>
            </w:r>
          </w:p>
        </w:tc>
        <w:tc>
          <w:tcPr>
            <w:tcW w:w="1447" w:type="dxa"/>
            <w:tcBorders>
              <w:top w:val="single" w:color="auto" w:sz="4" w:space="0"/>
              <w:left w:val="single" w:color="auto" w:sz="4" w:space="0"/>
              <w:bottom w:val="single" w:color="auto" w:sz="4" w:space="0"/>
              <w:right w:val="single" w:color="auto" w:sz="4" w:space="0"/>
            </w:tcBorders>
            <w:vAlign w:val="center"/>
          </w:tcPr>
          <w:p w14:paraId="0785AE74">
            <w:pPr>
              <w:spacing w:line="440" w:lineRule="exact"/>
              <w:jc w:val="center"/>
              <w:rPr>
                <w:rFonts w:ascii="宋体" w:hAnsi="宋体"/>
              </w:rPr>
            </w:pPr>
            <w:r>
              <w:rPr>
                <w:rFonts w:ascii="宋体" w:hAnsi="宋体"/>
              </w:rPr>
              <w:t>报价评分标准</w:t>
            </w:r>
          </w:p>
        </w:tc>
        <w:tc>
          <w:tcPr>
            <w:tcW w:w="6925" w:type="dxa"/>
            <w:gridSpan w:val="2"/>
            <w:tcBorders>
              <w:top w:val="single" w:color="auto" w:sz="4" w:space="0"/>
              <w:left w:val="single" w:color="auto" w:sz="4" w:space="0"/>
              <w:bottom w:val="single" w:color="auto" w:sz="4" w:space="0"/>
              <w:right w:val="single" w:color="auto" w:sz="4" w:space="0"/>
            </w:tcBorders>
            <w:vAlign w:val="center"/>
          </w:tcPr>
          <w:p w14:paraId="2E096E50">
            <w:pPr>
              <w:spacing w:line="380" w:lineRule="atLeast"/>
              <w:jc w:val="center"/>
              <w:rPr>
                <w:rFonts w:ascii="宋体" w:hAnsi="宋体"/>
              </w:rPr>
            </w:pPr>
            <w:r>
              <w:rPr>
                <w:rFonts w:hint="eastAsia" w:ascii="宋体" w:hAnsi="宋体"/>
              </w:rPr>
              <w:t>不适用</w:t>
            </w:r>
          </w:p>
        </w:tc>
      </w:tr>
      <w:tr w14:paraId="42934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013" w:type="dxa"/>
            <w:tcBorders>
              <w:top w:val="single" w:color="auto" w:sz="4" w:space="0"/>
              <w:left w:val="single" w:color="auto" w:sz="4" w:space="0"/>
              <w:bottom w:val="single" w:color="auto" w:sz="4" w:space="0"/>
              <w:right w:val="single" w:color="auto" w:sz="4" w:space="0"/>
            </w:tcBorders>
          </w:tcPr>
          <w:p w14:paraId="141FB446">
            <w:pPr>
              <w:spacing w:line="440" w:lineRule="exact"/>
              <w:jc w:val="center"/>
              <w:rPr>
                <w:rFonts w:ascii="宋体" w:hAnsi="宋体"/>
              </w:rPr>
            </w:pPr>
            <w:r>
              <w:t>3</w:t>
            </w:r>
            <w:r>
              <w:rPr>
                <w:rFonts w:ascii="宋体" w:hAnsi="宋体"/>
              </w:rPr>
              <w:t>.</w:t>
            </w:r>
            <w:r>
              <w:t>3</w:t>
            </w:r>
            <w:r>
              <w:rPr>
                <w:rFonts w:ascii="宋体" w:hAnsi="宋体"/>
              </w:rPr>
              <w:t>（</w:t>
            </w:r>
            <w:r>
              <w:t>4</w:t>
            </w:r>
            <w:r>
              <w:rPr>
                <w:rFonts w:ascii="宋体" w:hAnsi="宋体"/>
              </w:rPr>
              <w:t>）</w:t>
            </w:r>
          </w:p>
        </w:tc>
        <w:tc>
          <w:tcPr>
            <w:tcW w:w="1447" w:type="dxa"/>
            <w:tcBorders>
              <w:top w:val="single" w:color="auto" w:sz="4" w:space="0"/>
              <w:left w:val="single" w:color="auto" w:sz="4" w:space="0"/>
              <w:bottom w:val="single" w:color="auto" w:sz="4" w:space="0"/>
              <w:right w:val="single" w:color="auto" w:sz="4" w:space="0"/>
            </w:tcBorders>
          </w:tcPr>
          <w:p w14:paraId="209524FD">
            <w:pPr>
              <w:spacing w:line="440" w:lineRule="exact"/>
              <w:jc w:val="center"/>
              <w:rPr>
                <w:rFonts w:ascii="宋体" w:hAnsi="宋体"/>
              </w:rPr>
            </w:pPr>
            <w:r>
              <w:rPr>
                <w:rFonts w:ascii="宋体" w:hAnsi="宋体"/>
              </w:rPr>
              <w:t>其他因素评分标准</w:t>
            </w:r>
          </w:p>
        </w:tc>
        <w:tc>
          <w:tcPr>
            <w:tcW w:w="2178" w:type="dxa"/>
            <w:tcBorders>
              <w:top w:val="single" w:color="auto" w:sz="4" w:space="0"/>
              <w:left w:val="single" w:color="auto" w:sz="4" w:space="0"/>
              <w:bottom w:val="single" w:color="auto" w:sz="4" w:space="0"/>
              <w:right w:val="single" w:color="auto" w:sz="4" w:space="0"/>
            </w:tcBorders>
            <w:vAlign w:val="center"/>
          </w:tcPr>
          <w:p w14:paraId="5CBF64EC">
            <w:pPr>
              <w:spacing w:line="440" w:lineRule="exact"/>
              <w:jc w:val="center"/>
              <w:rPr>
                <w:rFonts w:ascii="宋体" w:hAnsi="宋体"/>
              </w:rPr>
            </w:pPr>
            <w:r>
              <w:rPr>
                <w:rFonts w:hint="eastAsia" w:ascii="宋体" w:hAnsi="宋体"/>
              </w:rPr>
              <w:t>/</w:t>
            </w:r>
          </w:p>
        </w:tc>
        <w:tc>
          <w:tcPr>
            <w:tcW w:w="4747" w:type="dxa"/>
            <w:tcBorders>
              <w:top w:val="single" w:color="auto" w:sz="4" w:space="0"/>
              <w:left w:val="single" w:color="auto" w:sz="4" w:space="0"/>
              <w:bottom w:val="single" w:color="auto" w:sz="4" w:space="0"/>
              <w:right w:val="single" w:color="auto" w:sz="4" w:space="0"/>
            </w:tcBorders>
            <w:vAlign w:val="center"/>
          </w:tcPr>
          <w:p w14:paraId="3DD69447">
            <w:pPr>
              <w:spacing w:line="440" w:lineRule="exact"/>
              <w:jc w:val="center"/>
              <w:rPr>
                <w:rFonts w:ascii="宋体" w:hAnsi="宋体"/>
              </w:rPr>
            </w:pPr>
            <w:r>
              <w:rPr>
                <w:rFonts w:hint="eastAsia" w:ascii="宋体" w:hAnsi="宋体"/>
              </w:rPr>
              <w:t>/</w:t>
            </w:r>
          </w:p>
        </w:tc>
      </w:tr>
    </w:tbl>
    <w:p w14:paraId="2865786C">
      <w:pPr>
        <w:spacing w:line="400" w:lineRule="exact"/>
        <w:rPr>
          <w:rFonts w:ascii="宋体" w:hAnsi="宋体"/>
        </w:rPr>
      </w:pPr>
      <w:r>
        <w:rPr>
          <w:rFonts w:ascii="宋体" w:hAnsi="宋体"/>
        </w:rPr>
        <w:br w:type="page"/>
      </w:r>
    </w:p>
    <w:p w14:paraId="5BFF1A8D">
      <w:pPr>
        <w:keepNext/>
        <w:keepLines/>
        <w:widowControl/>
        <w:spacing w:before="260" w:after="260"/>
        <w:outlineLvl w:val="1"/>
        <w:rPr>
          <w:rFonts w:eastAsia="黑体"/>
          <w:b/>
          <w:sz w:val="28"/>
          <w:szCs w:val="18"/>
        </w:rPr>
      </w:pPr>
      <w:bookmarkStart w:id="336" w:name="_Toc13455"/>
      <w:bookmarkStart w:id="337" w:name="_Toc11461"/>
      <w:bookmarkStart w:id="338" w:name="_Toc118805910"/>
      <w:bookmarkStart w:id="339" w:name="_Toc7631"/>
      <w:bookmarkStart w:id="340" w:name="_Toc12481"/>
      <w:bookmarkStart w:id="341" w:name="_Toc3366_WPSOffice_Level3"/>
      <w:bookmarkStart w:id="342" w:name="_Toc138604679"/>
      <w:bookmarkStart w:id="343" w:name="_Toc118806281"/>
      <w:bookmarkStart w:id="344" w:name="_Toc118805533"/>
      <w:bookmarkStart w:id="345" w:name="_Toc118805156"/>
      <w:bookmarkStart w:id="346" w:name="_Toc4907"/>
      <w:bookmarkStart w:id="347" w:name="_Toc149140253"/>
      <w:bookmarkStart w:id="348" w:name="_Toc8674"/>
      <w:bookmarkStart w:id="349" w:name="_Toc501460714"/>
      <w:r>
        <w:rPr>
          <w:rFonts w:eastAsia="黑体"/>
          <w:b/>
          <w:sz w:val="28"/>
          <w:szCs w:val="18"/>
        </w:rPr>
        <w:t>1. 评审方法（综合评分法）</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136400E4">
      <w:pPr>
        <w:spacing w:line="400" w:lineRule="exact"/>
        <w:ind w:firstLine="420" w:firstLineChars="200"/>
        <w:rPr>
          <w:rFonts w:ascii="宋体" w:hAnsi="宋体"/>
        </w:rPr>
      </w:pPr>
      <w:bookmarkStart w:id="350" w:name="_Hlk138879131"/>
      <w:r>
        <w:rPr>
          <w:rFonts w:ascii="宋体" w:hAnsi="宋体"/>
        </w:rPr>
        <w:t>本次评审采用综合评分法。评审小组对满足采购文件实质性要求的响应文件，按照本章第</w:t>
      </w:r>
      <w:r>
        <w:t>3</w:t>
      </w:r>
      <w:r>
        <w:rPr>
          <w:rFonts w:ascii="宋体" w:hAnsi="宋体"/>
        </w:rPr>
        <w:t>条规定的评分标准进行打分，并按得分由高到低的顺序推荐候选成交供应商。</w:t>
      </w:r>
    </w:p>
    <w:bookmarkEnd w:id="350"/>
    <w:p w14:paraId="09AE47A3">
      <w:pPr>
        <w:keepNext/>
        <w:keepLines/>
        <w:widowControl/>
        <w:spacing w:before="260" w:after="260"/>
        <w:outlineLvl w:val="1"/>
        <w:rPr>
          <w:rFonts w:eastAsia="黑体"/>
          <w:b/>
          <w:sz w:val="28"/>
          <w:szCs w:val="18"/>
        </w:rPr>
      </w:pPr>
      <w:bookmarkStart w:id="351" w:name="_Toc149140254"/>
      <w:bookmarkStart w:id="352" w:name="_Toc118806283"/>
      <w:bookmarkStart w:id="353" w:name="_Toc4304"/>
      <w:bookmarkStart w:id="354" w:name="_Toc138604681"/>
      <w:bookmarkStart w:id="355" w:name="_Toc25692_WPSOffice_Level3"/>
      <w:bookmarkStart w:id="356" w:name="_Toc118805912"/>
      <w:bookmarkStart w:id="357" w:name="_Toc118805535"/>
      <w:bookmarkStart w:id="358" w:name="_Toc23214"/>
      <w:bookmarkStart w:id="359" w:name="_Toc14894"/>
      <w:bookmarkStart w:id="360" w:name="_Toc13989"/>
      <w:bookmarkStart w:id="361" w:name="_Toc4324"/>
      <w:bookmarkStart w:id="362" w:name="_Toc118805158"/>
      <w:bookmarkStart w:id="363" w:name="_Toc28622"/>
      <w:r>
        <w:rPr>
          <w:rFonts w:eastAsia="黑体"/>
          <w:b/>
          <w:sz w:val="28"/>
          <w:szCs w:val="18"/>
        </w:rPr>
        <w:t>2. 初步评审标准</w:t>
      </w:r>
      <w:bookmarkEnd w:id="349"/>
      <w:r>
        <w:rPr>
          <w:rFonts w:eastAsia="黑体"/>
          <w:b/>
          <w:sz w:val="28"/>
          <w:szCs w:val="18"/>
        </w:rPr>
        <w:t>和程序</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50B44E42">
      <w:pPr>
        <w:widowControl/>
        <w:spacing w:before="100" w:beforeAutospacing="1" w:after="100" w:afterAutospacing="1" w:line="400" w:lineRule="exact"/>
        <w:ind w:left="2" w:leftChars="1"/>
        <w:jc w:val="left"/>
        <w:outlineLvl w:val="2"/>
        <w:rPr>
          <w:rFonts w:eastAsia="黑体"/>
          <w:sz w:val="24"/>
        </w:rPr>
      </w:pPr>
      <w:bookmarkStart w:id="364" w:name="_Toc27135"/>
      <w:bookmarkStart w:id="365" w:name="_Toc118805913"/>
      <w:bookmarkStart w:id="366" w:name="_Toc118806284"/>
      <w:bookmarkStart w:id="367" w:name="_Toc138876334"/>
      <w:bookmarkStart w:id="368" w:name="_Toc4363"/>
      <w:bookmarkStart w:id="369" w:name="_Toc118805159"/>
      <w:bookmarkStart w:id="370" w:name="_Toc15249"/>
      <w:bookmarkStart w:id="371" w:name="_Toc138604682"/>
      <w:bookmarkStart w:id="372" w:name="_Toc118805536"/>
      <w:bookmarkStart w:id="373" w:name="_Toc149140255"/>
      <w:bookmarkStart w:id="374" w:name="_Toc501460715"/>
      <w:bookmarkStart w:id="375" w:name="_Toc143102252"/>
      <w:bookmarkStart w:id="376" w:name="_Toc2337"/>
      <w:bookmarkStart w:id="377" w:name="_Toc21375"/>
      <w:bookmarkStart w:id="378" w:name="_Toc21632"/>
      <w:r>
        <w:rPr>
          <w:rFonts w:eastAsia="黑体"/>
          <w:sz w:val="24"/>
        </w:rPr>
        <w:t>2.1 初步评审标准</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CC2E267">
      <w:pPr>
        <w:spacing w:line="400" w:lineRule="exact"/>
        <w:ind w:firstLine="420" w:firstLineChars="200"/>
        <w:rPr>
          <w:rFonts w:ascii="宋体" w:hAnsi="宋体"/>
        </w:rPr>
      </w:pPr>
      <w:bookmarkStart w:id="379" w:name="_Hlk138879144"/>
      <w:r>
        <w:t>2</w:t>
      </w:r>
      <w:r>
        <w:rPr>
          <w:rFonts w:ascii="宋体" w:hAnsi="宋体"/>
        </w:rPr>
        <w:t>.</w:t>
      </w:r>
      <w:r>
        <w:t>1</w:t>
      </w:r>
      <w:r>
        <w:rPr>
          <w:rFonts w:ascii="宋体" w:hAnsi="宋体"/>
        </w:rPr>
        <w:t>.</w:t>
      </w:r>
      <w:r>
        <w:t>1</w:t>
      </w:r>
      <w:r>
        <w:rPr>
          <w:rFonts w:ascii="宋体" w:hAnsi="宋体"/>
        </w:rPr>
        <w:t xml:space="preserve"> 形式评审标准：见评审办法前附表。</w:t>
      </w:r>
    </w:p>
    <w:p w14:paraId="3070CAAC">
      <w:pPr>
        <w:spacing w:line="400" w:lineRule="exact"/>
        <w:ind w:firstLine="420"/>
        <w:rPr>
          <w:rFonts w:ascii="宋体" w:hAnsi="宋体"/>
        </w:rPr>
      </w:pPr>
      <w:r>
        <w:t>2</w:t>
      </w:r>
      <w:r>
        <w:rPr>
          <w:rFonts w:ascii="宋体" w:hAnsi="宋体"/>
        </w:rPr>
        <w:t>.</w:t>
      </w:r>
      <w:r>
        <w:t>1</w:t>
      </w:r>
      <w:r>
        <w:rPr>
          <w:rFonts w:ascii="宋体" w:hAnsi="宋体"/>
        </w:rPr>
        <w:t>.</w:t>
      </w:r>
      <w:r>
        <w:t>2</w:t>
      </w:r>
      <w:r>
        <w:rPr>
          <w:rFonts w:ascii="宋体" w:hAnsi="宋体"/>
        </w:rPr>
        <w:t xml:space="preserve"> 资格评审标准：见评审办法前附表。</w:t>
      </w:r>
    </w:p>
    <w:p w14:paraId="203396DF">
      <w:pPr>
        <w:spacing w:line="400" w:lineRule="exact"/>
        <w:ind w:firstLine="420" w:firstLineChars="200"/>
        <w:rPr>
          <w:rFonts w:ascii="宋体" w:hAnsi="宋体"/>
        </w:rPr>
      </w:pPr>
      <w:r>
        <w:t>2</w:t>
      </w:r>
      <w:r>
        <w:rPr>
          <w:rFonts w:ascii="宋体" w:hAnsi="宋体"/>
        </w:rPr>
        <w:t>.</w:t>
      </w:r>
      <w:r>
        <w:t>1</w:t>
      </w:r>
      <w:r>
        <w:rPr>
          <w:rFonts w:ascii="宋体" w:hAnsi="宋体"/>
        </w:rPr>
        <w:t>.</w:t>
      </w:r>
      <w:r>
        <w:t>3</w:t>
      </w:r>
      <w:r>
        <w:rPr>
          <w:rFonts w:ascii="宋体" w:hAnsi="宋体"/>
        </w:rPr>
        <w:t xml:space="preserve"> 响应性评审标准：见评审办法前附表。</w:t>
      </w:r>
    </w:p>
    <w:bookmarkEnd w:id="379"/>
    <w:p w14:paraId="42A49848">
      <w:pPr>
        <w:widowControl/>
        <w:spacing w:before="100" w:beforeAutospacing="1" w:after="100" w:afterAutospacing="1" w:line="400" w:lineRule="exact"/>
        <w:ind w:left="2" w:leftChars="1"/>
        <w:jc w:val="left"/>
        <w:outlineLvl w:val="2"/>
        <w:rPr>
          <w:rFonts w:eastAsia="黑体"/>
          <w:sz w:val="24"/>
        </w:rPr>
      </w:pPr>
      <w:bookmarkStart w:id="380" w:name="_Toc138876335"/>
      <w:bookmarkStart w:id="381" w:name="_Toc12930"/>
      <w:bookmarkStart w:id="382" w:name="_Toc118805914"/>
      <w:bookmarkStart w:id="383" w:name="_Toc23939"/>
      <w:bookmarkStart w:id="384" w:name="_Toc11364"/>
      <w:bookmarkStart w:id="385" w:name="_Toc138604683"/>
      <w:bookmarkStart w:id="386" w:name="_Toc118805537"/>
      <w:bookmarkStart w:id="387" w:name="_Toc9680"/>
      <w:bookmarkStart w:id="388" w:name="_Toc143102253"/>
      <w:bookmarkStart w:id="389" w:name="_Toc12797"/>
      <w:bookmarkStart w:id="390" w:name="_Toc118805160"/>
      <w:bookmarkStart w:id="391" w:name="_Toc14130"/>
      <w:bookmarkStart w:id="392" w:name="_Toc149140256"/>
      <w:bookmarkStart w:id="393" w:name="_Toc118806285"/>
      <w:r>
        <w:rPr>
          <w:rFonts w:eastAsia="黑体"/>
          <w:sz w:val="24"/>
        </w:rPr>
        <w:t>2.2 初步评审程序</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34C3205E">
      <w:pPr>
        <w:spacing w:line="400" w:lineRule="exact"/>
        <w:ind w:firstLine="420" w:firstLineChars="200"/>
        <w:rPr>
          <w:rFonts w:ascii="宋体" w:hAnsi="宋体"/>
        </w:rPr>
      </w:pPr>
      <w:r>
        <w:t>2</w:t>
      </w:r>
      <w:r>
        <w:rPr>
          <w:rFonts w:ascii="宋体" w:hAnsi="宋体"/>
        </w:rPr>
        <w:t>.</w:t>
      </w:r>
      <w:r>
        <w:t>2</w:t>
      </w:r>
      <w:r>
        <w:rPr>
          <w:rFonts w:ascii="宋体" w:hAnsi="宋体"/>
        </w:rPr>
        <w:t>.</w:t>
      </w:r>
      <w:r>
        <w:t>1</w:t>
      </w:r>
      <w:r>
        <w:rPr>
          <w:rFonts w:ascii="宋体" w:hAnsi="宋体"/>
        </w:rPr>
        <w:t xml:space="preserve"> 评审小组依据本章第</w:t>
      </w:r>
      <w:r>
        <w:t>2</w:t>
      </w:r>
      <w:r>
        <w:rPr>
          <w:rFonts w:ascii="宋体" w:hAnsi="宋体"/>
        </w:rPr>
        <w:t>.</w:t>
      </w:r>
      <w:r>
        <w:t>1</w:t>
      </w:r>
      <w:r>
        <w:rPr>
          <w:rFonts w:ascii="宋体" w:hAnsi="宋体"/>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434D54E">
      <w:pPr>
        <w:spacing w:line="400" w:lineRule="exact"/>
        <w:ind w:firstLine="420" w:firstLineChars="200"/>
        <w:rPr>
          <w:rFonts w:ascii="宋体" w:hAnsi="宋体"/>
        </w:rPr>
      </w:pPr>
      <w:r>
        <w:t>2</w:t>
      </w:r>
      <w:r>
        <w:rPr>
          <w:rFonts w:ascii="宋体" w:hAnsi="宋体"/>
        </w:rPr>
        <w:t>.</w:t>
      </w:r>
      <w:r>
        <w:t>2</w:t>
      </w:r>
      <w:r>
        <w:rPr>
          <w:rFonts w:ascii="宋体" w:hAnsi="宋体"/>
        </w:rPr>
        <w:t>.</w:t>
      </w:r>
      <w:r>
        <w:t>2</w:t>
      </w:r>
      <w:r>
        <w:rPr>
          <w:rFonts w:ascii="宋体" w:hAnsi="宋体"/>
        </w:rPr>
        <w:t xml:space="preserve"> 除评审办法前附表另有规定外，评审价格为供应商在响应函中填报的大写含税价格。评审价格若超过最高限价（如有）或修正后的最终响应报价超过最高限价（如有）或供应商不接受修正后价格的，其响应文件将被视为无效。</w:t>
      </w:r>
    </w:p>
    <w:p w14:paraId="6EC9F2F3">
      <w:pPr>
        <w:spacing w:line="400" w:lineRule="exact"/>
        <w:ind w:firstLine="420" w:firstLineChars="200"/>
        <w:rPr>
          <w:rFonts w:ascii="宋体" w:hAnsi="宋体"/>
          <w:szCs w:val="21"/>
        </w:rPr>
      </w:pPr>
      <w:r>
        <w:rPr>
          <w:rFonts w:ascii="宋体" w:hAnsi="宋体"/>
          <w:szCs w:val="21"/>
        </w:rPr>
        <w:t>评审小组经过对供应商的报价进行比较或基于专业经验认为某一供应商的报价异常过低，可能对其履约造成影响时，应当要求该供应商作出说明并提供相应的证明材料。供应商不能合理说明或者不能提供</w:t>
      </w:r>
      <w:r>
        <w:rPr>
          <w:rFonts w:ascii="宋体" w:hAnsi="宋体"/>
        </w:rPr>
        <w:t>相应</w:t>
      </w:r>
      <w:r>
        <w:rPr>
          <w:rFonts w:ascii="宋体" w:hAnsi="宋体"/>
          <w:szCs w:val="21"/>
        </w:rPr>
        <w:t>证明材料的，</w:t>
      </w:r>
      <w:r>
        <w:rPr>
          <w:rFonts w:ascii="宋体" w:hAnsi="宋体"/>
        </w:rPr>
        <w:t>其响应文件将被视为无效</w:t>
      </w:r>
      <w:r>
        <w:rPr>
          <w:rFonts w:ascii="宋体" w:hAnsi="宋体"/>
          <w:szCs w:val="21"/>
        </w:rPr>
        <w:t>。</w:t>
      </w:r>
    </w:p>
    <w:p w14:paraId="23B60D3C">
      <w:pPr>
        <w:spacing w:line="400" w:lineRule="exact"/>
        <w:ind w:firstLine="420" w:firstLineChars="200"/>
        <w:rPr>
          <w:rFonts w:ascii="宋体" w:hAnsi="宋体"/>
        </w:rPr>
      </w:pPr>
      <w:bookmarkStart w:id="394" w:name="_Hlk117603957"/>
      <w:r>
        <w:rPr>
          <w:rFonts w:ascii="宋体" w:hAnsi="宋体"/>
        </w:rPr>
        <w:t>评审小组发现不同供应商的响应文件异常一致、响应文件呈规律性差异、响应文件载明的项目管理负责人为同一人的，其响应文件将被视为无效。</w:t>
      </w:r>
    </w:p>
    <w:bookmarkEnd w:id="394"/>
    <w:p w14:paraId="09F5F527">
      <w:pPr>
        <w:spacing w:line="400" w:lineRule="exact"/>
        <w:ind w:firstLine="420" w:firstLineChars="200"/>
        <w:rPr>
          <w:rFonts w:ascii="宋体" w:hAnsi="宋体"/>
        </w:rPr>
      </w:pPr>
      <w:r>
        <w:t>2</w:t>
      </w:r>
      <w:r>
        <w:rPr>
          <w:rFonts w:ascii="宋体" w:hAnsi="宋体"/>
        </w:rPr>
        <w:t>.</w:t>
      </w:r>
      <w:r>
        <w:t>2</w:t>
      </w:r>
      <w:r>
        <w:rPr>
          <w:rFonts w:ascii="宋体" w:hAnsi="宋体"/>
        </w:rPr>
        <w:t>.</w:t>
      </w:r>
      <w:r>
        <w:t>3</w:t>
      </w:r>
      <w:r>
        <w:rPr>
          <w:rFonts w:ascii="宋体" w:hAnsi="宋体"/>
        </w:rPr>
        <w:t xml:space="preserve"> 响应文件中有含义不明确、同类问题表述不一致或有明显文字和计算错误的内容，评审小组可以通过“招采平台-评标系统”在“评标澄清”菜单中以数据电文形式要求</w:t>
      </w:r>
      <w:r>
        <w:rPr>
          <w:rFonts w:ascii="宋体" w:hAnsi="宋体"/>
          <w:color w:val="000000"/>
        </w:rPr>
        <w:t>供应商</w:t>
      </w:r>
      <w:r>
        <w:rPr>
          <w:rFonts w:ascii="宋体" w:hAnsi="宋体"/>
        </w:rPr>
        <w:t>对响应文件的内容在规定时间内进行澄清、说明和补正，同时“招采平台”将</w:t>
      </w:r>
      <w:r>
        <w:rPr>
          <w:rFonts w:ascii="宋体" w:hAnsi="宋体"/>
          <w:szCs w:val="21"/>
        </w:rPr>
        <w:t>以向供应商</w:t>
      </w:r>
      <w:r>
        <w:rPr>
          <w:rFonts w:ascii="宋体" w:hAnsi="宋体"/>
          <w:kern w:val="0"/>
        </w:rPr>
        <w:t>在下载采购文件时系统中</w:t>
      </w:r>
      <w:r>
        <w:rPr>
          <w:rFonts w:ascii="宋体" w:hAnsi="宋体"/>
          <w:szCs w:val="21"/>
        </w:rPr>
        <w:t>预留的手机号发送短信的方式友情提醒供应商登录平台查看</w:t>
      </w:r>
      <w:r>
        <w:rPr>
          <w:rFonts w:ascii="宋体" w:hAnsi="宋体"/>
        </w:rPr>
        <w:t>。澄清、说明和补正不得超出响应文件的范围且不得改变响应文件的实质性内容，并构成响应文件的组成部分。评审小组不接受</w:t>
      </w:r>
      <w:r>
        <w:rPr>
          <w:rFonts w:ascii="宋体" w:hAnsi="宋体"/>
          <w:szCs w:val="21"/>
        </w:rPr>
        <w:t>供应商</w:t>
      </w:r>
      <w:r>
        <w:rPr>
          <w:rFonts w:ascii="宋体" w:hAnsi="宋体"/>
        </w:rPr>
        <w:t>主动提出的澄清、说明和补正。</w:t>
      </w:r>
    </w:p>
    <w:p w14:paraId="7890D0B2">
      <w:pPr>
        <w:spacing w:line="400" w:lineRule="exact"/>
        <w:ind w:firstLine="420" w:firstLineChars="200"/>
        <w:rPr>
          <w:rFonts w:ascii="宋体" w:hAnsi="宋体"/>
        </w:rPr>
      </w:pPr>
      <w:r>
        <w:rPr>
          <w:rFonts w:ascii="宋体" w:hAnsi="宋体"/>
        </w:rPr>
        <w:t>响应报价有算术错误及其他错误的，评审小组按以下原则要求供应商对响应报价进行修正，并要求供应商澄清确认。供应商拒不澄清确认的，其响应文件将被视为无效：</w:t>
      </w:r>
    </w:p>
    <w:p w14:paraId="27AECBDD">
      <w:pPr>
        <w:spacing w:line="400" w:lineRule="exact"/>
        <w:ind w:firstLine="420" w:firstLineChars="200"/>
        <w:rPr>
          <w:rFonts w:ascii="宋体" w:hAnsi="宋体"/>
        </w:rPr>
      </w:pPr>
      <w:r>
        <w:rPr>
          <w:rFonts w:ascii="宋体" w:hAnsi="宋体"/>
        </w:rPr>
        <w:t>（</w:t>
      </w:r>
      <w:r>
        <w:t>1</w:t>
      </w:r>
      <w:r>
        <w:rPr>
          <w:rFonts w:ascii="宋体" w:hAnsi="宋体"/>
        </w:rPr>
        <w:t>）大写金额与小写金额不一致的，以大写金额为准；</w:t>
      </w:r>
    </w:p>
    <w:p w14:paraId="1CCA68BD">
      <w:pPr>
        <w:spacing w:line="400" w:lineRule="exact"/>
        <w:ind w:firstLine="420" w:firstLineChars="200"/>
        <w:rPr>
          <w:rFonts w:ascii="宋体" w:hAnsi="宋体"/>
        </w:rPr>
      </w:pPr>
      <w:r>
        <w:rPr>
          <w:rFonts w:ascii="宋体" w:hAnsi="宋体"/>
        </w:rPr>
        <w:t>（</w:t>
      </w:r>
      <w:r>
        <w:t>2</w:t>
      </w:r>
      <w:r>
        <w:rPr>
          <w:rFonts w:ascii="宋体" w:hAnsi="宋体"/>
        </w:rPr>
        <w:t>）总价金额与单价金额不一致的，以单价金额为准，但单价金额小数点有明显错误的除外；</w:t>
      </w:r>
    </w:p>
    <w:p w14:paraId="79DF2BC9">
      <w:pPr>
        <w:spacing w:line="400" w:lineRule="exact"/>
        <w:ind w:firstLine="420"/>
        <w:rPr>
          <w:rFonts w:ascii="宋体" w:hAnsi="宋体"/>
        </w:rPr>
      </w:pPr>
      <w:r>
        <w:rPr>
          <w:rFonts w:ascii="宋体" w:hAnsi="宋体"/>
        </w:rPr>
        <w:t>（</w:t>
      </w:r>
      <w:r>
        <w:t>3</w:t>
      </w:r>
      <w:r>
        <w:rPr>
          <w:rFonts w:ascii="宋体" w:hAnsi="宋体"/>
        </w:rPr>
        <w:t>）报价表合计报价与各分项报价的合计不一致的，以各分项报价的合价累计数为准；</w:t>
      </w:r>
    </w:p>
    <w:p w14:paraId="23545E1F">
      <w:pPr>
        <w:spacing w:line="400" w:lineRule="exact"/>
        <w:ind w:firstLine="420" w:firstLineChars="200"/>
        <w:rPr>
          <w:rFonts w:ascii="宋体" w:hAnsi="宋体"/>
          <w:szCs w:val="21"/>
        </w:rPr>
      </w:pPr>
      <w:r>
        <w:rPr>
          <w:rFonts w:ascii="宋体" w:hAnsi="宋体"/>
        </w:rPr>
        <w:t>（</w:t>
      </w:r>
      <w:r>
        <w:t>4</w:t>
      </w:r>
      <w:r>
        <w:rPr>
          <w:rFonts w:ascii="宋体" w:hAnsi="宋体"/>
        </w:rPr>
        <w:t>）如果分项报价中存在缺漏项，且缺漏项内容不属于实质性偏差的，则视为缺漏项内容的价格已包含在其他分项报价之中。</w:t>
      </w:r>
    </w:p>
    <w:p w14:paraId="7AA23655">
      <w:pPr>
        <w:spacing w:line="400" w:lineRule="exact"/>
        <w:ind w:firstLine="420" w:firstLineChars="200"/>
        <w:rPr>
          <w:rFonts w:ascii="宋体" w:hAnsi="宋体"/>
          <w:szCs w:val="21"/>
        </w:rPr>
      </w:pPr>
      <w:r>
        <w:rPr>
          <w:rFonts w:ascii="宋体" w:hAnsi="宋体"/>
        </w:rPr>
        <w:t>响应报价的算术错误修正不改变评审依据的响应总报价。当修正后的总报价高于原响应报价且不高于最高限价时，视同供应商响应报价错误产生少漏计费用，签订框架协议时由供应商承担，如评审小组认为供应商无法承受少漏计费用，可以将响应报价作为异常低价处理;当修正后的总报价低于原响应报价时，签订框架协议时以修正后的报价为准。</w:t>
      </w:r>
    </w:p>
    <w:p w14:paraId="05F3202A">
      <w:pPr>
        <w:spacing w:line="400" w:lineRule="exact"/>
        <w:ind w:firstLine="420" w:firstLineChars="200"/>
        <w:rPr>
          <w:rFonts w:ascii="宋体" w:hAnsi="宋体"/>
        </w:rPr>
      </w:pPr>
      <w:r>
        <w:t>2</w:t>
      </w:r>
      <w:r>
        <w:rPr>
          <w:rFonts w:ascii="宋体" w:hAnsi="宋体"/>
        </w:rPr>
        <w:t>.</w:t>
      </w:r>
      <w:r>
        <w:t>2</w:t>
      </w:r>
      <w:r>
        <w:rPr>
          <w:rFonts w:ascii="宋体" w:hAnsi="宋体"/>
        </w:rPr>
        <w:t>.</w:t>
      </w:r>
      <w:r>
        <w:t>4</w:t>
      </w:r>
      <w:r>
        <w:rPr>
          <w:rFonts w:ascii="宋体" w:hAnsi="宋体"/>
        </w:rPr>
        <w:t xml:space="preserve"> 供应商有串通、弄虚作假、行贿等违法行为的，其响应文件将被视为无效。</w:t>
      </w:r>
    </w:p>
    <w:p w14:paraId="24240069">
      <w:pPr>
        <w:spacing w:line="400" w:lineRule="exact"/>
        <w:ind w:firstLine="420" w:firstLineChars="200"/>
        <w:rPr>
          <w:rFonts w:ascii="宋体" w:hAnsi="宋体"/>
        </w:rPr>
      </w:pPr>
      <w:bookmarkStart w:id="395" w:name="_Toc4129"/>
      <w:bookmarkStart w:id="396" w:name="_Toc14171"/>
      <w:bookmarkStart w:id="397" w:name="_Toc15792"/>
      <w:bookmarkStart w:id="398" w:name="_Toc22985_WPSOffice_Level3"/>
      <w:bookmarkStart w:id="399" w:name="_Toc23779"/>
      <w:bookmarkStart w:id="400" w:name="_Toc26719"/>
      <w:bookmarkStart w:id="401" w:name="_Toc13462"/>
      <w:r>
        <w:t>2</w:t>
      </w:r>
      <w:r>
        <w:rPr>
          <w:rFonts w:ascii="宋体" w:hAnsi="宋体"/>
        </w:rPr>
        <w:t>.</w:t>
      </w:r>
      <w:r>
        <w:t>2</w:t>
      </w:r>
      <w:r>
        <w:rPr>
          <w:rFonts w:ascii="宋体" w:hAnsi="宋体"/>
        </w:rPr>
        <w:t>.</w:t>
      </w:r>
      <w:r>
        <w:t>5</w:t>
      </w:r>
      <w:r>
        <w:rPr>
          <w:rFonts w:ascii="宋体" w:hAnsi="宋体"/>
        </w:rPr>
        <w:t>当有效供应商数量不足三家（采购项目选择一家成交供应商时）或少于供应商须知前附表第</w:t>
      </w:r>
      <w:r>
        <w:t>5</w:t>
      </w:r>
      <w:r>
        <w:rPr>
          <w:rFonts w:ascii="宋体" w:hAnsi="宋体"/>
        </w:rPr>
        <w:t>.</w:t>
      </w:r>
      <w:r>
        <w:t>4</w:t>
      </w:r>
      <w:r>
        <w:rPr>
          <w:rFonts w:ascii="宋体" w:hAnsi="宋体"/>
        </w:rPr>
        <w:t>款规定的数量（采购项目选择多家成交供应商时），根据剩余供应商的综合实力、响应方案、响应报价的竞争性进行考量，评审小组可决定继续进行评审或决定终止评审由采购人重新采购。评审小组选择继续评审的，推荐的候选供应商数量可少于供应商须知约定的候选成交供应商数量。如所有响应文件均无效，评审小组应当终止评审。</w:t>
      </w:r>
    </w:p>
    <w:p w14:paraId="06EE4B28">
      <w:pPr>
        <w:spacing w:line="400" w:lineRule="exact"/>
        <w:ind w:firstLine="420" w:firstLineChars="200"/>
        <w:rPr>
          <w:rFonts w:ascii="宋体" w:hAnsi="宋体"/>
        </w:rPr>
      </w:pPr>
      <w:r>
        <w:t>2</w:t>
      </w:r>
      <w:r>
        <w:rPr>
          <w:rFonts w:ascii="宋体" w:hAnsi="宋体"/>
        </w:rPr>
        <w:t>.</w:t>
      </w:r>
      <w:r>
        <w:t>2</w:t>
      </w:r>
      <w:r>
        <w:rPr>
          <w:rFonts w:ascii="宋体" w:hAnsi="宋体"/>
        </w:rPr>
        <w:t>.</w:t>
      </w:r>
      <w:r>
        <w:t>6</w:t>
      </w:r>
      <w:r>
        <w:rPr>
          <w:rFonts w:ascii="宋体" w:hAnsi="宋体"/>
        </w:rPr>
        <w:t>货物采购时，仅当判断适用上述第</w:t>
      </w:r>
      <w:r>
        <w:t>2</w:t>
      </w:r>
      <w:r>
        <w:rPr>
          <w:rFonts w:ascii="宋体" w:hAnsi="宋体"/>
        </w:rPr>
        <w:t>.</w:t>
      </w:r>
      <w:r>
        <w:t>2</w:t>
      </w:r>
      <w:r>
        <w:rPr>
          <w:rFonts w:ascii="宋体" w:hAnsi="宋体"/>
        </w:rPr>
        <w:t>.</w:t>
      </w:r>
      <w:r>
        <w:t>5</w:t>
      </w:r>
      <w:r>
        <w:rPr>
          <w:rFonts w:ascii="宋体" w:hAnsi="宋体"/>
        </w:rPr>
        <w:t>项情形时，有效供应商数量的计算可采用如下方法，具体方法在评审办法前附表中明确。</w:t>
      </w:r>
    </w:p>
    <w:p w14:paraId="3909A3F2">
      <w:pPr>
        <w:widowControl/>
        <w:numPr>
          <w:ilvl w:val="0"/>
          <w:numId w:val="3"/>
        </w:numPr>
        <w:spacing w:line="400" w:lineRule="exact"/>
        <w:jc w:val="left"/>
        <w:rPr>
          <w:rFonts w:ascii="宋体" w:hAnsi="宋体"/>
        </w:rPr>
      </w:pPr>
      <w:r>
        <w:rPr>
          <w:rFonts w:ascii="宋体" w:hAnsi="宋体"/>
        </w:rPr>
        <w:t>方法</w:t>
      </w:r>
      <w:r>
        <w:rPr>
          <w:rFonts w:hint="eastAsia"/>
        </w:rPr>
        <w:t>1</w:t>
      </w:r>
      <w:r>
        <w:rPr>
          <w:rFonts w:ascii="宋体" w:hAnsi="宋体"/>
        </w:rPr>
        <w:t>：通过初步评审的全部供应商数量为有效供应商数量。</w:t>
      </w:r>
    </w:p>
    <w:p w14:paraId="1D2F2511">
      <w:pPr>
        <w:spacing w:line="40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方法</w:t>
      </w:r>
      <w:r>
        <w:rPr>
          <w:rFonts w:hint="eastAsia"/>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：采用经评审的最低评标价法的，提供相同品牌产品的不同供应商，以其中通过资格审查、符合性审查且报价最低的参加评标；报价相同的，由采购人在评审办法前附表</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中明确，其他投标无效。</w:t>
      </w:r>
    </w:p>
    <w:p w14:paraId="58D920C9">
      <w:pPr>
        <w:spacing w:line="400" w:lineRule="exact"/>
        <w:ind w:firstLine="420" w:firstLineChars="200"/>
        <w:rPr>
          <w:rFonts w:ascii="宋体" w:hAnsi="宋体"/>
          <w:szCs w:val="21"/>
        </w:rPr>
      </w:pPr>
      <w:r>
        <w:rPr>
          <w:rFonts w:ascii="宋体" w:hAnsi="宋体"/>
          <w:szCs w:val="21"/>
        </w:rPr>
        <w:t>采用综合评分法的，提供相同品牌产品按一家有效供应商计算，评审后得分最高的同品牌供应商获得候选成交供应商推荐资格；评审得分相同的，由采购人在</w:t>
      </w:r>
      <w:bookmarkStart w:id="402" w:name="_Hlk148688045"/>
      <w:r>
        <w:rPr>
          <w:rFonts w:ascii="宋体" w:hAnsi="宋体"/>
          <w:color w:val="000000" w:themeColor="text1"/>
          <w14:textFill>
            <w14:solidFill>
              <w14:schemeClr w14:val="tx1"/>
            </w14:solidFill>
          </w14:textFill>
        </w:rPr>
        <w:t>评审办法</w:t>
      </w:r>
      <w:bookmarkEnd w:id="402"/>
      <w:r>
        <w:rPr>
          <w:rFonts w:ascii="宋体" w:hAnsi="宋体"/>
          <w:color w:val="000000" w:themeColor="text1"/>
          <w14:textFill>
            <w14:solidFill>
              <w14:schemeClr w14:val="tx1"/>
            </w14:solidFill>
          </w14:textFill>
        </w:rPr>
        <w:t>前附表</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6</w:t>
      </w:r>
      <w:r>
        <w:rPr>
          <w:rFonts w:ascii="宋体" w:hAnsi="宋体"/>
          <w:szCs w:val="21"/>
        </w:rPr>
        <w:t>中明确候选成交供应商推荐资格的标准，其他同品牌供应商不推荐候选成交供应商。</w:t>
      </w:r>
    </w:p>
    <w:p w14:paraId="475BA72A">
      <w:pPr>
        <w:spacing w:line="400" w:lineRule="exact"/>
        <w:ind w:firstLine="420" w:firstLineChars="200"/>
        <w:rPr>
          <w:rFonts w:ascii="宋体" w:hAnsi="宋体"/>
          <w:szCs w:val="21"/>
        </w:rPr>
      </w:pPr>
      <w:r>
        <w:rPr>
          <w:rFonts w:ascii="宋体" w:hAnsi="宋体"/>
          <w:szCs w:val="21"/>
        </w:rPr>
        <w:t>非单一产品采购项目，采购人应当根据采购项目技术构成、产品价格比重等合理确定核心产品，详见评审办法前附表。多家供应商提供的核心产品品牌相同的，按前两款规定处理。</w:t>
      </w:r>
    </w:p>
    <w:bookmarkEnd w:id="395"/>
    <w:bookmarkEnd w:id="396"/>
    <w:bookmarkEnd w:id="397"/>
    <w:bookmarkEnd w:id="398"/>
    <w:bookmarkEnd w:id="399"/>
    <w:bookmarkEnd w:id="400"/>
    <w:bookmarkEnd w:id="401"/>
    <w:p w14:paraId="7761FDBC">
      <w:pPr>
        <w:keepNext/>
        <w:keepLines/>
        <w:widowControl/>
        <w:spacing w:before="260" w:after="260"/>
        <w:outlineLvl w:val="1"/>
        <w:rPr>
          <w:rFonts w:eastAsia="黑体"/>
          <w:b/>
          <w:sz w:val="28"/>
          <w:szCs w:val="18"/>
        </w:rPr>
      </w:pPr>
      <w:bookmarkStart w:id="403" w:name="_Toc118805539"/>
      <w:bookmarkStart w:id="404" w:name="_Toc118806287"/>
      <w:bookmarkStart w:id="405" w:name="_Toc138604685"/>
      <w:bookmarkStart w:id="406" w:name="_Toc118805916"/>
      <w:bookmarkStart w:id="407" w:name="_Toc118805162"/>
      <w:bookmarkStart w:id="408" w:name="_Toc149140258"/>
      <w:bookmarkStart w:id="409" w:name="_Toc825"/>
      <w:bookmarkStart w:id="410" w:name="_Toc4688"/>
      <w:bookmarkStart w:id="411" w:name="_Toc30588"/>
      <w:bookmarkStart w:id="412" w:name="_Toc14200"/>
      <w:bookmarkStart w:id="413" w:name="_Toc31603"/>
      <w:bookmarkStart w:id="414" w:name="_Toc8184"/>
      <w:r>
        <w:rPr>
          <w:rFonts w:eastAsia="黑体"/>
          <w:b/>
          <w:sz w:val="28"/>
          <w:szCs w:val="18"/>
        </w:rPr>
        <w:t>3. 详细评审标准和程序（综合评分法）</w:t>
      </w:r>
      <w:bookmarkEnd w:id="403"/>
      <w:bookmarkEnd w:id="404"/>
      <w:bookmarkEnd w:id="405"/>
      <w:bookmarkEnd w:id="406"/>
      <w:bookmarkEnd w:id="407"/>
      <w:bookmarkEnd w:id="408"/>
      <w:bookmarkEnd w:id="409"/>
    </w:p>
    <w:bookmarkEnd w:id="410"/>
    <w:bookmarkEnd w:id="411"/>
    <w:bookmarkEnd w:id="412"/>
    <w:bookmarkEnd w:id="413"/>
    <w:bookmarkEnd w:id="414"/>
    <w:p w14:paraId="3CCE78C6">
      <w:pPr>
        <w:widowControl/>
        <w:spacing w:before="100" w:beforeAutospacing="1" w:after="100" w:afterAutospacing="1" w:line="400" w:lineRule="exact"/>
        <w:ind w:left="2" w:leftChars="1"/>
        <w:jc w:val="left"/>
        <w:outlineLvl w:val="2"/>
        <w:rPr>
          <w:rFonts w:eastAsia="黑体"/>
          <w:sz w:val="24"/>
        </w:rPr>
      </w:pPr>
      <w:r>
        <w:rPr>
          <w:rFonts w:eastAsia="黑体"/>
          <w:sz w:val="24"/>
        </w:rPr>
        <w:t>3.1 分值构成</w:t>
      </w:r>
    </w:p>
    <w:p w14:paraId="0DDE8B15">
      <w:pPr>
        <w:spacing w:line="400" w:lineRule="exact"/>
        <w:ind w:firstLine="420" w:firstLineChars="200"/>
        <w:rPr>
          <w:rFonts w:ascii="宋体" w:hAnsi="宋体"/>
        </w:rPr>
      </w:pPr>
      <w:r>
        <w:rPr>
          <w:rFonts w:ascii="宋体" w:hAnsi="宋体"/>
        </w:rPr>
        <w:t>（</w:t>
      </w:r>
      <w:r>
        <w:t>1</w:t>
      </w:r>
      <w:r>
        <w:rPr>
          <w:rFonts w:ascii="宋体" w:hAnsi="宋体"/>
        </w:rPr>
        <w:t>）商务部分：见评审办法前附表；</w:t>
      </w:r>
    </w:p>
    <w:p w14:paraId="11CDB54C">
      <w:pPr>
        <w:spacing w:line="400" w:lineRule="exact"/>
        <w:ind w:firstLine="420" w:firstLineChars="200"/>
        <w:rPr>
          <w:rFonts w:ascii="宋体" w:hAnsi="宋体"/>
        </w:rPr>
      </w:pPr>
      <w:r>
        <w:rPr>
          <w:rFonts w:ascii="宋体" w:hAnsi="宋体"/>
        </w:rPr>
        <w:t>（</w:t>
      </w:r>
      <w:r>
        <w:t>2</w:t>
      </w:r>
      <w:r>
        <w:rPr>
          <w:rFonts w:ascii="宋体" w:hAnsi="宋体"/>
        </w:rPr>
        <w:t>）技术部分：见评审办法前附表；</w:t>
      </w:r>
    </w:p>
    <w:p w14:paraId="2472B116">
      <w:pPr>
        <w:spacing w:line="400" w:lineRule="exact"/>
        <w:ind w:firstLine="420"/>
        <w:rPr>
          <w:rFonts w:ascii="宋体" w:hAnsi="宋体"/>
        </w:rPr>
      </w:pPr>
      <w:r>
        <w:rPr>
          <w:rFonts w:ascii="宋体" w:hAnsi="宋体"/>
        </w:rPr>
        <w:t>（</w:t>
      </w:r>
      <w:r>
        <w:t>3</w:t>
      </w:r>
      <w:r>
        <w:rPr>
          <w:rFonts w:ascii="宋体" w:hAnsi="宋体"/>
        </w:rPr>
        <w:t>）报价：见评审办法前附表；</w:t>
      </w:r>
    </w:p>
    <w:p w14:paraId="497BB7F5">
      <w:pPr>
        <w:spacing w:line="400" w:lineRule="exact"/>
        <w:ind w:firstLine="420" w:firstLineChars="200"/>
        <w:rPr>
          <w:rFonts w:ascii="宋体" w:hAnsi="宋体"/>
        </w:rPr>
      </w:pPr>
      <w:r>
        <w:rPr>
          <w:rFonts w:ascii="宋体" w:hAnsi="宋体"/>
        </w:rPr>
        <w:t>（</w:t>
      </w:r>
      <w:r>
        <w:t>4</w:t>
      </w:r>
      <w:r>
        <w:rPr>
          <w:rFonts w:ascii="宋体" w:hAnsi="宋体"/>
        </w:rPr>
        <w:t>）其他评分因素：见评审办法前附表。</w:t>
      </w:r>
    </w:p>
    <w:p w14:paraId="784F6ABE">
      <w:pPr>
        <w:widowControl/>
        <w:spacing w:before="100" w:beforeAutospacing="1" w:after="100" w:afterAutospacing="1" w:line="400" w:lineRule="exact"/>
        <w:ind w:left="2" w:leftChars="1"/>
        <w:jc w:val="left"/>
        <w:outlineLvl w:val="2"/>
        <w:rPr>
          <w:rFonts w:eastAsia="黑体"/>
          <w:sz w:val="24"/>
        </w:rPr>
      </w:pPr>
      <w:r>
        <w:rPr>
          <w:rFonts w:eastAsia="黑体"/>
          <w:sz w:val="24"/>
        </w:rPr>
        <w:t>3.2 评审基准价计算</w:t>
      </w:r>
    </w:p>
    <w:p w14:paraId="4C354083">
      <w:pPr>
        <w:spacing w:line="400" w:lineRule="exact"/>
        <w:ind w:firstLine="420" w:firstLineChars="200"/>
        <w:rPr>
          <w:rFonts w:ascii="宋体" w:hAnsi="宋体"/>
        </w:rPr>
      </w:pPr>
      <w:r>
        <w:rPr>
          <w:rFonts w:ascii="宋体" w:hAnsi="宋体"/>
        </w:rPr>
        <w:t>（</w:t>
      </w:r>
      <w:r>
        <w:t>1</w:t>
      </w:r>
      <w:r>
        <w:rPr>
          <w:rFonts w:ascii="宋体" w:hAnsi="宋体"/>
        </w:rPr>
        <w:t>）评审价格：评审价格为按照本章第</w:t>
      </w:r>
      <w:r>
        <w:t>2</w:t>
      </w:r>
      <w:r>
        <w:rPr>
          <w:rFonts w:ascii="宋体" w:hAnsi="宋体"/>
        </w:rPr>
        <w:t>.</w:t>
      </w:r>
      <w:r>
        <w:t>2</w:t>
      </w:r>
      <w:r>
        <w:rPr>
          <w:rFonts w:ascii="宋体" w:hAnsi="宋体"/>
        </w:rPr>
        <w:t>.</w:t>
      </w:r>
      <w:r>
        <w:t>2</w:t>
      </w:r>
      <w:r>
        <w:rPr>
          <w:rFonts w:ascii="宋体" w:hAnsi="宋体"/>
        </w:rPr>
        <w:t>项规定确定的价格。</w:t>
      </w:r>
    </w:p>
    <w:p w14:paraId="144C65E6">
      <w:pPr>
        <w:spacing w:line="400" w:lineRule="exact"/>
        <w:ind w:firstLine="420" w:firstLineChars="200"/>
        <w:rPr>
          <w:rFonts w:ascii="宋体" w:hAnsi="宋体"/>
        </w:rPr>
      </w:pPr>
      <w:r>
        <w:rPr>
          <w:rFonts w:ascii="宋体" w:hAnsi="宋体"/>
        </w:rPr>
        <w:t>（</w:t>
      </w:r>
      <w:r>
        <w:t>2</w:t>
      </w:r>
      <w:r>
        <w:rPr>
          <w:rFonts w:ascii="宋体" w:hAnsi="宋体"/>
        </w:rPr>
        <w:t>）评审基准价计算方法见评审办法前附表。</w:t>
      </w:r>
    </w:p>
    <w:p w14:paraId="7D32BF81">
      <w:pPr>
        <w:widowControl/>
        <w:spacing w:before="100" w:beforeAutospacing="1" w:after="100" w:afterAutospacing="1" w:line="400" w:lineRule="exact"/>
        <w:ind w:left="2" w:leftChars="1"/>
        <w:jc w:val="left"/>
        <w:outlineLvl w:val="2"/>
        <w:rPr>
          <w:rFonts w:eastAsia="黑体"/>
          <w:sz w:val="24"/>
        </w:rPr>
      </w:pPr>
      <w:r>
        <w:rPr>
          <w:rFonts w:eastAsia="黑体"/>
          <w:sz w:val="24"/>
        </w:rPr>
        <w:t>3.3评分标准</w:t>
      </w:r>
    </w:p>
    <w:p w14:paraId="781F0562">
      <w:pPr>
        <w:spacing w:line="400" w:lineRule="exact"/>
        <w:ind w:firstLine="420" w:firstLineChars="200"/>
        <w:rPr>
          <w:rFonts w:ascii="宋体" w:hAnsi="宋体"/>
        </w:rPr>
      </w:pPr>
      <w:r>
        <w:rPr>
          <w:rFonts w:ascii="宋体" w:hAnsi="宋体"/>
        </w:rPr>
        <w:t>（</w:t>
      </w:r>
      <w:r>
        <w:t>1</w:t>
      </w:r>
      <w:r>
        <w:rPr>
          <w:rFonts w:ascii="宋体" w:hAnsi="宋体"/>
        </w:rPr>
        <w:t>）商务评分标准：见评审办法前附表；</w:t>
      </w:r>
    </w:p>
    <w:p w14:paraId="6FD82428">
      <w:pPr>
        <w:spacing w:line="400" w:lineRule="exact"/>
        <w:ind w:firstLine="420"/>
        <w:rPr>
          <w:rFonts w:ascii="宋体" w:hAnsi="宋体"/>
        </w:rPr>
      </w:pPr>
      <w:r>
        <w:rPr>
          <w:rFonts w:ascii="宋体" w:hAnsi="宋体"/>
        </w:rPr>
        <w:t>（</w:t>
      </w:r>
      <w:r>
        <w:t>2</w:t>
      </w:r>
      <w:r>
        <w:rPr>
          <w:rFonts w:ascii="宋体" w:hAnsi="宋体"/>
        </w:rPr>
        <w:t>）技术评分标准：见评审办法前附表；</w:t>
      </w:r>
    </w:p>
    <w:p w14:paraId="70BCEED3">
      <w:pPr>
        <w:spacing w:line="400" w:lineRule="exact"/>
        <w:ind w:firstLine="420"/>
        <w:rPr>
          <w:rFonts w:ascii="宋体" w:hAnsi="宋体"/>
        </w:rPr>
      </w:pPr>
      <w:r>
        <w:rPr>
          <w:rFonts w:ascii="宋体" w:hAnsi="宋体"/>
        </w:rPr>
        <w:t>（</w:t>
      </w:r>
      <w:r>
        <w:t>3</w:t>
      </w:r>
      <w:r>
        <w:rPr>
          <w:rFonts w:ascii="宋体" w:hAnsi="宋体"/>
        </w:rPr>
        <w:t>）报价评分标准：</w:t>
      </w:r>
    </w:p>
    <w:p w14:paraId="58202F74">
      <w:pPr>
        <w:spacing w:line="400" w:lineRule="exact"/>
        <w:ind w:firstLine="420" w:firstLineChars="200"/>
        <w:rPr>
          <w:rFonts w:ascii="宋体" w:hAnsi="宋体"/>
        </w:rPr>
      </w:pPr>
      <w:r>
        <w:rPr>
          <w:rFonts w:ascii="宋体" w:hAnsi="宋体"/>
        </w:rPr>
        <w:t>报价得分可采用如下方法计算：</w:t>
      </w:r>
    </w:p>
    <w:p w14:paraId="2E7D595C">
      <w:pPr>
        <w:spacing w:line="380" w:lineRule="atLeast"/>
        <w:ind w:firstLine="420"/>
        <w:rPr>
          <w:rFonts w:ascii="宋体" w:hAnsi="宋体"/>
          <w:szCs w:val="21"/>
        </w:rPr>
      </w:pPr>
      <w:r>
        <w:rPr>
          <w:rFonts w:ascii="宋体" w:hAnsi="宋体"/>
        </w:rPr>
        <w:t>方法</w:t>
      </w:r>
      <w:r>
        <w:rPr>
          <w:rFonts w:hint="eastAsia"/>
        </w:rPr>
        <w:t>1</w:t>
      </w:r>
      <w:r>
        <w:rPr>
          <w:rFonts w:ascii="宋体" w:hAnsi="宋体"/>
        </w:rPr>
        <w:t>：</w:t>
      </w:r>
      <w:r>
        <w:rPr>
          <w:rFonts w:ascii="宋体" w:hAnsi="宋体"/>
          <w:szCs w:val="21"/>
        </w:rPr>
        <w:t>偏差率=（供应商评审价格</w:t>
      </w:r>
      <w:r>
        <w:rPr>
          <w:rFonts w:hint="eastAsia" w:ascii="微软雅黑" w:hAnsi="微软雅黑" w:eastAsia="微软雅黑" w:cs="微软雅黑"/>
          <w:szCs w:val="21"/>
        </w:rPr>
        <w:t>−</w:t>
      </w:r>
      <w:r>
        <w:rPr>
          <w:rFonts w:ascii="宋体" w:hAnsi="宋体"/>
          <w:szCs w:val="21"/>
        </w:rPr>
        <w:t>评审基准价）/评审基准价×</w:t>
      </w:r>
      <w:r>
        <w:rPr>
          <w:szCs w:val="21"/>
        </w:rPr>
        <w:t>100</w:t>
      </w:r>
      <w:r>
        <w:rPr>
          <w:rFonts w:ascii="宋体" w:hAnsi="宋体"/>
          <w:szCs w:val="21"/>
        </w:rPr>
        <w:t xml:space="preserve">% </w:t>
      </w:r>
    </w:p>
    <w:p w14:paraId="696E1E71">
      <w:pPr>
        <w:spacing w:line="400" w:lineRule="exact"/>
        <w:ind w:firstLine="420" w:firstLineChars="200"/>
        <w:rPr>
          <w:rFonts w:ascii="宋体" w:hAnsi="宋体"/>
          <w:szCs w:val="21"/>
        </w:rPr>
      </w:pPr>
      <w:r>
        <w:rPr>
          <w:rFonts w:hint="eastAsia" w:ascii="宋体" w:hAnsi="宋体" w:cs="宋体"/>
        </w:rPr>
        <w:t>①</w:t>
      </w:r>
      <w:r>
        <w:rPr>
          <w:rFonts w:ascii="宋体" w:hAnsi="宋体"/>
        </w:rPr>
        <w:t xml:space="preserve"> </w:t>
      </w:r>
      <w:r>
        <w:rPr>
          <w:rFonts w:ascii="宋体" w:hAnsi="宋体"/>
          <w:szCs w:val="21"/>
        </w:rPr>
        <w:t>如果供应商的</w:t>
      </w:r>
      <w:r>
        <w:rPr>
          <w:rFonts w:ascii="宋体" w:hAnsi="宋体"/>
        </w:rPr>
        <w:t>评审</w:t>
      </w:r>
      <w:r>
        <w:rPr>
          <w:rFonts w:ascii="宋体" w:hAnsi="宋体"/>
          <w:szCs w:val="21"/>
        </w:rPr>
        <w:t>价格&gt;评审基准价，则报价得分＝</w:t>
      </w:r>
      <w:r>
        <w:rPr>
          <w:szCs w:val="21"/>
        </w:rPr>
        <w:t>F</w:t>
      </w:r>
      <w:r>
        <w:rPr>
          <w:rFonts w:ascii="宋体" w:hAnsi="宋体"/>
          <w:szCs w:val="21"/>
        </w:rPr>
        <w:t>－偏差率×</w:t>
      </w:r>
      <w:r>
        <w:rPr>
          <w:szCs w:val="21"/>
        </w:rPr>
        <w:t>100</w:t>
      </w:r>
      <w:r>
        <w:rPr>
          <w:rFonts w:ascii="宋体" w:hAnsi="宋体"/>
          <w:szCs w:val="21"/>
        </w:rPr>
        <w:t xml:space="preserve">× </w:t>
      </w:r>
      <w:r>
        <w:rPr>
          <w:szCs w:val="21"/>
        </w:rPr>
        <w:t>E</w:t>
      </w:r>
      <w:r>
        <w:rPr>
          <w:szCs w:val="21"/>
          <w:vertAlign w:val="subscript"/>
        </w:rPr>
        <w:t>1</w:t>
      </w:r>
      <w:r>
        <w:rPr>
          <w:rFonts w:ascii="宋体" w:hAnsi="宋体"/>
          <w:szCs w:val="21"/>
        </w:rPr>
        <w:t>；</w:t>
      </w:r>
    </w:p>
    <w:p w14:paraId="7001E78C">
      <w:pPr>
        <w:spacing w:line="400" w:lineRule="exact"/>
        <w:ind w:firstLine="420"/>
        <w:rPr>
          <w:rFonts w:ascii="宋体" w:hAnsi="宋体"/>
        </w:rPr>
      </w:pPr>
      <w:r>
        <w:rPr>
          <w:rFonts w:hint="eastAsia" w:ascii="宋体" w:hAnsi="宋体" w:cs="宋体"/>
        </w:rPr>
        <w:t>②</w:t>
      </w:r>
      <w:r>
        <w:rPr>
          <w:rFonts w:ascii="宋体" w:hAnsi="宋体"/>
        </w:rPr>
        <w:t xml:space="preserve"> 如果供应商的评审价格≤评审基准价，则报价得分＝</w:t>
      </w:r>
      <w:r>
        <w:t>F</w:t>
      </w:r>
      <w:r>
        <w:rPr>
          <w:rFonts w:ascii="宋体" w:hAnsi="宋体"/>
        </w:rPr>
        <w:t>＋偏差率×</w:t>
      </w:r>
      <w:r>
        <w:t>100</w:t>
      </w:r>
      <w:r>
        <w:rPr>
          <w:rFonts w:ascii="宋体" w:hAnsi="宋体"/>
        </w:rPr>
        <w:t xml:space="preserve">× </w:t>
      </w:r>
      <w:r>
        <w:t>E</w:t>
      </w:r>
      <w:r>
        <w:rPr>
          <w:vertAlign w:val="subscript"/>
        </w:rPr>
        <w:t>2</w:t>
      </w:r>
      <w:r>
        <w:rPr>
          <w:rFonts w:ascii="宋体" w:hAnsi="宋体"/>
        </w:rPr>
        <w:t>。</w:t>
      </w:r>
    </w:p>
    <w:p w14:paraId="08B1571C">
      <w:pPr>
        <w:spacing w:line="400" w:lineRule="exact"/>
        <w:ind w:firstLine="420" w:firstLineChars="200"/>
        <w:rPr>
          <w:rFonts w:ascii="宋体" w:hAnsi="宋体"/>
        </w:rPr>
      </w:pPr>
      <w:r>
        <w:rPr>
          <w:rFonts w:ascii="宋体" w:hAnsi="宋体"/>
        </w:rPr>
        <w:t>其中</w:t>
      </w:r>
      <w:r>
        <w:t>F</w:t>
      </w:r>
      <w:r>
        <w:rPr>
          <w:rFonts w:ascii="宋体" w:hAnsi="宋体"/>
        </w:rPr>
        <w:t>为本章前附表第</w:t>
      </w:r>
      <w:r>
        <w:t>3</w:t>
      </w:r>
      <w:r>
        <w:rPr>
          <w:rFonts w:ascii="宋体" w:hAnsi="宋体"/>
        </w:rPr>
        <w:t>.</w:t>
      </w:r>
      <w:r>
        <w:t>1</w:t>
      </w:r>
      <w:r>
        <w:rPr>
          <w:rFonts w:ascii="宋体" w:hAnsi="宋体"/>
        </w:rPr>
        <w:t>（</w:t>
      </w:r>
      <w:r>
        <w:t>3</w:t>
      </w:r>
      <w:r>
        <w:rPr>
          <w:rFonts w:ascii="宋体" w:hAnsi="宋体"/>
        </w:rPr>
        <w:t>）项规定的报价所占的分值；</w:t>
      </w:r>
      <w:r>
        <w:t>E</w:t>
      </w:r>
      <w:r>
        <w:rPr>
          <w:vertAlign w:val="subscript"/>
        </w:rPr>
        <w:t>1</w:t>
      </w:r>
      <w:r>
        <w:rPr>
          <w:rFonts w:ascii="宋体" w:hAnsi="宋体"/>
        </w:rPr>
        <w:t>是评审价格每高于评审基准价一个百分点的扣分值、</w:t>
      </w:r>
      <w:r>
        <w:t>E</w:t>
      </w:r>
      <w:r>
        <w:rPr>
          <w:vertAlign w:val="subscript"/>
        </w:rPr>
        <w:t>2</w:t>
      </w:r>
      <w:r>
        <w:rPr>
          <w:rFonts w:ascii="宋体" w:hAnsi="宋体"/>
        </w:rPr>
        <w:t>是评审价格每低于评审基准价一个百分点的扣分值，</w:t>
      </w:r>
      <w:r>
        <w:t>E</w:t>
      </w:r>
      <w:r>
        <w:rPr>
          <w:vertAlign w:val="subscript"/>
        </w:rPr>
        <w:t>1</w:t>
      </w:r>
      <w:r>
        <w:rPr>
          <w:rFonts w:ascii="宋体" w:hAnsi="宋体"/>
        </w:rPr>
        <w:t>可大于或等于</w:t>
      </w:r>
      <w:r>
        <w:t>E</w:t>
      </w:r>
      <w:r>
        <w:rPr>
          <w:vertAlign w:val="subscript"/>
        </w:rPr>
        <w:t>2</w:t>
      </w:r>
      <w:r>
        <w:rPr>
          <w:rFonts w:ascii="宋体" w:hAnsi="宋体"/>
        </w:rPr>
        <w:t>。</w:t>
      </w:r>
      <w:r>
        <w:t>E</w:t>
      </w:r>
      <w:r>
        <w:rPr>
          <w:vertAlign w:val="subscript"/>
        </w:rPr>
        <w:t>1</w:t>
      </w:r>
      <w:r>
        <w:rPr>
          <w:rFonts w:ascii="宋体" w:hAnsi="宋体"/>
        </w:rPr>
        <w:t>、</w:t>
      </w:r>
      <w:r>
        <w:t>E</w:t>
      </w:r>
      <w:r>
        <w:rPr>
          <w:vertAlign w:val="subscript"/>
        </w:rPr>
        <w:t>2</w:t>
      </w:r>
      <w:r>
        <w:rPr>
          <w:rFonts w:ascii="宋体" w:hAnsi="宋体"/>
        </w:rPr>
        <w:t>的取值见评审办法前附表。</w:t>
      </w:r>
    </w:p>
    <w:p w14:paraId="578E2CA1">
      <w:pPr>
        <w:spacing w:line="400" w:lineRule="exact"/>
        <w:ind w:firstLine="420" w:firstLineChars="200"/>
        <w:rPr>
          <w:rFonts w:ascii="宋体" w:hAnsi="宋体"/>
        </w:rPr>
      </w:pPr>
      <w:r>
        <w:rPr>
          <w:rFonts w:ascii="宋体" w:hAnsi="宋体"/>
        </w:rPr>
        <w:t>方法</w:t>
      </w:r>
      <w:r>
        <w:rPr>
          <w:rFonts w:hint="eastAsia"/>
        </w:rPr>
        <w:t>2</w:t>
      </w:r>
      <w:r>
        <w:rPr>
          <w:rFonts w:ascii="宋体" w:hAnsi="宋体"/>
        </w:rPr>
        <w:t>：报价得分=（通过初步评审的所有供应商的最低评审价格／供应商评审价格）×</w:t>
      </w:r>
      <w:r>
        <w:t>F</w:t>
      </w:r>
      <w:r>
        <w:rPr>
          <w:rFonts w:ascii="宋体" w:hAnsi="宋体"/>
        </w:rPr>
        <w:t>，</w:t>
      </w:r>
      <w:r>
        <w:t>F</w:t>
      </w:r>
      <w:r>
        <w:rPr>
          <w:rFonts w:ascii="宋体" w:hAnsi="宋体"/>
        </w:rPr>
        <w:t>为本章前附表第</w:t>
      </w:r>
      <w:r>
        <w:t>3</w:t>
      </w:r>
      <w:r>
        <w:rPr>
          <w:rFonts w:ascii="宋体" w:hAnsi="宋体"/>
        </w:rPr>
        <w:t>.</w:t>
      </w:r>
      <w:r>
        <w:t>1</w:t>
      </w:r>
      <w:r>
        <w:rPr>
          <w:rFonts w:ascii="宋体" w:hAnsi="宋体"/>
        </w:rPr>
        <w:t>（</w:t>
      </w:r>
      <w:r>
        <w:t>3</w:t>
      </w:r>
      <w:r>
        <w:rPr>
          <w:rFonts w:ascii="宋体" w:hAnsi="宋体"/>
        </w:rPr>
        <w:t>）项规定的报价所占的分值。</w:t>
      </w:r>
    </w:p>
    <w:p w14:paraId="63278929">
      <w:pPr>
        <w:spacing w:line="400" w:lineRule="exact"/>
        <w:ind w:firstLine="420" w:firstLineChars="200"/>
        <w:rPr>
          <w:rFonts w:ascii="宋体" w:hAnsi="宋体"/>
        </w:rPr>
      </w:pPr>
      <w:r>
        <w:rPr>
          <w:rFonts w:ascii="宋体" w:hAnsi="宋体"/>
        </w:rPr>
        <w:t>方法</w:t>
      </w:r>
      <w:r>
        <w:rPr>
          <w:rFonts w:hint="eastAsia"/>
        </w:rPr>
        <w:t>3</w:t>
      </w:r>
      <w:r>
        <w:rPr>
          <w:rFonts w:ascii="宋体" w:hAnsi="宋体"/>
        </w:rPr>
        <w:t>：采购人确定的其他方法。</w:t>
      </w:r>
    </w:p>
    <w:p w14:paraId="263EABE4">
      <w:pPr>
        <w:spacing w:line="400" w:lineRule="exact"/>
        <w:ind w:firstLine="420" w:firstLineChars="200"/>
        <w:rPr>
          <w:rFonts w:ascii="宋体" w:hAnsi="宋体"/>
        </w:rPr>
      </w:pPr>
      <w:r>
        <w:rPr>
          <w:rFonts w:ascii="宋体" w:hAnsi="宋体"/>
        </w:rPr>
        <w:t>报价得分计算方法见评审办法前附表。</w:t>
      </w:r>
    </w:p>
    <w:p w14:paraId="2F97A860">
      <w:pPr>
        <w:spacing w:line="400" w:lineRule="exact"/>
        <w:ind w:firstLine="420"/>
        <w:rPr>
          <w:rFonts w:ascii="宋体" w:hAnsi="宋体"/>
        </w:rPr>
      </w:pPr>
      <w:r>
        <w:rPr>
          <w:rFonts w:ascii="宋体" w:hAnsi="宋体"/>
        </w:rPr>
        <w:t>（</w:t>
      </w:r>
      <w:r>
        <w:t>4</w:t>
      </w:r>
      <w:r>
        <w:rPr>
          <w:rFonts w:ascii="宋体" w:hAnsi="宋体"/>
        </w:rPr>
        <w:t>）其他因素评分标准：见评审办法前附表。</w:t>
      </w:r>
    </w:p>
    <w:p w14:paraId="1F945067">
      <w:pPr>
        <w:widowControl/>
        <w:spacing w:before="100" w:beforeAutospacing="1" w:after="100" w:afterAutospacing="1" w:line="400" w:lineRule="exact"/>
        <w:ind w:left="2" w:leftChars="1"/>
        <w:jc w:val="left"/>
        <w:outlineLvl w:val="2"/>
        <w:rPr>
          <w:rFonts w:eastAsia="黑体"/>
          <w:sz w:val="24"/>
        </w:rPr>
      </w:pPr>
      <w:r>
        <w:rPr>
          <w:rFonts w:eastAsia="黑体"/>
          <w:sz w:val="24"/>
        </w:rPr>
        <w:t>3.4 评分</w:t>
      </w:r>
    </w:p>
    <w:p w14:paraId="6E92224B">
      <w:pPr>
        <w:spacing w:line="400" w:lineRule="exact"/>
        <w:ind w:firstLine="420" w:firstLineChars="200"/>
        <w:rPr>
          <w:rFonts w:ascii="宋体" w:hAnsi="宋体"/>
        </w:rPr>
      </w:pPr>
      <w:r>
        <w:rPr>
          <w:rFonts w:ascii="宋体" w:hAnsi="宋体"/>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064A12BC">
      <w:pPr>
        <w:widowControl/>
        <w:spacing w:before="100" w:beforeAutospacing="1" w:after="100" w:afterAutospacing="1" w:line="400" w:lineRule="exact"/>
        <w:ind w:left="2" w:leftChars="1"/>
        <w:jc w:val="left"/>
        <w:outlineLvl w:val="2"/>
        <w:rPr>
          <w:rFonts w:eastAsia="黑体"/>
          <w:sz w:val="24"/>
        </w:rPr>
      </w:pPr>
      <w:r>
        <w:rPr>
          <w:rFonts w:eastAsia="黑体"/>
          <w:sz w:val="24"/>
        </w:rPr>
        <w:t>3.5汇总</w:t>
      </w:r>
    </w:p>
    <w:p w14:paraId="14885CE4">
      <w:pPr>
        <w:spacing w:line="400" w:lineRule="exact"/>
        <w:ind w:firstLine="420" w:firstLineChars="200"/>
        <w:rPr>
          <w:rFonts w:ascii="宋体" w:hAnsi="宋体"/>
        </w:rPr>
      </w:pPr>
      <w:r>
        <w:rPr>
          <w:rFonts w:ascii="宋体" w:hAnsi="宋体"/>
        </w:rPr>
        <w:t>评审小组汇总每个成员对供应商的评分总分，每个供应商的评分总分的算术平均值为供应商最终得分。</w:t>
      </w:r>
    </w:p>
    <w:p w14:paraId="44E3B4DC">
      <w:pPr>
        <w:widowControl/>
        <w:spacing w:before="100" w:beforeAutospacing="1" w:after="100" w:afterAutospacing="1" w:line="400" w:lineRule="exact"/>
        <w:ind w:left="2" w:leftChars="1"/>
        <w:jc w:val="left"/>
        <w:outlineLvl w:val="2"/>
        <w:rPr>
          <w:rFonts w:eastAsia="黑体"/>
          <w:sz w:val="24"/>
        </w:rPr>
      </w:pPr>
      <w:r>
        <w:rPr>
          <w:rFonts w:eastAsia="黑体"/>
          <w:sz w:val="24"/>
        </w:rPr>
        <w:t xml:space="preserve">3.6排序 </w:t>
      </w:r>
    </w:p>
    <w:p w14:paraId="36D460B1">
      <w:pPr>
        <w:spacing w:line="400" w:lineRule="exact"/>
        <w:ind w:firstLine="420" w:firstLineChars="200"/>
        <w:rPr>
          <w:rFonts w:ascii="宋体" w:hAnsi="宋体"/>
        </w:rPr>
      </w:pPr>
      <w:r>
        <w:rPr>
          <w:rFonts w:ascii="宋体" w:hAnsi="宋体"/>
        </w:rPr>
        <w:t>除评审办法前附表另有规定外，评审小组对供应商最终得分进行比较后，可以按照供应商最终得分由高到低的顺序对供应商排序。最终得分相等时，以评审价格低的优先；评审价格也相等的，以技术得分高的优先；如果技术得分也相等，由评审小组投票确定供应商优先顺序。</w:t>
      </w:r>
    </w:p>
    <w:p w14:paraId="0F6C37DE">
      <w:pPr>
        <w:keepNext/>
        <w:keepLines/>
        <w:widowControl/>
        <w:spacing w:before="260" w:after="260"/>
        <w:outlineLvl w:val="1"/>
        <w:rPr>
          <w:rFonts w:eastAsia="黑体"/>
          <w:b/>
          <w:sz w:val="28"/>
          <w:szCs w:val="18"/>
        </w:rPr>
      </w:pPr>
      <w:bookmarkStart w:id="415" w:name="_Toc12533"/>
      <w:bookmarkStart w:id="416" w:name="_Toc118805541"/>
      <w:bookmarkStart w:id="417" w:name="_Toc20501"/>
      <w:bookmarkStart w:id="418" w:name="_Toc23953"/>
      <w:bookmarkStart w:id="419" w:name="_Toc7606"/>
      <w:bookmarkStart w:id="420" w:name="_Toc118805164"/>
      <w:bookmarkStart w:id="421" w:name="_Toc17801_WPSOffice_Level3"/>
      <w:bookmarkStart w:id="422" w:name="_Toc149140259"/>
      <w:bookmarkStart w:id="423" w:name="_Toc118805918"/>
      <w:bookmarkStart w:id="424" w:name="_Toc17017"/>
      <w:bookmarkStart w:id="425" w:name="_Toc138604687"/>
      <w:bookmarkStart w:id="426" w:name="_Toc501460721"/>
      <w:bookmarkStart w:id="427" w:name="_Toc118806289"/>
      <w:bookmarkStart w:id="428" w:name="_Toc9277"/>
      <w:r>
        <w:rPr>
          <w:rFonts w:eastAsia="黑体"/>
          <w:b/>
          <w:sz w:val="28"/>
          <w:szCs w:val="18"/>
        </w:rPr>
        <w:t>4. 评审结果</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76C77B94">
      <w:pPr>
        <w:widowControl/>
        <w:spacing w:before="100" w:beforeAutospacing="1" w:after="100" w:afterAutospacing="1" w:line="400" w:lineRule="exact"/>
        <w:ind w:left="2" w:leftChars="1"/>
        <w:jc w:val="left"/>
        <w:outlineLvl w:val="2"/>
        <w:rPr>
          <w:rFonts w:eastAsia="黑体"/>
          <w:sz w:val="24"/>
        </w:rPr>
      </w:pPr>
      <w:r>
        <w:rPr>
          <w:rFonts w:eastAsia="黑体"/>
          <w:sz w:val="24"/>
        </w:rPr>
        <w:t>4.1提交评审报告</w:t>
      </w:r>
    </w:p>
    <w:p w14:paraId="11E095B6">
      <w:pPr>
        <w:spacing w:line="400" w:lineRule="exact"/>
        <w:ind w:firstLine="420" w:firstLineChars="200"/>
        <w:rPr>
          <w:rFonts w:ascii="宋体" w:hAnsi="宋体"/>
        </w:rPr>
      </w:pPr>
      <w:r>
        <w:rPr>
          <w:rFonts w:ascii="宋体" w:hAnsi="宋体"/>
        </w:rPr>
        <w:t>评审小组完成评审后，应当向采购人提交评审报告。</w:t>
      </w:r>
    </w:p>
    <w:p w14:paraId="2AB447F4">
      <w:pPr>
        <w:widowControl/>
        <w:spacing w:before="100" w:beforeAutospacing="1" w:after="100" w:afterAutospacing="1" w:line="400" w:lineRule="exact"/>
        <w:ind w:left="2" w:leftChars="1"/>
        <w:jc w:val="left"/>
        <w:outlineLvl w:val="2"/>
        <w:rPr>
          <w:rFonts w:eastAsia="黑体"/>
          <w:sz w:val="24"/>
        </w:rPr>
      </w:pPr>
      <w:r>
        <w:rPr>
          <w:rFonts w:eastAsia="黑体"/>
          <w:sz w:val="24"/>
        </w:rPr>
        <w:t>4.2推荐候选成交供应商数量</w:t>
      </w:r>
    </w:p>
    <w:p w14:paraId="715EAE7C">
      <w:pPr>
        <w:spacing w:line="400" w:lineRule="exact"/>
        <w:ind w:firstLine="420" w:firstLineChars="200"/>
        <w:rPr>
          <w:rFonts w:ascii="宋体" w:hAnsi="宋体"/>
        </w:rPr>
      </w:pPr>
      <w:r>
        <w:rPr>
          <w:rFonts w:ascii="宋体" w:hAnsi="宋体"/>
        </w:rPr>
        <w:t>评审小组应在评审报告中按照供应商排列的优先顺序向采购人推荐候选成交供应商。候选成交供应商数量见第二章“供应商须知”。</w:t>
      </w:r>
    </w:p>
    <w:p w14:paraId="56F7038B">
      <w:pPr>
        <w:widowControl/>
        <w:spacing w:before="100" w:beforeAutospacing="1" w:after="100" w:afterAutospacing="1" w:line="400" w:lineRule="exact"/>
        <w:ind w:left="2" w:leftChars="1"/>
        <w:jc w:val="left"/>
        <w:outlineLvl w:val="2"/>
        <w:rPr>
          <w:rFonts w:eastAsia="黑体"/>
          <w:sz w:val="24"/>
        </w:rPr>
      </w:pPr>
      <w:r>
        <w:rPr>
          <w:rFonts w:eastAsia="黑体"/>
          <w:sz w:val="24"/>
        </w:rPr>
        <w:t>4.3多标段候选成交供应商资格的确定原则</w:t>
      </w:r>
    </w:p>
    <w:p w14:paraId="4CF6BEDD">
      <w:pPr>
        <w:spacing w:line="400" w:lineRule="exact"/>
        <w:ind w:firstLine="420" w:firstLineChars="200"/>
        <w:rPr>
          <w:rFonts w:ascii="宋体" w:hAnsi="宋体"/>
        </w:rPr>
      </w:pPr>
      <w:r>
        <w:rPr>
          <w:rFonts w:ascii="宋体" w:hAnsi="宋体"/>
          <w:szCs w:val="21"/>
        </w:rPr>
        <w:t>如果同一供应商在多个标段中均排名第一，候选成交供应商资格的确定原则</w:t>
      </w:r>
      <w:r>
        <w:rPr>
          <w:rFonts w:ascii="宋体" w:hAnsi="宋体"/>
        </w:rPr>
        <w:t>按照评审办法前附表的规定执行。</w:t>
      </w:r>
      <w:r>
        <w:rPr>
          <w:rFonts w:ascii="宋体" w:hAnsi="宋体"/>
        </w:rPr>
        <w:br w:type="page"/>
      </w:r>
    </w:p>
    <w:p w14:paraId="31ED6E4E">
      <w:pPr>
        <w:spacing w:line="400" w:lineRule="exact"/>
        <w:ind w:firstLine="420" w:firstLineChars="200"/>
        <w:rPr>
          <w:rFonts w:ascii="宋体" w:hAnsi="宋体"/>
        </w:rPr>
      </w:pPr>
      <w:bookmarkStart w:id="429" w:name="_Hlk138879241"/>
    </w:p>
    <w:p w14:paraId="5A4196FF">
      <w:pPr>
        <w:spacing w:line="400" w:lineRule="exact"/>
        <w:ind w:firstLine="420" w:firstLineChars="200"/>
        <w:rPr>
          <w:rFonts w:ascii="宋体" w:hAnsi="宋体"/>
        </w:rPr>
      </w:pPr>
    </w:p>
    <w:p w14:paraId="0626C72B">
      <w:pPr>
        <w:pStyle w:val="108"/>
        <w:rPr>
          <w:rFonts w:ascii="宋体" w:hAnsi="宋体" w:eastAsia="宋体"/>
        </w:rPr>
      </w:pPr>
    </w:p>
    <w:p w14:paraId="0688B295">
      <w:pPr>
        <w:pStyle w:val="108"/>
        <w:rPr>
          <w:rFonts w:ascii="宋体" w:hAnsi="宋体" w:eastAsia="宋体"/>
        </w:rPr>
      </w:pPr>
    </w:p>
    <w:p w14:paraId="35A56EEC">
      <w:pPr>
        <w:pStyle w:val="108"/>
        <w:rPr>
          <w:rFonts w:ascii="宋体" w:hAnsi="宋体" w:eastAsia="宋体"/>
        </w:rPr>
      </w:pPr>
    </w:p>
    <w:p w14:paraId="1747F385">
      <w:pPr>
        <w:pStyle w:val="108"/>
        <w:rPr>
          <w:rFonts w:ascii="宋体" w:hAnsi="宋体" w:eastAsia="宋体"/>
        </w:rPr>
      </w:pPr>
    </w:p>
    <w:p w14:paraId="2B2D2D42">
      <w:pPr>
        <w:pStyle w:val="108"/>
        <w:rPr>
          <w:rFonts w:ascii="宋体" w:hAnsi="宋体" w:eastAsia="宋体"/>
        </w:rPr>
      </w:pPr>
    </w:p>
    <w:p w14:paraId="32BD644E">
      <w:pPr>
        <w:pStyle w:val="108"/>
        <w:rPr>
          <w:rFonts w:ascii="宋体" w:hAnsi="宋体" w:eastAsia="宋体"/>
        </w:rPr>
      </w:pPr>
    </w:p>
    <w:p w14:paraId="3C8EF1D1">
      <w:pPr>
        <w:pStyle w:val="108"/>
        <w:rPr>
          <w:rFonts w:ascii="宋体" w:hAnsi="宋体" w:eastAsia="宋体"/>
        </w:rPr>
      </w:pPr>
    </w:p>
    <w:p w14:paraId="7192E07E">
      <w:pPr>
        <w:pStyle w:val="108"/>
        <w:rPr>
          <w:rFonts w:ascii="宋体" w:hAnsi="宋体" w:eastAsia="宋体"/>
        </w:rPr>
      </w:pPr>
    </w:p>
    <w:p w14:paraId="06654274">
      <w:pPr>
        <w:pStyle w:val="108"/>
        <w:rPr>
          <w:rFonts w:ascii="宋体" w:hAnsi="宋体" w:eastAsia="宋体"/>
        </w:rPr>
      </w:pPr>
    </w:p>
    <w:bookmarkEnd w:id="429"/>
    <w:p w14:paraId="30413072">
      <w:pPr>
        <w:pStyle w:val="2"/>
        <w:jc w:val="center"/>
        <w:rPr>
          <w:rFonts w:ascii="宋体" w:hAnsi="宋体"/>
        </w:rPr>
      </w:pPr>
      <w:bookmarkStart w:id="430" w:name="_Toc149140267"/>
      <w:bookmarkStart w:id="431" w:name="_第四章_合同条款及格式"/>
      <w:r>
        <w:rPr>
          <w:rFonts w:ascii="宋体" w:hAnsi="宋体"/>
        </w:rPr>
        <w:t xml:space="preserve">第四章 </w:t>
      </w:r>
      <w:bookmarkEnd w:id="322"/>
      <w:r>
        <w:rPr>
          <w:rFonts w:ascii="宋体" w:hAnsi="宋体"/>
        </w:rPr>
        <w:t>框架协议格式</w:t>
      </w:r>
      <w:bookmarkEnd w:id="430"/>
    </w:p>
    <w:bookmarkEnd w:id="431"/>
    <w:p w14:paraId="6441920F">
      <w:pPr>
        <w:jc w:val="center"/>
        <w:rPr>
          <w:rFonts w:ascii="宋体" w:hAnsi="宋体"/>
        </w:rPr>
      </w:pPr>
      <w:bookmarkStart w:id="432" w:name="_Toc535049410"/>
      <w:bookmarkStart w:id="433" w:name="_Toc11848939"/>
      <w:r>
        <w:rPr>
          <w:rFonts w:ascii="宋体" w:hAnsi="宋体"/>
        </w:rPr>
        <w:br w:type="page"/>
      </w:r>
      <w:bookmarkEnd w:id="432"/>
      <w:bookmarkEnd w:id="433"/>
      <w:bookmarkStart w:id="434" w:name="_Toc48146152"/>
      <w:bookmarkStart w:id="435" w:name="_第五章_采购需求"/>
    </w:p>
    <w:p w14:paraId="5046FB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战略合作框架协议</w:t>
      </w:r>
    </w:p>
    <w:p w14:paraId="3A173D8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24"/>
          <w:szCs w:val="24"/>
          <w:lang w:eastAsia="zh-CN"/>
        </w:rPr>
      </w:pPr>
    </w:p>
    <w:p w14:paraId="030367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u w:val="single"/>
        </w:rPr>
        <w:t>河北交投绿色建材有限公司</w:t>
      </w:r>
    </w:p>
    <w:p w14:paraId="2B1188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rPr>
        <w:t>乙方：</w:t>
      </w:r>
      <w:r>
        <w:rPr>
          <w:rFonts w:hint="eastAsia" w:ascii="仿宋" w:hAnsi="仿宋" w:eastAsia="仿宋" w:cs="仿宋"/>
          <w:sz w:val="24"/>
          <w:szCs w:val="24"/>
          <w:u w:val="single"/>
          <w:lang w:val="en-US" w:eastAsia="zh-CN"/>
        </w:rPr>
        <w:t xml:space="preserve">                        </w:t>
      </w:r>
    </w:p>
    <w:p w14:paraId="2BB80BC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乙方作为甲方的</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供应商入库单位，为明确甲、乙双方各自所承担的义务和责任，甲乙双方本着平等互惠友好合作的原则，根据《中华人民共和国民法典》等相关法律、法规</w:t>
      </w:r>
      <w:r>
        <w:rPr>
          <w:rFonts w:hint="eastAsia" w:ascii="仿宋" w:hAnsi="仿宋" w:eastAsia="仿宋" w:cs="仿宋"/>
          <w:sz w:val="24"/>
          <w:szCs w:val="24"/>
          <w:shd w:val="clear" w:color="auto" w:fill="FFFFFF"/>
          <w:lang w:val="en-US" w:eastAsia="zh-CN"/>
        </w:rPr>
        <w:t>和</w:t>
      </w:r>
      <w:r>
        <w:rPr>
          <w:rFonts w:hint="eastAsia" w:ascii="仿宋" w:hAnsi="仿宋" w:eastAsia="仿宋" w:cs="仿宋"/>
          <w:sz w:val="24"/>
          <w:szCs w:val="24"/>
          <w:shd w:val="clear" w:color="auto" w:fill="FFFFFF"/>
        </w:rPr>
        <w:t>河北交投绿色建材有限公司</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供应商入库招标文件</w:t>
      </w:r>
      <w:r>
        <w:rPr>
          <w:rFonts w:hint="eastAsia" w:ascii="仿宋" w:hAnsi="仿宋" w:eastAsia="仿宋" w:cs="仿宋"/>
          <w:sz w:val="24"/>
          <w:szCs w:val="24"/>
          <w:shd w:val="clear" w:color="auto" w:fill="FFFFFF"/>
          <w:lang w:val="en-US" w:eastAsia="zh-CN"/>
        </w:rPr>
        <w:t>及乙方的投标文件</w:t>
      </w:r>
      <w:r>
        <w:rPr>
          <w:rFonts w:hint="eastAsia" w:ascii="仿宋" w:hAnsi="仿宋" w:eastAsia="仿宋" w:cs="仿宋"/>
          <w:sz w:val="24"/>
          <w:szCs w:val="24"/>
          <w:shd w:val="clear" w:color="auto" w:fill="FFFFFF"/>
        </w:rPr>
        <w:t>，经甲、乙双方充分协商，签订本框架协议，甲乙双方共同遵守执行。</w:t>
      </w:r>
    </w:p>
    <w:p w14:paraId="6AEE5E5A">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lang w:val="en-US" w:eastAsia="zh-CN"/>
        </w:rPr>
        <w:t xml:space="preserve">第一条 </w:t>
      </w:r>
      <w:r>
        <w:rPr>
          <w:rFonts w:hint="eastAsia" w:ascii="仿宋" w:hAnsi="仿宋" w:eastAsia="仿宋" w:cs="仿宋"/>
          <w:b/>
          <w:bCs/>
          <w:sz w:val="24"/>
          <w:szCs w:val="24"/>
          <w:shd w:val="clear" w:color="auto" w:fill="FFFFFF"/>
        </w:rPr>
        <w:t>合作宗旨</w:t>
      </w:r>
    </w:p>
    <w:p w14:paraId="63DE3358">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甲乙双方在遵守国家相关法律、法规的前提下，在互惠互利、确保质量、保证供应的原则下开展业务合作关系。</w:t>
      </w:r>
    </w:p>
    <w:p w14:paraId="6EF0FD40">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甲乙双方彼此高度重视对方，均将对方作为重要的战略合作伙伴，发挥各自优势，加强协作，谋求共同发展。</w:t>
      </w:r>
    </w:p>
    <w:p w14:paraId="6AEA3EE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 xml:space="preserve">第二条 </w:t>
      </w:r>
      <w:r>
        <w:rPr>
          <w:rFonts w:hint="eastAsia" w:ascii="仿宋" w:hAnsi="仿宋" w:eastAsia="仿宋" w:cs="仿宋"/>
          <w:b/>
          <w:bCs/>
          <w:sz w:val="24"/>
          <w:szCs w:val="24"/>
        </w:rPr>
        <w:t>合作内容和方式</w:t>
      </w:r>
    </w:p>
    <w:p w14:paraId="04838F4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甲乙双方在全国范围内就</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产品供应</w:t>
      </w:r>
      <w:r>
        <w:rPr>
          <w:rFonts w:hint="eastAsia" w:ascii="仿宋" w:hAnsi="仿宋" w:eastAsia="仿宋" w:cs="仿宋"/>
          <w:sz w:val="24"/>
          <w:szCs w:val="24"/>
        </w:rPr>
        <w:t>进行合作，合作方式视具体项目情况另行议定。</w:t>
      </w:r>
    </w:p>
    <w:p w14:paraId="5A1A5380">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shd w:val="clear" w:color="auto" w:fill="FFFFFF"/>
        </w:rPr>
        <w:t>甲方采购乙方</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产品，乙方按甲方要求进行供货，依照《中华人民共和国民法典》依法、合规管理。充分发挥甲乙双方在公司管理、团队管理、市场推广营销、生产加工、技术研发等方面的优势，全力相互配合。</w:t>
      </w:r>
    </w:p>
    <w:p w14:paraId="3460B659">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3.甲方</w:t>
      </w:r>
      <w:r>
        <w:rPr>
          <w:rFonts w:hint="eastAsia" w:ascii="仿宋" w:hAnsi="仿宋" w:eastAsia="仿宋" w:cs="仿宋"/>
          <w:sz w:val="24"/>
          <w:szCs w:val="24"/>
          <w:highlight w:val="none"/>
        </w:rPr>
        <w:t>根据自身实际经营生产需求，定期或不定期在入围的供应商库中通过询价或谈判等方式确定签约供应商和签约价格。</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根据材料市场价格拟定最高限价和最低限价，</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按照</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要求及时响应报价，原则上</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参考第一轮最低报价，依据报价排名进行逐一沟通谈判，确定能够满足</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供应需求的签约供应商数量和最终签约价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签订采购合同并按要求收取履约保证金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以实际采购合同为准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，合同履约期间，</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将根据原材料市场波动情况及内部调价机制不定期进行调价，同时依据</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考核管理制度，对合作供应商定期进行考核，对供应商库进行优化管理。</w:t>
      </w:r>
    </w:p>
    <w:p w14:paraId="386985CD">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4.乙方</w:t>
      </w:r>
      <w:r>
        <w:rPr>
          <w:rFonts w:hint="eastAsia" w:ascii="仿宋" w:hAnsi="仿宋" w:eastAsia="仿宋" w:cs="仿宋"/>
          <w:sz w:val="24"/>
          <w:szCs w:val="24"/>
          <w:highlight w:val="none"/>
        </w:rPr>
        <w:t>应当严格遵守和执行</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相关采购管理规定，须无条件参与每一次招标或询价报价，因竞争报价、政策调整、</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自身经营情况变化调整等因素，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如在合同供货期限内未曾获取订单，属于</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自身原因，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承担竞价未果的全部责任，与</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无关。</w:t>
      </w:r>
    </w:p>
    <w:p w14:paraId="62DB40C5">
      <w:pPr>
        <w:pStyle w:val="20"/>
        <w:keepNext w:val="0"/>
        <w:keepLines w:val="0"/>
        <w:pageBreakBefore w:val="0"/>
        <w:widowControl w:val="0"/>
        <w:kinsoku/>
        <w:wordWrap/>
        <w:overflowPunct/>
        <w:topLinePunct w:val="0"/>
        <w:autoSpaceDE/>
        <w:autoSpaceDN/>
        <w:bidi w:val="0"/>
        <w:adjustRightInd/>
        <w:snapToGrid/>
        <w:spacing w:line="480" w:lineRule="exact"/>
        <w:ind w:firstLine="48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5.乙方</w:t>
      </w:r>
      <w:r>
        <w:rPr>
          <w:rFonts w:hint="eastAsia" w:ascii="仿宋" w:hAnsi="仿宋" w:eastAsia="仿宋" w:cs="仿宋"/>
          <w:sz w:val="24"/>
          <w:szCs w:val="24"/>
          <w:highlight w:val="none"/>
        </w:rPr>
        <w:t>必须</w:t>
      </w:r>
      <w:r>
        <w:rPr>
          <w:rFonts w:hint="eastAsia" w:ascii="仿宋" w:hAnsi="仿宋" w:eastAsia="仿宋" w:cs="仿宋"/>
          <w:sz w:val="24"/>
          <w:szCs w:val="24"/>
          <w:highlight w:val="none"/>
          <w:lang w:val="en-US" w:eastAsia="zh-CN"/>
        </w:rPr>
        <w:t>及时</w:t>
      </w:r>
      <w:r>
        <w:rPr>
          <w:rFonts w:hint="eastAsia" w:ascii="仿宋" w:hAnsi="仿宋" w:eastAsia="仿宋" w:cs="仿宋"/>
          <w:sz w:val="24"/>
          <w:szCs w:val="24"/>
          <w:highlight w:val="none"/>
        </w:rPr>
        <w:t>参与每次</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组织的报价，严禁拒绝报价，否则视为违约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甲方有权单方解除合同，并不承担任何因解除合同产生的责任；乙方</w:t>
      </w:r>
      <w:r>
        <w:rPr>
          <w:rFonts w:hint="eastAsia" w:ascii="仿宋" w:hAnsi="仿宋" w:eastAsia="仿宋" w:cs="仿宋"/>
          <w:sz w:val="24"/>
          <w:szCs w:val="24"/>
          <w:highlight w:val="none"/>
        </w:rPr>
        <w:t>须严格遵守</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的相关供应商管理规定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每次的报价须考虑各种可预见性的因素，例如：政府会议、环保预警、疫情管控、雨雪天气、交通管制等，</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须采取相应措施，确保供应。若因以上可预见性因素导致供应不畅，给</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生产造成损失，视为</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违约，</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有权扣除履约保证金，并要求</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承担因此造成的一切损失。</w:t>
      </w:r>
    </w:p>
    <w:p w14:paraId="4BB9A4F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双方应自觉保护合作方的商业秘密、知识产权等信息所有权，在他人侵权时应全力支持和配合对方维护权益，提供相关资料。</w:t>
      </w:r>
    </w:p>
    <w:p w14:paraId="4F129BD4">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lang w:val="en-US" w:eastAsia="zh-CN"/>
        </w:rPr>
        <w:t xml:space="preserve">第三条 </w:t>
      </w:r>
      <w:r>
        <w:rPr>
          <w:rFonts w:hint="eastAsia" w:ascii="仿宋" w:hAnsi="仿宋" w:eastAsia="仿宋" w:cs="仿宋"/>
          <w:b/>
          <w:bCs/>
          <w:sz w:val="24"/>
          <w:szCs w:val="24"/>
          <w:shd w:val="clear" w:color="auto" w:fill="FFFFFF"/>
        </w:rPr>
        <w:t>甲方的权利和义务</w:t>
      </w:r>
      <w:r>
        <w:rPr>
          <w:rFonts w:hint="eastAsia" w:ascii="仿宋" w:hAnsi="仿宋" w:eastAsia="仿宋" w:cs="仿宋"/>
          <w:sz w:val="24"/>
          <w:szCs w:val="24"/>
          <w:shd w:val="clear" w:color="auto" w:fill="FFFFFF"/>
        </w:rPr>
        <w:t xml:space="preserve"> </w:t>
      </w:r>
    </w:p>
    <w:p w14:paraId="4ACF0FFB">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甲方应积极调集资金，按约定支付</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产品货</w:t>
      </w:r>
      <w:r>
        <w:rPr>
          <w:rFonts w:hint="eastAsia" w:ascii="仿宋" w:hAnsi="仿宋" w:eastAsia="仿宋" w:cs="仿宋"/>
          <w:sz w:val="24"/>
          <w:szCs w:val="24"/>
          <w:shd w:val="clear" w:color="auto" w:fill="FFFFFF"/>
        </w:rPr>
        <w:t>款。</w:t>
      </w:r>
    </w:p>
    <w:p w14:paraId="7366981F">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甲方负责向乙方提供</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的质量标准和相关技术要求。</w:t>
      </w:r>
    </w:p>
    <w:p w14:paraId="51E0491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甲方负责及时和乙方协商确定使用</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的</w:t>
      </w:r>
      <w:r>
        <w:rPr>
          <w:rFonts w:hint="eastAsia" w:ascii="仿宋" w:hAnsi="仿宋" w:eastAsia="仿宋" w:cs="仿宋"/>
          <w:sz w:val="24"/>
          <w:szCs w:val="24"/>
          <w:shd w:val="clear" w:color="auto" w:fill="FFFFFF"/>
          <w:lang w:val="en-US" w:eastAsia="zh-CN"/>
        </w:rPr>
        <w:t>厂家和规格</w:t>
      </w:r>
      <w:r>
        <w:rPr>
          <w:rFonts w:hint="eastAsia" w:ascii="仿宋" w:hAnsi="仿宋" w:eastAsia="仿宋" w:cs="仿宋"/>
          <w:sz w:val="24"/>
          <w:szCs w:val="24"/>
          <w:shd w:val="clear" w:color="auto" w:fill="FFFFFF"/>
        </w:rPr>
        <w:t>。</w:t>
      </w:r>
    </w:p>
    <w:p w14:paraId="4B37EF0E">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4.甲方</w:t>
      </w:r>
      <w:r>
        <w:rPr>
          <w:rFonts w:hint="eastAsia" w:ascii="仿宋" w:hAnsi="仿宋" w:eastAsia="仿宋" w:cs="仿宋"/>
          <w:sz w:val="24"/>
          <w:szCs w:val="24"/>
          <w:highlight w:val="none"/>
        </w:rPr>
        <w:t>在服务期限内，可根据实际生产需求，不定时通过公开招标或其他招标采购方式，补充或扩充供应商库，则新入库供应商服务期限仍截至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。特殊情况下，在服务期限内，</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可根据实际生产需要，按照本项目</w:t>
      </w:r>
      <w:r>
        <w:rPr>
          <w:rFonts w:hint="eastAsia" w:ascii="仿宋" w:hAnsi="仿宋" w:eastAsia="仿宋" w:cs="仿宋"/>
          <w:sz w:val="24"/>
          <w:szCs w:val="24"/>
          <w:highlight w:val="none"/>
          <w:lang w:val="en-US" w:eastAsia="zh-CN"/>
        </w:rPr>
        <w:t>招标文件</w:t>
      </w:r>
      <w:r>
        <w:rPr>
          <w:rFonts w:hint="eastAsia" w:ascii="仿宋" w:hAnsi="仿宋" w:eastAsia="仿宋" w:cs="仿宋"/>
          <w:sz w:val="24"/>
          <w:szCs w:val="24"/>
          <w:highlight w:val="none"/>
        </w:rPr>
        <w:t>资格要求，另行引入符合条件的供应商。</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具有最终解释权，</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须无条件接受。</w:t>
      </w:r>
    </w:p>
    <w:p w14:paraId="5046D43D">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在报价过程中，若</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涉嫌通过围标、串标等不正当竞争方式取得供货资格的，</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有权直接取消</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作为合格供方的资格，</w:t>
      </w:r>
      <w:r>
        <w:rPr>
          <w:rFonts w:hint="eastAsia" w:ascii="仿宋" w:hAnsi="仿宋" w:eastAsia="仿宋" w:cs="仿宋"/>
          <w:sz w:val="24"/>
          <w:szCs w:val="24"/>
          <w:highlight w:val="none"/>
          <w:lang w:val="en-US" w:eastAsia="zh-CN"/>
        </w:rPr>
        <w:t>将乙方</w:t>
      </w:r>
      <w:r>
        <w:rPr>
          <w:rFonts w:hint="eastAsia" w:ascii="仿宋" w:hAnsi="仿宋" w:eastAsia="仿宋" w:cs="仿宋"/>
          <w:sz w:val="24"/>
          <w:szCs w:val="24"/>
          <w:highlight w:val="none"/>
        </w:rPr>
        <w:t>列入供应商失信黑名单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甲方有权单方解除合同，且不承担任何因解除合同产生的责任</w:t>
      </w:r>
      <w:r>
        <w:rPr>
          <w:rFonts w:hint="eastAsia" w:ascii="仿宋" w:hAnsi="仿宋" w:eastAsia="仿宋" w:cs="仿宋"/>
          <w:sz w:val="24"/>
          <w:szCs w:val="24"/>
          <w:highlight w:val="none"/>
        </w:rPr>
        <w:t>。同时，</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保留追究法律责任的权利。</w:t>
      </w:r>
    </w:p>
    <w:p w14:paraId="2DB53ACE">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val="en-US" w:eastAsia="zh-CN"/>
        </w:rPr>
        <w:t xml:space="preserve">第四条 </w:t>
      </w:r>
      <w:r>
        <w:rPr>
          <w:rFonts w:hint="eastAsia" w:ascii="仿宋" w:hAnsi="仿宋" w:eastAsia="仿宋" w:cs="仿宋"/>
          <w:b/>
          <w:bCs/>
          <w:sz w:val="24"/>
          <w:szCs w:val="24"/>
          <w:highlight w:val="none"/>
          <w:shd w:val="clear" w:color="auto" w:fill="FFFFFF"/>
        </w:rPr>
        <w:t xml:space="preserve">乙方的权利和义务 </w:t>
      </w:r>
    </w:p>
    <w:p w14:paraId="2847E576">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乙方严格按照委托内容及要求提供供货服务，并提供全方位的保障措施，并按甲方的要求提交相关计划与供应方案。</w:t>
      </w:r>
    </w:p>
    <w:p w14:paraId="083B9EA9">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乙方自觉接受甲方对</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储备数量、质量、安全生产的监管，按甲方要求及时进行调整。</w:t>
      </w:r>
    </w:p>
    <w:p w14:paraId="63D8727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乙方应按甲方的要求，保质、保量、按时、安全、高效地保障</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的供应。</w:t>
      </w:r>
    </w:p>
    <w:p w14:paraId="3E2F06D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乙方运输车辆须安装视频监控系统、GPS系统，可实现与</w:t>
      </w:r>
      <w:r>
        <w:rPr>
          <w:rFonts w:hint="eastAsia" w:ascii="仿宋" w:hAnsi="仿宋" w:eastAsia="仿宋" w:cs="仿宋"/>
          <w:sz w:val="24"/>
          <w:szCs w:val="24"/>
          <w:shd w:val="clear" w:color="auto" w:fill="FFFFFF"/>
          <w:lang w:val="en-US" w:eastAsia="zh-CN"/>
        </w:rPr>
        <w:t>甲方</w:t>
      </w:r>
      <w:r>
        <w:rPr>
          <w:rFonts w:hint="eastAsia" w:ascii="仿宋" w:hAnsi="仿宋" w:eastAsia="仿宋" w:cs="仿宋"/>
          <w:sz w:val="24"/>
          <w:szCs w:val="24"/>
          <w:shd w:val="clear" w:color="auto" w:fill="FFFFFF"/>
        </w:rPr>
        <w:t>大数据平台监控系统对接功能。</w:t>
      </w:r>
    </w:p>
    <w:p w14:paraId="6C2CA08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第五条 </w:t>
      </w:r>
      <w:r>
        <w:rPr>
          <w:rFonts w:hint="eastAsia" w:ascii="仿宋" w:hAnsi="仿宋" w:eastAsia="仿宋" w:cs="仿宋"/>
          <w:b/>
          <w:bCs/>
          <w:sz w:val="24"/>
          <w:szCs w:val="24"/>
        </w:rPr>
        <w:t>合作期限及其他</w:t>
      </w:r>
    </w:p>
    <w:p w14:paraId="1F58AF6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本协议有效期为：自本协议签订后至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230ACD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除本框架协议另有约定之外，一方在未经另一方事先书面同意的情况下，不应将本框架协议项下的全部或部分权利或义务转让给第三方。</w:t>
      </w:r>
    </w:p>
    <w:p w14:paraId="6E4E168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甲乙双方就具体业务签署具体协议。</w:t>
      </w:r>
    </w:p>
    <w:p w14:paraId="1D493A8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本协议一式陆份，双方各执叁份，自双方法定代表人或授权代表人签字并盖章之日起生效。传真件、复印件均具有同等法律效力。</w:t>
      </w:r>
    </w:p>
    <w:p w14:paraId="70D074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（以下无正文）</w:t>
      </w:r>
    </w:p>
    <w:tbl>
      <w:tblPr>
        <w:tblStyle w:val="40"/>
        <w:tblpPr w:leftFromText="180" w:rightFromText="180" w:vertAnchor="text" w:horzAnchor="page" w:tblpX="1550" w:tblpY="721"/>
        <w:tblOverlap w:val="never"/>
        <w:tblW w:w="96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43"/>
        <w:gridCol w:w="4881"/>
      </w:tblGrid>
      <w:tr w14:paraId="4986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4743" w:type="dxa"/>
            <w:tcBorders>
              <w:top w:val="single" w:color="000000" w:sz="4" w:space="0"/>
              <w:left w:val="single" w:color="000000" w:sz="4" w:space="0"/>
              <w:bottom w:val="single" w:color="000000" w:sz="2" w:space="0"/>
              <w:right w:val="single" w:color="000000" w:sz="4" w:space="0"/>
            </w:tcBorders>
            <w:noWrap w:val="0"/>
            <w:vAlign w:val="center"/>
          </w:tcPr>
          <w:p w14:paraId="0DB2613C">
            <w:pPr>
              <w:snapToGrid w:val="0"/>
              <w:spacing w:line="440" w:lineRule="exact"/>
              <w:ind w:left="600" w:hanging="480" w:hangingChars="200"/>
              <w:jc w:val="center"/>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：河北交投绿色建材有限公（盖章）</w:t>
            </w:r>
          </w:p>
        </w:tc>
        <w:tc>
          <w:tcPr>
            <w:tcW w:w="4881" w:type="dxa"/>
            <w:tcBorders>
              <w:top w:val="single" w:color="000000" w:sz="4" w:space="0"/>
              <w:left w:val="single" w:color="000000" w:sz="4" w:space="0"/>
              <w:bottom w:val="single" w:color="000000" w:sz="2" w:space="0"/>
              <w:right w:val="single" w:color="000000" w:sz="4" w:space="0"/>
            </w:tcBorders>
            <w:noWrap/>
            <w:vAlign w:val="center"/>
          </w:tcPr>
          <w:p w14:paraId="1229AF12">
            <w:pPr>
              <w:snapToGrid w:val="0"/>
              <w:spacing w:line="440" w:lineRule="exact"/>
              <w:ind w:left="600" w:hanging="480" w:hangingChars="200"/>
              <w:jc w:val="both"/>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（盖章）</w:t>
            </w:r>
          </w:p>
        </w:tc>
      </w:tr>
      <w:tr w14:paraId="58F36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61B8E669">
            <w:pPr>
              <w:keepNext w:val="0"/>
              <w:keepLines w:val="0"/>
              <w:pageBreakBefore w:val="0"/>
              <w:widowControl w:val="0"/>
              <w:kinsoku/>
              <w:wordWrap/>
              <w:overflowPunct/>
              <w:topLinePunct w:val="0"/>
              <w:bidi w:val="0"/>
              <w:adjustRightInd w:val="0"/>
              <w:snapToGrid/>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w w:val="80"/>
                <w:sz w:val="24"/>
                <w:szCs w:val="24"/>
              </w:rPr>
              <w:t>河北省保定市高碑店市张六庄镇祥瑞路1号</w:t>
            </w:r>
          </w:p>
        </w:tc>
        <w:tc>
          <w:tcPr>
            <w:tcW w:w="4881" w:type="dxa"/>
            <w:tcBorders>
              <w:top w:val="single" w:color="000000" w:sz="2" w:space="0"/>
              <w:left w:val="single" w:color="000000" w:sz="4" w:space="0"/>
              <w:bottom w:val="single" w:color="000000" w:sz="2" w:space="0"/>
              <w:right w:val="single" w:color="000000" w:sz="4" w:space="0"/>
            </w:tcBorders>
            <w:noWrap/>
            <w:vAlign w:val="top"/>
          </w:tcPr>
          <w:p w14:paraId="334099AF">
            <w:pPr>
              <w:keepNext w:val="0"/>
              <w:keepLines w:val="0"/>
              <w:pageBreakBefore w:val="0"/>
              <w:widowControl w:val="0"/>
              <w:kinsoku/>
              <w:wordWrap/>
              <w:overflowPunct/>
              <w:topLinePunct w:val="0"/>
              <w:bidi w:val="0"/>
              <w:adjustRightInd w:val="0"/>
              <w:snapToGrid/>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w w:val="80"/>
                <w:sz w:val="24"/>
                <w:szCs w:val="24"/>
                <w:lang w:val="en-US" w:eastAsia="zh-CN"/>
              </w:rPr>
              <w:t xml:space="preserve">  </w:t>
            </w:r>
          </w:p>
        </w:tc>
      </w:tr>
      <w:tr w14:paraId="199E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35039DBA">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rPr>
              <w:t>邮编：07400</w:t>
            </w:r>
            <w:r>
              <w:rPr>
                <w:rFonts w:hint="eastAsia" w:ascii="仿宋" w:hAnsi="仿宋" w:eastAsia="仿宋" w:cs="仿宋"/>
                <w:sz w:val="24"/>
                <w:szCs w:val="24"/>
                <w:lang w:val="en-US" w:eastAsia="zh-CN"/>
              </w:rPr>
              <w:t>3</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26245F68">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rPr>
              <w:t>邮编：</w:t>
            </w:r>
            <w:r>
              <w:rPr>
                <w:rFonts w:hint="eastAsia" w:ascii="仿宋" w:hAnsi="仿宋" w:eastAsia="仿宋" w:cs="仿宋"/>
                <w:sz w:val="24"/>
                <w:szCs w:val="24"/>
                <w:lang w:val="en-US" w:eastAsia="zh-CN"/>
              </w:rPr>
              <w:t xml:space="preserve"> </w:t>
            </w:r>
          </w:p>
        </w:tc>
      </w:tr>
      <w:tr w14:paraId="1E6D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1D05B3F0">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法定代表人</w:t>
            </w:r>
          </w:p>
          <w:p w14:paraId="49F1B2AA">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 xml:space="preserve">或授权代表人（签字）： </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7FCC04D9">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法定代表人</w:t>
            </w:r>
          </w:p>
          <w:p w14:paraId="6C8D85DF">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或授权代表人（签字）：</w:t>
            </w:r>
          </w:p>
        </w:tc>
      </w:tr>
      <w:tr w14:paraId="7DD0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7BF1FF05">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电话：0312-6556300</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1E5D2A4D">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电话</w:t>
            </w:r>
            <w:r>
              <w:rPr>
                <w:rFonts w:hint="eastAsia" w:ascii="仿宋" w:hAnsi="仿宋" w:eastAsia="仿宋" w:cs="仿宋"/>
                <w:sz w:val="24"/>
                <w:szCs w:val="24"/>
                <w:lang w:eastAsia="zh-CN"/>
              </w:rPr>
              <w:t>：</w:t>
            </w:r>
          </w:p>
        </w:tc>
      </w:tr>
      <w:tr w14:paraId="21C4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5ED7E330">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开户行：</w:t>
            </w:r>
            <w:r>
              <w:rPr>
                <w:rFonts w:hint="eastAsia" w:ascii="仿宋" w:hAnsi="仿宋" w:eastAsia="仿宋" w:cs="仿宋"/>
                <w:w w:val="80"/>
                <w:sz w:val="24"/>
                <w:szCs w:val="24"/>
              </w:rPr>
              <w:t>中国建设银行股份有限公司容城支行</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378FAC7A">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开户行：</w:t>
            </w:r>
            <w:r>
              <w:rPr>
                <w:rFonts w:hint="eastAsia" w:ascii="仿宋" w:hAnsi="仿宋" w:eastAsia="仿宋" w:cs="仿宋"/>
                <w:w w:val="80"/>
                <w:sz w:val="24"/>
                <w:szCs w:val="24"/>
                <w:lang w:val="en-US" w:eastAsia="zh-CN"/>
              </w:rPr>
              <w:t xml:space="preserve"> </w:t>
            </w:r>
          </w:p>
        </w:tc>
      </w:tr>
      <w:tr w14:paraId="20FB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0744AC4D">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lang w:val="en-US" w:eastAsia="zh-CN"/>
              </w:rPr>
              <w:t>账号</w:t>
            </w:r>
            <w:r>
              <w:rPr>
                <w:rFonts w:hint="eastAsia" w:ascii="仿宋" w:hAnsi="仿宋" w:eastAsia="仿宋" w:cs="仿宋"/>
                <w:sz w:val="24"/>
                <w:szCs w:val="24"/>
              </w:rPr>
              <w:t>：1305 0166 8508 0000 5637</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349460B2">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p>
        </w:tc>
      </w:tr>
      <w:tr w14:paraId="5D43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6000D236">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税号：9113 0684 MABR 9BAD 0E</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28501BB6">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税号：</w:t>
            </w:r>
            <w:r>
              <w:rPr>
                <w:rFonts w:hint="eastAsia" w:ascii="仿宋" w:hAnsi="仿宋" w:eastAsia="仿宋" w:cs="仿宋"/>
                <w:sz w:val="24"/>
                <w:szCs w:val="24"/>
                <w:lang w:val="en-US" w:eastAsia="zh-CN"/>
              </w:rPr>
              <w:t xml:space="preserve"> </w:t>
            </w:r>
          </w:p>
        </w:tc>
      </w:tr>
      <w:tr w14:paraId="5C6F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31803B34">
            <w:pPr>
              <w:snapToGrid w:val="0"/>
              <w:spacing w:line="440" w:lineRule="exact"/>
              <w:ind w:left="480" w:leftChars="0" w:hanging="480" w:hanging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签订日期：     年    月    日</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4F0FD430">
            <w:pPr>
              <w:snapToGrid w:val="0"/>
              <w:spacing w:line="440" w:lineRule="exact"/>
              <w:ind w:left="480" w:leftChars="0" w:hanging="480" w:hanging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签订日期：     年    月    日</w:t>
            </w:r>
          </w:p>
        </w:tc>
      </w:tr>
    </w:tbl>
    <w:p w14:paraId="17428F5B">
      <w:pPr>
        <w:pStyle w:val="20"/>
        <w:rPr>
          <w:rFonts w:hint="eastAsia"/>
          <w:lang w:val="en-US" w:eastAsia="zh-CN"/>
        </w:rPr>
      </w:pPr>
    </w:p>
    <w:p w14:paraId="323F3023">
      <w:pPr>
        <w:pStyle w:val="39"/>
        <w:ind w:firstLine="480"/>
      </w:pPr>
    </w:p>
    <w:p w14:paraId="6D2AFBAD">
      <w:pPr>
        <w:rPr>
          <w:rFonts w:ascii="宋体" w:hAnsi="宋体"/>
        </w:rPr>
      </w:pPr>
    </w:p>
    <w:p w14:paraId="4F5CE220">
      <w:pPr>
        <w:pStyle w:val="108"/>
        <w:rPr>
          <w:rFonts w:ascii="宋体" w:hAnsi="宋体" w:eastAsia="宋体"/>
        </w:rPr>
      </w:pPr>
      <w:bookmarkStart w:id="436" w:name="_Hlk138879262"/>
    </w:p>
    <w:p w14:paraId="5185EF2F">
      <w:pPr>
        <w:pStyle w:val="108"/>
        <w:rPr>
          <w:rFonts w:ascii="宋体" w:hAnsi="宋体" w:eastAsia="宋体"/>
        </w:rPr>
      </w:pPr>
    </w:p>
    <w:p w14:paraId="0804A7D9">
      <w:pPr>
        <w:pStyle w:val="108"/>
        <w:rPr>
          <w:rFonts w:ascii="宋体" w:hAnsi="宋体" w:eastAsia="宋体"/>
        </w:rPr>
      </w:pPr>
    </w:p>
    <w:p w14:paraId="657A2A30">
      <w:pPr>
        <w:pStyle w:val="108"/>
        <w:rPr>
          <w:rFonts w:ascii="宋体" w:hAnsi="宋体" w:eastAsia="宋体"/>
        </w:rPr>
      </w:pPr>
    </w:p>
    <w:p w14:paraId="5630F83C">
      <w:pPr>
        <w:pStyle w:val="108"/>
        <w:rPr>
          <w:rFonts w:ascii="宋体" w:hAnsi="宋体" w:eastAsia="宋体"/>
        </w:rPr>
      </w:pPr>
    </w:p>
    <w:p w14:paraId="4634F88C">
      <w:pPr>
        <w:pStyle w:val="108"/>
        <w:rPr>
          <w:rFonts w:ascii="宋体" w:hAnsi="宋体" w:eastAsia="宋体"/>
        </w:rPr>
      </w:pPr>
    </w:p>
    <w:p w14:paraId="7B52B0E1">
      <w:pPr>
        <w:pStyle w:val="108"/>
        <w:rPr>
          <w:rFonts w:ascii="宋体" w:hAnsi="宋体" w:eastAsia="宋体"/>
        </w:rPr>
      </w:pPr>
    </w:p>
    <w:p w14:paraId="654F924E">
      <w:pPr>
        <w:pStyle w:val="108"/>
        <w:rPr>
          <w:rFonts w:ascii="宋体" w:hAnsi="宋体" w:eastAsia="宋体"/>
        </w:rPr>
      </w:pPr>
    </w:p>
    <w:p w14:paraId="01E3A488">
      <w:pPr>
        <w:pStyle w:val="108"/>
        <w:rPr>
          <w:rFonts w:ascii="宋体" w:hAnsi="宋体" w:eastAsia="宋体"/>
        </w:rPr>
      </w:pPr>
    </w:p>
    <w:bookmarkEnd w:id="436"/>
    <w:p w14:paraId="472C31B5">
      <w:pPr>
        <w:pStyle w:val="2"/>
        <w:jc w:val="center"/>
        <w:rPr>
          <w:rFonts w:ascii="宋体" w:hAnsi="宋体"/>
        </w:rPr>
      </w:pPr>
      <w:bookmarkStart w:id="437" w:name="_Toc149140268"/>
    </w:p>
    <w:p w14:paraId="15F6A40B">
      <w:pPr>
        <w:pStyle w:val="2"/>
        <w:jc w:val="center"/>
        <w:rPr>
          <w:rFonts w:ascii="宋体" w:hAnsi="宋体"/>
        </w:rPr>
      </w:pPr>
    </w:p>
    <w:p w14:paraId="4F712679">
      <w:pPr>
        <w:pStyle w:val="2"/>
        <w:jc w:val="center"/>
        <w:rPr>
          <w:rFonts w:ascii="宋体" w:hAnsi="宋体"/>
        </w:rPr>
      </w:pPr>
    </w:p>
    <w:p w14:paraId="1532A678">
      <w:pPr>
        <w:pStyle w:val="2"/>
        <w:jc w:val="center"/>
        <w:rPr>
          <w:rFonts w:ascii="宋体" w:hAnsi="宋体"/>
        </w:rPr>
      </w:pPr>
      <w:r>
        <w:rPr>
          <w:rFonts w:ascii="宋体" w:hAnsi="宋体"/>
        </w:rPr>
        <w:t>第五章 采购需求</w:t>
      </w:r>
      <w:bookmarkEnd w:id="434"/>
      <w:bookmarkEnd w:id="437"/>
    </w:p>
    <w:bookmarkEnd w:id="435"/>
    <w:p w14:paraId="6FE9BFD5">
      <w:pPr>
        <w:spacing w:before="36"/>
        <w:ind w:right="843"/>
        <w:rPr>
          <w:rFonts w:ascii="宋体" w:hAnsi="宋体"/>
          <w:b/>
          <w:bCs/>
          <w:sz w:val="46"/>
        </w:rPr>
      </w:pPr>
    </w:p>
    <w:p w14:paraId="3A9CE4FA">
      <w:pPr>
        <w:spacing w:before="36"/>
        <w:ind w:right="843"/>
        <w:rPr>
          <w:rFonts w:ascii="宋体" w:hAnsi="宋体"/>
          <w:b/>
          <w:bCs/>
          <w:sz w:val="46"/>
        </w:rPr>
      </w:pPr>
    </w:p>
    <w:p w14:paraId="530C04F2">
      <w:pPr>
        <w:jc w:val="center"/>
        <w:rPr>
          <w:rFonts w:ascii="宋体" w:hAnsi="宋体"/>
        </w:rPr>
      </w:pPr>
      <w:r>
        <w:rPr>
          <w:rFonts w:ascii="宋体" w:hAnsi="宋体"/>
          <w:b/>
          <w:bCs/>
          <w:sz w:val="32"/>
          <w:szCs w:val="32"/>
        </w:rPr>
        <w:br w:type="page"/>
      </w:r>
      <w:bookmarkStart w:id="438" w:name="_第六章_响应文件格式"/>
      <w:bookmarkStart w:id="439" w:name="_Toc48146153"/>
    </w:p>
    <w:p w14:paraId="58B7A5A5">
      <w:pPr>
        <w:widowControl/>
        <w:spacing w:before="260" w:after="260"/>
        <w:outlineLvl w:val="1"/>
        <w:rPr>
          <w:rFonts w:eastAsia="黑体"/>
          <w:b/>
          <w:spacing w:val="1"/>
          <w:kern w:val="0"/>
          <w:sz w:val="28"/>
          <w:szCs w:val="28"/>
        </w:rPr>
      </w:pPr>
      <w:bookmarkStart w:id="440" w:name="_Hlk138874965"/>
      <w:r>
        <w:rPr>
          <w:rFonts w:hint="eastAsia" w:eastAsia="黑体"/>
          <w:b/>
          <w:spacing w:val="1"/>
          <w:kern w:val="0"/>
          <w:sz w:val="28"/>
          <w:szCs w:val="28"/>
          <w:lang w:val="en-US" w:eastAsia="zh-CN"/>
        </w:rPr>
        <w:t>一、</w:t>
      </w:r>
      <w:r>
        <w:rPr>
          <w:rFonts w:eastAsia="黑体"/>
          <w:b/>
          <w:spacing w:val="1"/>
          <w:kern w:val="0"/>
          <w:sz w:val="28"/>
          <w:szCs w:val="28"/>
        </w:rPr>
        <w:t>采购项目简介</w:t>
      </w:r>
    </w:p>
    <w:p w14:paraId="67A06BC3">
      <w:pPr>
        <w:spacing w:line="400" w:lineRule="exact"/>
        <w:ind w:firstLine="422" w:firstLineChars="200"/>
        <w:rPr>
          <w:rFonts w:hint="eastAsia" w:ascii="宋体" w:hAnsi="宋体" w:eastAsia="宋体"/>
          <w:szCs w:val="21"/>
          <w:lang w:eastAsia="zh-CN"/>
        </w:rPr>
      </w:pPr>
      <w:r>
        <w:rPr>
          <w:b/>
          <w:bCs/>
        </w:rPr>
        <w:t>1</w:t>
      </w:r>
      <w:r>
        <w:rPr>
          <w:rFonts w:ascii="宋体" w:hAnsi="宋体"/>
          <w:b/>
          <w:bCs/>
        </w:rPr>
        <w:t>.</w:t>
      </w:r>
      <w:r>
        <w:rPr>
          <w:b/>
          <w:bCs/>
        </w:rPr>
        <w:t>1</w:t>
      </w:r>
      <w:r>
        <w:rPr>
          <w:rFonts w:ascii="宋体" w:hAnsi="宋体"/>
          <w:szCs w:val="21"/>
        </w:rPr>
        <w:tab/>
      </w:r>
      <w:r>
        <w:rPr>
          <w:rFonts w:ascii="宋体" w:hAnsi="宋体"/>
          <w:szCs w:val="21"/>
        </w:rPr>
        <w:t>采购项目名称：</w:t>
      </w:r>
      <w:r>
        <w:rPr>
          <w:rFonts w:hint="eastAsia" w:ascii="宋体" w:hAnsi="宋体"/>
          <w:szCs w:val="21"/>
          <w:u w:val="single"/>
          <w:lang w:eastAsia="zh-CN"/>
        </w:rPr>
        <w:t>河北交投绿色建材有限公司2026年度经营生产用原材料供应商入库</w:t>
      </w:r>
    </w:p>
    <w:p w14:paraId="5B01E108">
      <w:pPr>
        <w:spacing w:line="400" w:lineRule="exact"/>
        <w:ind w:firstLine="422" w:firstLineChars="200"/>
        <w:rPr>
          <w:rFonts w:ascii="宋体" w:hAnsi="宋体"/>
          <w:szCs w:val="21"/>
        </w:rPr>
      </w:pPr>
      <w:r>
        <w:rPr>
          <w:b/>
          <w:bCs/>
        </w:rPr>
        <w:t>1</w:t>
      </w:r>
      <w:r>
        <w:rPr>
          <w:rFonts w:ascii="宋体" w:hAnsi="宋体"/>
          <w:b/>
          <w:bCs/>
        </w:rPr>
        <w:t>.</w:t>
      </w:r>
      <w:r>
        <w:rPr>
          <w:b/>
          <w:bCs/>
        </w:rPr>
        <w:t>2</w:t>
      </w:r>
      <w:r>
        <w:rPr>
          <w:rFonts w:ascii="宋体" w:hAnsi="宋体"/>
          <w:szCs w:val="21"/>
        </w:rPr>
        <w:tab/>
      </w:r>
      <w:r>
        <w:rPr>
          <w:rFonts w:ascii="宋体" w:hAnsi="宋体"/>
          <w:szCs w:val="21"/>
        </w:rPr>
        <w:t>采购人：</w:t>
      </w:r>
      <w:r>
        <w:rPr>
          <w:rFonts w:hint="eastAsia" w:eastAsiaTheme="minorEastAsia"/>
          <w:szCs w:val="21"/>
          <w:u w:val="single"/>
        </w:rPr>
        <w:t>河北交投绿色建材有限公司</w:t>
      </w:r>
    </w:p>
    <w:p w14:paraId="30507E8D">
      <w:pPr>
        <w:spacing w:line="400" w:lineRule="exact"/>
        <w:ind w:firstLine="422" w:firstLineChars="200"/>
        <w:rPr>
          <w:rFonts w:ascii="宋体" w:hAnsi="宋体"/>
          <w:szCs w:val="21"/>
        </w:rPr>
      </w:pPr>
      <w:r>
        <w:rPr>
          <w:b/>
          <w:bCs/>
        </w:rPr>
        <w:t>1</w:t>
      </w:r>
      <w:r>
        <w:rPr>
          <w:rFonts w:ascii="宋体" w:hAnsi="宋体"/>
          <w:b/>
          <w:bCs/>
        </w:rPr>
        <w:t>.</w:t>
      </w:r>
      <w:r>
        <w:rPr>
          <w:b/>
          <w:bCs/>
        </w:rPr>
        <w:t>3</w:t>
      </w:r>
      <w:r>
        <w:rPr>
          <w:rFonts w:ascii="宋体" w:hAnsi="宋体"/>
          <w:szCs w:val="21"/>
        </w:rPr>
        <w:tab/>
      </w:r>
      <w:r>
        <w:rPr>
          <w:rFonts w:ascii="宋体" w:hAnsi="宋体"/>
          <w:szCs w:val="21"/>
        </w:rPr>
        <w:t>采购代理机构：</w:t>
      </w:r>
      <w:r>
        <w:rPr>
          <w:rFonts w:hint="eastAsia" w:eastAsiaTheme="minorEastAsia"/>
          <w:szCs w:val="21"/>
          <w:u w:val="single"/>
        </w:rPr>
        <w:t>河北雄安交投工程咨询有限公司</w:t>
      </w:r>
    </w:p>
    <w:p w14:paraId="05888117">
      <w:pPr>
        <w:spacing w:line="400" w:lineRule="exact"/>
        <w:ind w:firstLine="422" w:firstLineChars="200"/>
        <w:rPr>
          <w:rFonts w:hint="eastAsia" w:ascii="宋体" w:hAnsi="宋体" w:eastAsia="宋体"/>
          <w:szCs w:val="21"/>
          <w:u w:val="single"/>
          <w:lang w:eastAsia="zh-CN"/>
        </w:rPr>
      </w:pPr>
      <w:r>
        <w:rPr>
          <w:b/>
          <w:bCs/>
        </w:rPr>
        <w:t>1</w:t>
      </w:r>
      <w:r>
        <w:rPr>
          <w:rFonts w:ascii="宋体" w:hAnsi="宋体"/>
          <w:b/>
          <w:bCs/>
        </w:rPr>
        <w:t>.</w:t>
      </w:r>
      <w:r>
        <w:rPr>
          <w:b/>
          <w:bCs/>
        </w:rPr>
        <w:t>4</w:t>
      </w:r>
      <w:r>
        <w:rPr>
          <w:rFonts w:ascii="宋体" w:hAnsi="宋体"/>
          <w:szCs w:val="21"/>
        </w:rPr>
        <w:t xml:space="preserve"> 采购项目概况：</w:t>
      </w:r>
      <w:r>
        <w:rPr>
          <w:rFonts w:hint="eastAsia" w:eastAsiaTheme="minorEastAsia"/>
          <w:szCs w:val="21"/>
          <w:u w:val="single"/>
          <w:lang w:eastAsia="zh-CN"/>
        </w:rPr>
        <w:t>为满足公司运营生产经营生产用原材料的使用，现通过框架协议的采购方式建立供应商库，以减少中间流通环节，降低采购成本。</w:t>
      </w:r>
    </w:p>
    <w:p w14:paraId="64AEC78E">
      <w:pPr>
        <w:widowControl/>
        <w:spacing w:before="260" w:after="260"/>
        <w:outlineLvl w:val="1"/>
        <w:rPr>
          <w:rFonts w:eastAsia="黑体"/>
          <w:b/>
          <w:spacing w:val="1"/>
          <w:kern w:val="0"/>
          <w:sz w:val="28"/>
          <w:szCs w:val="28"/>
        </w:rPr>
      </w:pPr>
      <w:r>
        <w:rPr>
          <w:rFonts w:hint="eastAsia" w:eastAsia="黑体"/>
          <w:b/>
          <w:spacing w:val="1"/>
          <w:kern w:val="0"/>
          <w:sz w:val="28"/>
          <w:szCs w:val="28"/>
          <w:lang w:val="en-US" w:eastAsia="zh-CN"/>
        </w:rPr>
        <w:t>二、</w:t>
      </w:r>
      <w:r>
        <w:rPr>
          <w:rFonts w:eastAsia="黑体"/>
          <w:b/>
          <w:spacing w:val="1"/>
          <w:kern w:val="0"/>
          <w:sz w:val="28"/>
          <w:szCs w:val="28"/>
        </w:rPr>
        <w:t>采购范围及相关要求</w:t>
      </w:r>
    </w:p>
    <w:p w14:paraId="0921EE48">
      <w:pPr>
        <w:pageBreakBefore w:val="0"/>
        <w:widowControl w:val="0"/>
        <w:kinsoku/>
        <w:wordWrap/>
        <w:overflowPunct/>
        <w:topLinePunct w:val="0"/>
        <w:autoSpaceDE/>
        <w:autoSpaceDN/>
        <w:bidi w:val="0"/>
        <w:adjustRightInd/>
        <w:snapToGrid/>
        <w:spacing w:line="400" w:lineRule="exact"/>
        <w:ind w:firstLine="422" w:firstLineChars="200"/>
        <w:textAlignment w:val="auto"/>
      </w:pPr>
      <w:r>
        <w:rPr>
          <w:b/>
          <w:bCs/>
        </w:rPr>
        <w:t>2</w:t>
      </w:r>
      <w:r>
        <w:rPr>
          <w:rFonts w:ascii="宋体" w:hAnsi="宋体"/>
          <w:b/>
          <w:bCs/>
        </w:rPr>
        <w:t>.</w:t>
      </w:r>
      <w:r>
        <w:rPr>
          <w:b/>
          <w:bCs/>
        </w:rPr>
        <w:t>1</w:t>
      </w:r>
      <w:r>
        <w:rPr>
          <w:rFonts w:ascii="宋体" w:hAnsi="宋体"/>
        </w:rPr>
        <w:t xml:space="preserve"> 采购范围：</w:t>
      </w:r>
      <w:r>
        <w:rPr>
          <w:rFonts w:hint="eastAsia" w:ascii="宋体" w:hAnsi="宋体"/>
          <w:u w:val="single"/>
        </w:rPr>
        <w:t>本次采购为</w:t>
      </w:r>
      <w:r>
        <w:rPr>
          <w:rFonts w:hint="eastAsia" w:ascii="宋体" w:hAnsi="宋体"/>
          <w:szCs w:val="21"/>
          <w:u w:val="single"/>
          <w:lang w:eastAsia="zh-CN"/>
        </w:rPr>
        <w:t>河北交投绿色建材有限公司2026年度经营生产用原材料供应商入库</w:t>
      </w:r>
      <w:r>
        <w:rPr>
          <w:rFonts w:hint="eastAsia" w:ascii="宋体" w:hAnsi="宋体"/>
          <w:szCs w:val="21"/>
          <w:u w:val="single"/>
        </w:rPr>
        <w:t>，详见</w:t>
      </w:r>
      <w:r>
        <w:rPr>
          <w:rFonts w:hint="eastAsia" w:ascii="宋体" w:hAnsi="宋体"/>
          <w:szCs w:val="21"/>
          <w:u w:val="single"/>
          <w:lang w:val="en-US" w:eastAsia="zh-CN"/>
        </w:rPr>
        <w:t>附件：</w:t>
      </w:r>
      <w:r>
        <w:rPr>
          <w:rFonts w:hint="eastAsia" w:ascii="宋体" w:hAnsi="宋体"/>
          <w:szCs w:val="21"/>
          <w:u w:val="single"/>
        </w:rPr>
        <w:t>物资采购清单</w:t>
      </w:r>
      <w:r>
        <w:rPr>
          <w:rFonts w:ascii="宋体" w:hAnsi="宋体"/>
        </w:rPr>
        <w:t>。</w:t>
      </w:r>
    </w:p>
    <w:p w14:paraId="771E1835">
      <w:pPr>
        <w:spacing w:line="400" w:lineRule="exact"/>
        <w:ind w:firstLine="422" w:firstLineChars="200"/>
        <w:rPr>
          <w:rFonts w:hint="eastAsia" w:ascii="宋体" w:hAnsi="宋体" w:eastAsia="宋体"/>
          <w:lang w:eastAsia="zh-CN"/>
        </w:rPr>
      </w:pPr>
      <w:r>
        <w:rPr>
          <w:b/>
          <w:bCs/>
        </w:rPr>
        <w:t>2</w:t>
      </w:r>
      <w:r>
        <w:rPr>
          <w:rFonts w:ascii="宋体" w:hAnsi="宋体"/>
          <w:b/>
          <w:bCs/>
        </w:rPr>
        <w:t>.</w:t>
      </w:r>
      <w:r>
        <w:rPr>
          <w:b/>
          <w:bCs/>
        </w:rPr>
        <w:t>2</w:t>
      </w:r>
      <w:r>
        <w:rPr>
          <w:rFonts w:ascii="宋体" w:hAnsi="宋体"/>
          <w:b/>
          <w:bCs/>
        </w:rPr>
        <w:t xml:space="preserve"> </w:t>
      </w:r>
      <w:r>
        <w:rPr>
          <w:rFonts w:ascii="宋体" w:hAnsi="宋体"/>
        </w:rPr>
        <w:t>标段划分：</w:t>
      </w:r>
      <w:r>
        <w:rPr>
          <w:rFonts w:hint="eastAsia" w:ascii="宋体" w:hAnsi="宋体"/>
          <w:u w:val="single"/>
        </w:rPr>
        <w:t>本项目共</w:t>
      </w:r>
      <w:r>
        <w:rPr>
          <w:rFonts w:hint="eastAsia"/>
          <w:u w:val="single"/>
        </w:rPr>
        <w:t>分为</w:t>
      </w:r>
      <w:r>
        <w:rPr>
          <w:rFonts w:hint="eastAsia"/>
          <w:u w:val="single"/>
          <w:lang w:val="en-US" w:eastAsia="zh-CN"/>
        </w:rPr>
        <w:t>1</w:t>
      </w:r>
      <w:r>
        <w:rPr>
          <w:rFonts w:hint="eastAsia"/>
          <w:u w:val="single"/>
        </w:rPr>
        <w:t>个标段：</w:t>
      </w:r>
      <w:r>
        <w:rPr>
          <w:rFonts w:hint="eastAsia"/>
          <w:u w:val="single"/>
          <w:lang w:val="en-US" w:eastAsia="zh-CN"/>
        </w:rPr>
        <w:t>粉煤灰</w:t>
      </w:r>
      <w:r>
        <w:rPr>
          <w:rFonts w:hint="eastAsia"/>
          <w:u w:val="single"/>
        </w:rPr>
        <w:t>供应商</w:t>
      </w:r>
    </w:p>
    <w:p w14:paraId="53B395FC">
      <w:pPr>
        <w:spacing w:line="400" w:lineRule="exact"/>
        <w:ind w:firstLine="422" w:firstLineChars="200"/>
        <w:rPr>
          <w:rFonts w:ascii="宋体" w:hAnsi="宋体"/>
          <w:b/>
          <w:bCs/>
          <w:highlight w:val="none"/>
        </w:rPr>
      </w:pPr>
      <w:r>
        <w:rPr>
          <w:b/>
          <w:bCs/>
          <w:highlight w:val="none"/>
        </w:rPr>
        <w:t>2</w:t>
      </w:r>
      <w:r>
        <w:rPr>
          <w:rFonts w:ascii="宋体" w:hAnsi="宋体"/>
          <w:b/>
          <w:bCs/>
          <w:highlight w:val="none"/>
        </w:rPr>
        <w:t>.</w:t>
      </w:r>
      <w:r>
        <w:rPr>
          <w:b/>
          <w:bCs/>
          <w:highlight w:val="none"/>
        </w:rPr>
        <w:t>3</w:t>
      </w:r>
      <w:r>
        <w:rPr>
          <w:rFonts w:ascii="宋体" w:hAnsi="宋体"/>
          <w:b/>
          <w:bCs/>
          <w:highlight w:val="none"/>
        </w:rPr>
        <w:t xml:space="preserve"> </w:t>
      </w:r>
      <w:r>
        <w:rPr>
          <w:rFonts w:ascii="宋体" w:hAnsi="宋体"/>
          <w:highlight w:val="none"/>
        </w:rPr>
        <w:t>入围供应商</w:t>
      </w:r>
      <w:r>
        <w:rPr>
          <w:rFonts w:ascii="宋体" w:hAnsi="宋体"/>
          <w:szCs w:val="21"/>
          <w:highlight w:val="none"/>
        </w:rPr>
        <w:t>数</w:t>
      </w:r>
      <w:r>
        <w:rPr>
          <w:rFonts w:ascii="宋体" w:hAnsi="宋体"/>
          <w:highlight w:val="none"/>
        </w:rPr>
        <w:t>量：</w:t>
      </w:r>
      <w:r>
        <w:rPr>
          <w:rFonts w:hint="eastAsia" w:ascii="宋体" w:hAnsi="宋体"/>
          <w:highlight w:val="none"/>
          <w:u w:val="single"/>
        </w:rPr>
        <w:t>1-</w:t>
      </w:r>
      <w:r>
        <w:rPr>
          <w:rFonts w:hint="eastAsia" w:ascii="宋体" w:hAnsi="宋体"/>
          <w:highlight w:val="none"/>
          <w:u w:val="single"/>
          <w:lang w:val="en-US" w:eastAsia="zh-CN"/>
        </w:rPr>
        <w:t>8</w:t>
      </w:r>
      <w:r>
        <w:rPr>
          <w:rFonts w:hint="eastAsia" w:ascii="宋体" w:hAnsi="宋体"/>
          <w:highlight w:val="none"/>
        </w:rPr>
        <w:t>家</w:t>
      </w:r>
    </w:p>
    <w:p w14:paraId="281EC852">
      <w:pPr>
        <w:spacing w:line="400" w:lineRule="exact"/>
        <w:ind w:firstLine="422" w:firstLineChars="200"/>
        <w:rPr>
          <w:rFonts w:ascii="宋体" w:hAnsi="宋体"/>
          <w:highlight w:val="none"/>
        </w:rPr>
      </w:pPr>
      <w:r>
        <w:rPr>
          <w:b/>
          <w:bCs/>
          <w:highlight w:val="none"/>
        </w:rPr>
        <w:t>2</w:t>
      </w:r>
      <w:r>
        <w:rPr>
          <w:rFonts w:ascii="宋体" w:hAnsi="宋体"/>
          <w:b/>
          <w:bCs/>
          <w:highlight w:val="none"/>
        </w:rPr>
        <w:t>.</w:t>
      </w:r>
      <w:r>
        <w:rPr>
          <w:b/>
          <w:bCs/>
          <w:highlight w:val="none"/>
        </w:rPr>
        <w:t>4</w:t>
      </w:r>
      <w:r>
        <w:rPr>
          <w:rFonts w:ascii="宋体" w:hAnsi="宋体"/>
          <w:highlight w:val="none"/>
        </w:rPr>
        <w:t xml:space="preserve"> </w:t>
      </w:r>
      <w:r>
        <w:rPr>
          <w:rFonts w:hint="eastAsia"/>
          <w:highlight w:val="none"/>
        </w:rPr>
        <w:t>供货期限</w:t>
      </w:r>
      <w:r>
        <w:rPr>
          <w:rFonts w:ascii="宋体" w:hAnsi="宋体"/>
          <w:highlight w:val="none"/>
        </w:rPr>
        <w:t>：</w:t>
      </w:r>
      <w:r>
        <w:rPr>
          <w:rFonts w:hint="eastAsia" w:ascii="宋体" w:hAnsi="宋体"/>
          <w:highlight w:val="none"/>
          <w:u w:val="single"/>
        </w:rPr>
        <w:t>自合同签订之日起至202</w:t>
      </w:r>
      <w:r>
        <w:rPr>
          <w:rFonts w:hint="eastAsia" w:ascii="宋体" w:hAnsi="宋体"/>
          <w:highlight w:val="none"/>
          <w:u w:val="single"/>
          <w:lang w:val="en-US" w:eastAsia="zh-CN"/>
        </w:rPr>
        <w:t>7</w:t>
      </w:r>
      <w:r>
        <w:rPr>
          <w:rFonts w:hint="eastAsia" w:ascii="宋体" w:hAnsi="宋体"/>
          <w:highlight w:val="none"/>
          <w:u w:val="single"/>
        </w:rPr>
        <w:t>年</w:t>
      </w:r>
      <w:r>
        <w:rPr>
          <w:rFonts w:hint="eastAsia" w:ascii="宋体" w:hAnsi="宋体"/>
          <w:highlight w:val="none"/>
          <w:u w:val="single"/>
          <w:lang w:val="en-US" w:eastAsia="zh-CN"/>
        </w:rPr>
        <w:t>12</w:t>
      </w:r>
      <w:r>
        <w:rPr>
          <w:rFonts w:hint="eastAsia" w:ascii="宋体" w:hAnsi="宋体"/>
          <w:highlight w:val="none"/>
          <w:u w:val="single"/>
        </w:rPr>
        <w:t>月</w:t>
      </w:r>
      <w:r>
        <w:rPr>
          <w:rFonts w:hint="eastAsia" w:ascii="宋体" w:hAnsi="宋体"/>
          <w:highlight w:val="none"/>
          <w:u w:val="single"/>
          <w:lang w:val="en-US" w:eastAsia="zh-CN"/>
        </w:rPr>
        <w:t>31</w:t>
      </w:r>
      <w:r>
        <w:rPr>
          <w:rFonts w:hint="eastAsia" w:ascii="宋体" w:hAnsi="宋体"/>
          <w:highlight w:val="none"/>
          <w:u w:val="single"/>
        </w:rPr>
        <w:t>日</w:t>
      </w:r>
      <w:r>
        <w:rPr>
          <w:rFonts w:ascii="宋体" w:hAnsi="宋体"/>
          <w:highlight w:val="none"/>
        </w:rPr>
        <w:t>。</w:t>
      </w:r>
    </w:p>
    <w:p w14:paraId="2D95F1C5">
      <w:pPr>
        <w:spacing w:line="400" w:lineRule="exact"/>
        <w:ind w:firstLine="422" w:firstLineChars="200"/>
        <w:rPr>
          <w:rFonts w:ascii="宋体" w:hAnsi="宋体"/>
        </w:rPr>
      </w:pPr>
      <w:r>
        <w:rPr>
          <w:b/>
          <w:bCs/>
        </w:rPr>
        <w:t>2</w:t>
      </w:r>
      <w:r>
        <w:rPr>
          <w:rFonts w:ascii="宋体" w:hAnsi="宋体"/>
          <w:b/>
          <w:bCs/>
        </w:rPr>
        <w:t>.</w:t>
      </w:r>
      <w:r>
        <w:rPr>
          <w:b/>
          <w:bCs/>
        </w:rPr>
        <w:t>5</w:t>
      </w:r>
      <w:r>
        <w:rPr>
          <w:rFonts w:ascii="宋体" w:hAnsi="宋体"/>
        </w:rPr>
        <w:t xml:space="preserve"> </w:t>
      </w:r>
      <w:r>
        <w:rPr>
          <w:rFonts w:hint="eastAsia" w:ascii="宋体" w:hAnsi="宋体"/>
        </w:rPr>
        <w:t>供货地点</w:t>
      </w:r>
      <w:r>
        <w:rPr>
          <w:rFonts w:ascii="宋体" w:hAnsi="宋体"/>
        </w:rPr>
        <w:t>：</w:t>
      </w:r>
      <w:r>
        <w:rPr>
          <w:rFonts w:hint="eastAsia"/>
          <w:u w:val="single"/>
        </w:rPr>
        <w:t>采购人指定地点</w:t>
      </w:r>
      <w:r>
        <w:rPr>
          <w:rFonts w:ascii="宋体" w:hAnsi="宋体"/>
        </w:rPr>
        <w:t>。</w:t>
      </w:r>
    </w:p>
    <w:p w14:paraId="526379D8">
      <w:pPr>
        <w:spacing w:line="400" w:lineRule="exact"/>
        <w:ind w:firstLine="422" w:firstLineChars="200"/>
        <w:rPr>
          <w:rFonts w:ascii="宋体" w:hAnsi="宋体"/>
        </w:rPr>
      </w:pPr>
      <w:r>
        <w:rPr>
          <w:b/>
          <w:bCs/>
        </w:rPr>
        <w:t>2</w:t>
      </w:r>
      <w:r>
        <w:rPr>
          <w:rFonts w:ascii="宋体" w:hAnsi="宋体"/>
          <w:b/>
          <w:bCs/>
        </w:rPr>
        <w:t>.</w:t>
      </w:r>
      <w:r>
        <w:rPr>
          <w:b/>
          <w:bCs/>
        </w:rPr>
        <w:t>6</w:t>
      </w:r>
      <w:r>
        <w:rPr>
          <w:rFonts w:hint="eastAsia"/>
          <w:b/>
          <w:bCs/>
        </w:rPr>
        <w:t xml:space="preserve"> </w:t>
      </w:r>
      <w:r>
        <w:rPr>
          <w:rFonts w:hint="eastAsia"/>
        </w:rPr>
        <w:t>质量标准</w:t>
      </w:r>
      <w:r>
        <w:rPr>
          <w:rFonts w:ascii="宋体" w:hAnsi="宋体"/>
        </w:rPr>
        <w:t>：</w:t>
      </w:r>
      <w:r>
        <w:rPr>
          <w:rFonts w:hint="eastAsia"/>
          <w:u w:val="single"/>
        </w:rPr>
        <w:t>合格</w:t>
      </w:r>
      <w:r>
        <w:rPr>
          <w:rFonts w:ascii="宋体" w:hAnsi="宋体"/>
        </w:rPr>
        <w:t>。</w:t>
      </w:r>
    </w:p>
    <w:p w14:paraId="31871783">
      <w:pPr>
        <w:widowControl/>
        <w:spacing w:before="260" w:after="260"/>
        <w:outlineLvl w:val="1"/>
        <w:rPr>
          <w:rFonts w:ascii="宋体" w:hAnsi="宋体" w:eastAsia="宋体" w:cs="宋体"/>
          <w:sz w:val="21"/>
          <w:szCs w:val="21"/>
          <w:highlight w:val="none"/>
        </w:rPr>
      </w:pPr>
      <w:r>
        <w:rPr>
          <w:rFonts w:hint="eastAsia" w:eastAsia="黑体"/>
          <w:b/>
          <w:spacing w:val="1"/>
          <w:kern w:val="0"/>
          <w:sz w:val="28"/>
          <w:szCs w:val="28"/>
          <w:lang w:val="en-US" w:eastAsia="zh-CN"/>
        </w:rPr>
        <w:t>三、质量标准</w:t>
      </w:r>
    </w:p>
    <w:p w14:paraId="5CE1AAE0">
      <w:pPr>
        <w:pStyle w:val="15"/>
        <w:spacing w:line="279" w:lineRule="auto"/>
        <w:rPr>
          <w:sz w:val="21"/>
          <w:szCs w:val="21"/>
          <w:highlight w:val="none"/>
        </w:rPr>
      </w:pPr>
    </w:p>
    <w:p w14:paraId="2D9F859D">
      <w:pPr>
        <w:spacing w:before="78" w:line="212" w:lineRule="auto"/>
        <w:ind w:left="1945"/>
        <w:rPr>
          <w:rFonts w:ascii="宋体" w:hAnsi="宋体" w:eastAsia="宋体" w:cs="宋体"/>
          <w:sz w:val="21"/>
          <w:szCs w:val="21"/>
          <w:highlight w:val="none"/>
        </w:rPr>
      </w:pPr>
      <w:r>
        <w:rPr>
          <w:rFonts w:ascii="宋体" w:hAnsi="宋体" w:eastAsia="宋体" w:cs="宋体"/>
          <w:spacing w:val="-1"/>
          <w:sz w:val="21"/>
          <w:szCs w:val="21"/>
          <w:highlight w:val="none"/>
        </w:rPr>
        <w:t>（</w:t>
      </w:r>
      <w:r>
        <w:rPr>
          <w:rFonts w:hint="eastAsia" w:ascii="宋体" w:hAnsi="宋体" w:cs="宋体"/>
          <w:spacing w:val="-1"/>
          <w:sz w:val="21"/>
          <w:szCs w:val="21"/>
          <w:highlight w:val="none"/>
          <w:lang w:val="en-US" w:eastAsia="zh-CN"/>
        </w:rPr>
        <w:t>一</w:t>
      </w:r>
      <w:r>
        <w:rPr>
          <w:rFonts w:ascii="宋体" w:hAnsi="宋体" w:eastAsia="宋体" w:cs="宋体"/>
          <w:spacing w:val="-1"/>
          <w:sz w:val="21"/>
          <w:szCs w:val="21"/>
          <w:highlight w:val="none"/>
        </w:rPr>
        <w:t>）粉煤灰检测项目及内控值(GB/T1596-2017)</w:t>
      </w:r>
    </w:p>
    <w:tbl>
      <w:tblPr>
        <w:tblStyle w:val="107"/>
        <w:tblW w:w="8321"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6"/>
        <w:gridCol w:w="2519"/>
        <w:gridCol w:w="4126"/>
      </w:tblGrid>
      <w:tr w14:paraId="0C3AF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676" w:type="dxa"/>
            <w:vAlign w:val="top"/>
          </w:tcPr>
          <w:p w14:paraId="5D372352">
            <w:pPr>
              <w:pStyle w:val="167"/>
              <w:spacing w:before="32" w:line="217" w:lineRule="auto"/>
              <w:ind w:left="494"/>
              <w:rPr>
                <w:sz w:val="21"/>
                <w:szCs w:val="21"/>
                <w:highlight w:val="none"/>
              </w:rPr>
            </w:pPr>
            <w:r>
              <w:rPr>
                <w:spacing w:val="-4"/>
                <w:sz w:val="21"/>
                <w:szCs w:val="21"/>
                <w:highlight w:val="none"/>
              </w:rPr>
              <w:t>名称</w:t>
            </w:r>
          </w:p>
        </w:tc>
        <w:tc>
          <w:tcPr>
            <w:tcW w:w="2519" w:type="dxa"/>
            <w:vAlign w:val="top"/>
          </w:tcPr>
          <w:p w14:paraId="691AE9FB">
            <w:pPr>
              <w:pStyle w:val="167"/>
              <w:spacing w:before="32" w:line="217" w:lineRule="auto"/>
              <w:ind w:left="1028"/>
              <w:rPr>
                <w:sz w:val="21"/>
                <w:szCs w:val="21"/>
                <w:highlight w:val="none"/>
              </w:rPr>
            </w:pPr>
            <w:r>
              <w:rPr>
                <w:spacing w:val="-2"/>
                <w:sz w:val="21"/>
                <w:szCs w:val="21"/>
                <w:highlight w:val="none"/>
              </w:rPr>
              <w:t>检测项目</w:t>
            </w:r>
          </w:p>
        </w:tc>
        <w:tc>
          <w:tcPr>
            <w:tcW w:w="4126" w:type="dxa"/>
            <w:vAlign w:val="top"/>
          </w:tcPr>
          <w:p w14:paraId="3AC981EC">
            <w:pPr>
              <w:pStyle w:val="167"/>
              <w:spacing w:before="32" w:line="217" w:lineRule="auto"/>
              <w:ind w:left="1980"/>
              <w:rPr>
                <w:sz w:val="21"/>
                <w:szCs w:val="21"/>
                <w:highlight w:val="none"/>
              </w:rPr>
            </w:pPr>
            <w:r>
              <w:rPr>
                <w:spacing w:val="-9"/>
                <w:sz w:val="21"/>
                <w:szCs w:val="21"/>
                <w:highlight w:val="none"/>
              </w:rPr>
              <w:t>内控值</w:t>
            </w:r>
          </w:p>
        </w:tc>
      </w:tr>
      <w:tr w14:paraId="49FA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676" w:type="dxa"/>
            <w:vMerge w:val="restart"/>
            <w:tcBorders>
              <w:bottom w:val="nil"/>
            </w:tcBorders>
            <w:vAlign w:val="top"/>
          </w:tcPr>
          <w:p w14:paraId="56CB8D21">
            <w:pPr>
              <w:spacing w:line="246" w:lineRule="auto"/>
              <w:rPr>
                <w:rFonts w:ascii="Arial"/>
                <w:sz w:val="21"/>
                <w:szCs w:val="21"/>
                <w:highlight w:val="none"/>
              </w:rPr>
            </w:pPr>
          </w:p>
          <w:p w14:paraId="47D8CC69">
            <w:pPr>
              <w:spacing w:line="246" w:lineRule="auto"/>
              <w:rPr>
                <w:rFonts w:ascii="Arial"/>
                <w:sz w:val="21"/>
                <w:szCs w:val="21"/>
                <w:highlight w:val="none"/>
              </w:rPr>
            </w:pPr>
          </w:p>
          <w:p w14:paraId="7B0814ED">
            <w:pPr>
              <w:spacing w:line="246" w:lineRule="auto"/>
              <w:rPr>
                <w:rFonts w:ascii="Arial"/>
                <w:sz w:val="21"/>
                <w:szCs w:val="21"/>
                <w:highlight w:val="none"/>
              </w:rPr>
            </w:pPr>
          </w:p>
          <w:p w14:paraId="3ACF24E1">
            <w:pPr>
              <w:spacing w:line="246" w:lineRule="auto"/>
              <w:rPr>
                <w:rFonts w:ascii="Arial"/>
                <w:sz w:val="21"/>
                <w:szCs w:val="21"/>
                <w:highlight w:val="none"/>
              </w:rPr>
            </w:pPr>
          </w:p>
          <w:p w14:paraId="0863DF55">
            <w:pPr>
              <w:spacing w:line="246" w:lineRule="auto"/>
              <w:rPr>
                <w:rFonts w:ascii="Arial"/>
                <w:sz w:val="21"/>
                <w:szCs w:val="21"/>
                <w:highlight w:val="none"/>
              </w:rPr>
            </w:pPr>
          </w:p>
          <w:p w14:paraId="47C13BE2">
            <w:pPr>
              <w:spacing w:line="246" w:lineRule="auto"/>
              <w:rPr>
                <w:rFonts w:ascii="Arial"/>
                <w:sz w:val="21"/>
                <w:szCs w:val="21"/>
                <w:highlight w:val="none"/>
              </w:rPr>
            </w:pPr>
          </w:p>
          <w:p w14:paraId="22567C71">
            <w:pPr>
              <w:spacing w:line="247" w:lineRule="auto"/>
              <w:rPr>
                <w:rFonts w:ascii="Arial"/>
                <w:sz w:val="21"/>
                <w:szCs w:val="21"/>
                <w:highlight w:val="none"/>
              </w:rPr>
            </w:pPr>
          </w:p>
          <w:p w14:paraId="17D4F2DD">
            <w:pPr>
              <w:spacing w:line="247" w:lineRule="auto"/>
              <w:rPr>
                <w:rFonts w:ascii="Arial"/>
                <w:sz w:val="21"/>
                <w:szCs w:val="21"/>
                <w:highlight w:val="none"/>
              </w:rPr>
            </w:pPr>
          </w:p>
          <w:p w14:paraId="003857B3">
            <w:pPr>
              <w:spacing w:line="247" w:lineRule="auto"/>
              <w:rPr>
                <w:rFonts w:ascii="Arial"/>
                <w:sz w:val="21"/>
                <w:szCs w:val="21"/>
                <w:highlight w:val="none"/>
              </w:rPr>
            </w:pPr>
          </w:p>
          <w:p w14:paraId="4439DF5D">
            <w:pPr>
              <w:pStyle w:val="167"/>
              <w:spacing w:before="78" w:line="220" w:lineRule="auto"/>
              <w:ind w:left="68"/>
              <w:rPr>
                <w:sz w:val="21"/>
                <w:szCs w:val="21"/>
                <w:highlight w:val="none"/>
              </w:rPr>
            </w:pPr>
            <w:r>
              <w:rPr>
                <w:spacing w:val="-2"/>
                <w:sz w:val="21"/>
                <w:szCs w:val="21"/>
                <w:highlight w:val="none"/>
              </w:rPr>
              <w:t>粉煤灰F类</w:t>
            </w:r>
          </w:p>
        </w:tc>
        <w:tc>
          <w:tcPr>
            <w:tcW w:w="2519" w:type="dxa"/>
            <w:vMerge w:val="restart"/>
            <w:tcBorders>
              <w:bottom w:val="nil"/>
            </w:tcBorders>
            <w:vAlign w:val="top"/>
          </w:tcPr>
          <w:p w14:paraId="4C2592F3">
            <w:pPr>
              <w:pStyle w:val="167"/>
              <w:spacing w:before="279" w:line="220" w:lineRule="auto"/>
              <w:ind w:left="722"/>
              <w:rPr>
                <w:sz w:val="21"/>
                <w:szCs w:val="21"/>
                <w:highlight w:val="none"/>
              </w:rPr>
            </w:pPr>
            <w:r>
              <w:rPr>
                <w:spacing w:val="-3"/>
                <w:sz w:val="21"/>
                <w:szCs w:val="21"/>
                <w:highlight w:val="none"/>
              </w:rPr>
              <w:t>细度（%）</w:t>
            </w:r>
          </w:p>
        </w:tc>
        <w:tc>
          <w:tcPr>
            <w:tcW w:w="4126" w:type="dxa"/>
            <w:vAlign w:val="top"/>
          </w:tcPr>
          <w:p w14:paraId="117A9917">
            <w:pPr>
              <w:pStyle w:val="167"/>
              <w:spacing w:before="24" w:line="214" w:lineRule="auto"/>
              <w:ind w:left="829"/>
              <w:rPr>
                <w:sz w:val="21"/>
                <w:szCs w:val="21"/>
                <w:highlight w:val="none"/>
              </w:rPr>
            </w:pPr>
            <w:r>
              <w:rPr>
                <w:spacing w:val="-13"/>
                <w:sz w:val="21"/>
                <w:szCs w:val="21"/>
                <w:highlight w:val="none"/>
              </w:rPr>
              <w:t>Ⅰ级≤12.0</w:t>
            </w:r>
          </w:p>
        </w:tc>
      </w:tr>
      <w:tr w14:paraId="0EFBD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676" w:type="dxa"/>
            <w:vMerge w:val="continue"/>
            <w:tcBorders>
              <w:top w:val="nil"/>
              <w:bottom w:val="nil"/>
            </w:tcBorders>
            <w:vAlign w:val="top"/>
          </w:tcPr>
          <w:p w14:paraId="1FF5B752">
            <w:pPr>
              <w:rPr>
                <w:rFonts w:ascii="Arial"/>
                <w:sz w:val="21"/>
                <w:szCs w:val="21"/>
                <w:highlight w:val="none"/>
              </w:rPr>
            </w:pPr>
          </w:p>
        </w:tc>
        <w:tc>
          <w:tcPr>
            <w:tcW w:w="2519" w:type="dxa"/>
            <w:vMerge w:val="continue"/>
            <w:tcBorders>
              <w:top w:val="nil"/>
            </w:tcBorders>
            <w:vAlign w:val="top"/>
          </w:tcPr>
          <w:p w14:paraId="0A2BB061">
            <w:pPr>
              <w:rPr>
                <w:rFonts w:ascii="Arial"/>
                <w:sz w:val="21"/>
                <w:szCs w:val="21"/>
                <w:highlight w:val="none"/>
              </w:rPr>
            </w:pPr>
          </w:p>
        </w:tc>
        <w:tc>
          <w:tcPr>
            <w:tcW w:w="4126" w:type="dxa"/>
            <w:vAlign w:val="top"/>
          </w:tcPr>
          <w:p w14:paraId="180ADFC0">
            <w:pPr>
              <w:pStyle w:val="167"/>
              <w:spacing w:before="28" w:line="215" w:lineRule="auto"/>
              <w:ind w:left="792"/>
              <w:rPr>
                <w:sz w:val="21"/>
                <w:szCs w:val="21"/>
                <w:highlight w:val="none"/>
              </w:rPr>
            </w:pPr>
            <w:r>
              <w:rPr>
                <w:spacing w:val="-8"/>
                <w:sz w:val="21"/>
                <w:szCs w:val="21"/>
                <w:highlight w:val="none"/>
              </w:rPr>
              <w:t>Ⅱ级≤30.0</w:t>
            </w:r>
          </w:p>
        </w:tc>
      </w:tr>
      <w:tr w14:paraId="0DF08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676" w:type="dxa"/>
            <w:vMerge w:val="continue"/>
            <w:tcBorders>
              <w:top w:val="nil"/>
              <w:bottom w:val="nil"/>
            </w:tcBorders>
            <w:vAlign w:val="top"/>
          </w:tcPr>
          <w:p w14:paraId="2BA30228">
            <w:pPr>
              <w:rPr>
                <w:rFonts w:ascii="Arial"/>
                <w:sz w:val="21"/>
                <w:szCs w:val="21"/>
                <w:highlight w:val="none"/>
              </w:rPr>
            </w:pPr>
          </w:p>
        </w:tc>
        <w:tc>
          <w:tcPr>
            <w:tcW w:w="2519" w:type="dxa"/>
            <w:vMerge w:val="restart"/>
            <w:tcBorders>
              <w:bottom w:val="nil"/>
            </w:tcBorders>
            <w:vAlign w:val="top"/>
          </w:tcPr>
          <w:p w14:paraId="7D487A23">
            <w:pPr>
              <w:pStyle w:val="167"/>
              <w:spacing w:before="280" w:line="220" w:lineRule="auto"/>
              <w:ind w:left="494"/>
              <w:rPr>
                <w:sz w:val="21"/>
                <w:szCs w:val="21"/>
                <w:highlight w:val="none"/>
              </w:rPr>
            </w:pPr>
            <w:r>
              <w:rPr>
                <w:spacing w:val="-4"/>
                <w:sz w:val="21"/>
                <w:szCs w:val="21"/>
                <w:highlight w:val="none"/>
              </w:rPr>
              <w:t>需水量比（%）</w:t>
            </w:r>
          </w:p>
        </w:tc>
        <w:tc>
          <w:tcPr>
            <w:tcW w:w="4126" w:type="dxa"/>
            <w:vAlign w:val="top"/>
          </w:tcPr>
          <w:p w14:paraId="410C70D3">
            <w:pPr>
              <w:pStyle w:val="167"/>
              <w:spacing w:before="26" w:line="214" w:lineRule="auto"/>
              <w:ind w:left="949"/>
              <w:rPr>
                <w:sz w:val="21"/>
                <w:szCs w:val="21"/>
                <w:highlight w:val="none"/>
              </w:rPr>
            </w:pPr>
            <w:r>
              <w:rPr>
                <w:spacing w:val="-18"/>
                <w:sz w:val="21"/>
                <w:szCs w:val="21"/>
                <w:highlight w:val="none"/>
              </w:rPr>
              <w:t>Ⅰ级≤95</w:t>
            </w:r>
          </w:p>
        </w:tc>
      </w:tr>
      <w:tr w14:paraId="278C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76" w:type="dxa"/>
            <w:vMerge w:val="continue"/>
            <w:tcBorders>
              <w:top w:val="nil"/>
              <w:bottom w:val="nil"/>
            </w:tcBorders>
            <w:vAlign w:val="top"/>
          </w:tcPr>
          <w:p w14:paraId="73657A21">
            <w:pPr>
              <w:rPr>
                <w:rFonts w:ascii="Arial"/>
                <w:sz w:val="21"/>
                <w:szCs w:val="21"/>
                <w:highlight w:val="none"/>
              </w:rPr>
            </w:pPr>
          </w:p>
        </w:tc>
        <w:tc>
          <w:tcPr>
            <w:tcW w:w="2519" w:type="dxa"/>
            <w:vMerge w:val="continue"/>
            <w:tcBorders>
              <w:top w:val="nil"/>
            </w:tcBorders>
            <w:vAlign w:val="top"/>
          </w:tcPr>
          <w:p w14:paraId="5B7966CA">
            <w:pPr>
              <w:rPr>
                <w:rFonts w:ascii="Arial"/>
                <w:sz w:val="21"/>
                <w:szCs w:val="21"/>
                <w:highlight w:val="none"/>
              </w:rPr>
            </w:pPr>
          </w:p>
        </w:tc>
        <w:tc>
          <w:tcPr>
            <w:tcW w:w="4126" w:type="dxa"/>
            <w:vAlign w:val="top"/>
          </w:tcPr>
          <w:p w14:paraId="270BC08D">
            <w:pPr>
              <w:pStyle w:val="167"/>
              <w:spacing w:before="27" w:line="214" w:lineRule="auto"/>
              <w:ind w:left="852"/>
              <w:rPr>
                <w:sz w:val="21"/>
                <w:szCs w:val="21"/>
                <w:highlight w:val="none"/>
              </w:rPr>
            </w:pPr>
            <w:r>
              <w:rPr>
                <w:spacing w:val="-9"/>
                <w:sz w:val="21"/>
                <w:szCs w:val="21"/>
                <w:highlight w:val="none"/>
              </w:rPr>
              <w:t>Ⅱ级≤105</w:t>
            </w:r>
          </w:p>
        </w:tc>
      </w:tr>
      <w:tr w14:paraId="32F6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76" w:type="dxa"/>
            <w:vMerge w:val="continue"/>
            <w:tcBorders>
              <w:top w:val="nil"/>
              <w:bottom w:val="nil"/>
            </w:tcBorders>
            <w:vAlign w:val="top"/>
          </w:tcPr>
          <w:p w14:paraId="19A3978A">
            <w:pPr>
              <w:rPr>
                <w:rFonts w:ascii="Arial"/>
                <w:sz w:val="21"/>
                <w:szCs w:val="21"/>
                <w:highlight w:val="none"/>
              </w:rPr>
            </w:pPr>
          </w:p>
        </w:tc>
        <w:tc>
          <w:tcPr>
            <w:tcW w:w="2519" w:type="dxa"/>
            <w:vMerge w:val="restart"/>
            <w:tcBorders>
              <w:bottom w:val="nil"/>
            </w:tcBorders>
            <w:vAlign w:val="top"/>
          </w:tcPr>
          <w:p w14:paraId="32256E38">
            <w:pPr>
              <w:pStyle w:val="167"/>
              <w:spacing w:before="282" w:line="219" w:lineRule="auto"/>
              <w:ind w:left="600"/>
              <w:rPr>
                <w:sz w:val="21"/>
                <w:szCs w:val="21"/>
                <w:highlight w:val="none"/>
              </w:rPr>
            </w:pPr>
            <w:r>
              <w:rPr>
                <w:spacing w:val="-2"/>
                <w:sz w:val="21"/>
                <w:szCs w:val="21"/>
                <w:highlight w:val="none"/>
              </w:rPr>
              <w:t>烧失量（%）</w:t>
            </w:r>
          </w:p>
        </w:tc>
        <w:tc>
          <w:tcPr>
            <w:tcW w:w="4126" w:type="dxa"/>
            <w:vAlign w:val="top"/>
          </w:tcPr>
          <w:p w14:paraId="60EF871D">
            <w:pPr>
              <w:pStyle w:val="167"/>
              <w:spacing w:before="27" w:line="214" w:lineRule="auto"/>
              <w:ind w:left="889"/>
              <w:rPr>
                <w:sz w:val="21"/>
                <w:szCs w:val="21"/>
                <w:highlight w:val="none"/>
              </w:rPr>
            </w:pPr>
            <w:r>
              <w:rPr>
                <w:spacing w:val="-15"/>
                <w:sz w:val="21"/>
                <w:szCs w:val="21"/>
                <w:highlight w:val="none"/>
              </w:rPr>
              <w:t>Ⅰ级≤5.0</w:t>
            </w:r>
          </w:p>
        </w:tc>
      </w:tr>
      <w:tr w14:paraId="58514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76" w:type="dxa"/>
            <w:vMerge w:val="continue"/>
            <w:tcBorders>
              <w:top w:val="nil"/>
              <w:bottom w:val="nil"/>
            </w:tcBorders>
            <w:vAlign w:val="top"/>
          </w:tcPr>
          <w:p w14:paraId="36D921A7">
            <w:pPr>
              <w:rPr>
                <w:rFonts w:ascii="Arial"/>
                <w:sz w:val="21"/>
                <w:szCs w:val="21"/>
                <w:highlight w:val="none"/>
              </w:rPr>
            </w:pPr>
          </w:p>
        </w:tc>
        <w:tc>
          <w:tcPr>
            <w:tcW w:w="2519" w:type="dxa"/>
            <w:vMerge w:val="continue"/>
            <w:tcBorders>
              <w:top w:val="nil"/>
            </w:tcBorders>
            <w:vAlign w:val="top"/>
          </w:tcPr>
          <w:p w14:paraId="077CA7B1">
            <w:pPr>
              <w:rPr>
                <w:rFonts w:ascii="Arial"/>
                <w:sz w:val="21"/>
                <w:szCs w:val="21"/>
                <w:highlight w:val="none"/>
              </w:rPr>
            </w:pPr>
          </w:p>
        </w:tc>
        <w:tc>
          <w:tcPr>
            <w:tcW w:w="4126" w:type="dxa"/>
            <w:vAlign w:val="top"/>
          </w:tcPr>
          <w:p w14:paraId="77362473">
            <w:pPr>
              <w:pStyle w:val="167"/>
              <w:spacing w:before="31" w:line="211" w:lineRule="auto"/>
              <w:ind w:left="852"/>
              <w:rPr>
                <w:sz w:val="21"/>
                <w:szCs w:val="21"/>
                <w:highlight w:val="none"/>
              </w:rPr>
            </w:pPr>
            <w:r>
              <w:rPr>
                <w:spacing w:val="-9"/>
                <w:sz w:val="21"/>
                <w:szCs w:val="21"/>
                <w:highlight w:val="none"/>
              </w:rPr>
              <w:t>Ⅱ级≤8.0</w:t>
            </w:r>
          </w:p>
        </w:tc>
      </w:tr>
      <w:tr w14:paraId="5952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676" w:type="dxa"/>
            <w:vMerge w:val="continue"/>
            <w:tcBorders>
              <w:top w:val="nil"/>
              <w:bottom w:val="nil"/>
            </w:tcBorders>
            <w:vAlign w:val="top"/>
          </w:tcPr>
          <w:p w14:paraId="2E755B85">
            <w:pPr>
              <w:rPr>
                <w:rFonts w:ascii="Arial"/>
                <w:sz w:val="21"/>
                <w:szCs w:val="21"/>
                <w:highlight w:val="none"/>
              </w:rPr>
            </w:pPr>
          </w:p>
        </w:tc>
        <w:tc>
          <w:tcPr>
            <w:tcW w:w="2519" w:type="dxa"/>
            <w:vAlign w:val="top"/>
          </w:tcPr>
          <w:p w14:paraId="5E761368">
            <w:pPr>
              <w:pStyle w:val="167"/>
              <w:spacing w:before="41" w:line="205" w:lineRule="auto"/>
              <w:ind w:left="442"/>
              <w:rPr>
                <w:sz w:val="21"/>
                <w:szCs w:val="21"/>
                <w:highlight w:val="none"/>
              </w:rPr>
            </w:pPr>
            <w:r>
              <w:rPr>
                <w:spacing w:val="-2"/>
                <w:sz w:val="21"/>
                <w:szCs w:val="21"/>
                <w:highlight w:val="none"/>
              </w:rPr>
              <w:t>活性指数（%）</w:t>
            </w:r>
          </w:p>
        </w:tc>
        <w:tc>
          <w:tcPr>
            <w:tcW w:w="4126" w:type="dxa"/>
            <w:vAlign w:val="top"/>
          </w:tcPr>
          <w:p w14:paraId="61D3EA7C">
            <w:pPr>
              <w:pStyle w:val="167"/>
              <w:spacing w:before="31" w:line="213" w:lineRule="auto"/>
              <w:ind w:left="1135"/>
              <w:rPr>
                <w:sz w:val="21"/>
                <w:szCs w:val="21"/>
                <w:highlight w:val="none"/>
              </w:rPr>
            </w:pPr>
            <w:r>
              <w:rPr>
                <w:spacing w:val="-9"/>
                <w:sz w:val="21"/>
                <w:szCs w:val="21"/>
                <w:highlight w:val="none"/>
              </w:rPr>
              <w:t>≥70</w:t>
            </w:r>
          </w:p>
        </w:tc>
      </w:tr>
      <w:tr w14:paraId="3A3C4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76" w:type="dxa"/>
            <w:vMerge w:val="continue"/>
            <w:tcBorders>
              <w:top w:val="nil"/>
              <w:bottom w:val="nil"/>
            </w:tcBorders>
            <w:vAlign w:val="top"/>
          </w:tcPr>
          <w:p w14:paraId="7665B03E">
            <w:pPr>
              <w:rPr>
                <w:rFonts w:ascii="Arial"/>
                <w:sz w:val="21"/>
                <w:szCs w:val="21"/>
                <w:highlight w:val="none"/>
              </w:rPr>
            </w:pPr>
          </w:p>
        </w:tc>
        <w:tc>
          <w:tcPr>
            <w:tcW w:w="2519" w:type="dxa"/>
            <w:vAlign w:val="top"/>
          </w:tcPr>
          <w:p w14:paraId="50AAF94C">
            <w:pPr>
              <w:pStyle w:val="167"/>
              <w:spacing w:before="39" w:line="205" w:lineRule="auto"/>
              <w:ind w:left="439"/>
              <w:rPr>
                <w:sz w:val="21"/>
                <w:szCs w:val="21"/>
                <w:highlight w:val="none"/>
              </w:rPr>
            </w:pPr>
            <w:r>
              <w:rPr>
                <w:spacing w:val="-2"/>
                <w:sz w:val="21"/>
                <w:szCs w:val="21"/>
                <w:highlight w:val="none"/>
              </w:rPr>
              <w:t>密度（g/cm3）</w:t>
            </w:r>
          </w:p>
        </w:tc>
        <w:tc>
          <w:tcPr>
            <w:tcW w:w="4126" w:type="dxa"/>
            <w:vAlign w:val="top"/>
          </w:tcPr>
          <w:p w14:paraId="04486A92">
            <w:pPr>
              <w:pStyle w:val="167"/>
              <w:spacing w:before="30" w:line="212" w:lineRule="auto"/>
              <w:ind w:left="1068"/>
              <w:rPr>
                <w:sz w:val="21"/>
                <w:szCs w:val="21"/>
                <w:highlight w:val="none"/>
              </w:rPr>
            </w:pPr>
            <w:r>
              <w:rPr>
                <w:spacing w:val="-7"/>
                <w:sz w:val="21"/>
                <w:szCs w:val="21"/>
                <w:highlight w:val="none"/>
              </w:rPr>
              <w:t>≤2.6</w:t>
            </w:r>
          </w:p>
        </w:tc>
      </w:tr>
      <w:tr w14:paraId="159D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76" w:type="dxa"/>
            <w:vMerge w:val="continue"/>
            <w:tcBorders>
              <w:top w:val="nil"/>
              <w:bottom w:val="nil"/>
            </w:tcBorders>
            <w:vAlign w:val="top"/>
          </w:tcPr>
          <w:p w14:paraId="634A33AC">
            <w:pPr>
              <w:rPr>
                <w:rFonts w:ascii="Arial"/>
                <w:sz w:val="21"/>
                <w:szCs w:val="21"/>
                <w:highlight w:val="none"/>
              </w:rPr>
            </w:pPr>
          </w:p>
        </w:tc>
        <w:tc>
          <w:tcPr>
            <w:tcW w:w="2519" w:type="dxa"/>
            <w:vAlign w:val="top"/>
          </w:tcPr>
          <w:p w14:paraId="1E080105">
            <w:pPr>
              <w:pStyle w:val="167"/>
              <w:spacing w:before="40" w:line="204" w:lineRule="auto"/>
              <w:ind w:left="558"/>
              <w:rPr>
                <w:sz w:val="21"/>
                <w:szCs w:val="21"/>
                <w:highlight w:val="none"/>
              </w:rPr>
            </w:pPr>
            <w:r>
              <w:rPr>
                <w:spacing w:val="-2"/>
                <w:sz w:val="21"/>
                <w:szCs w:val="21"/>
                <w:highlight w:val="none"/>
              </w:rPr>
              <w:t>含水量（%）</w:t>
            </w:r>
          </w:p>
        </w:tc>
        <w:tc>
          <w:tcPr>
            <w:tcW w:w="4126" w:type="dxa"/>
            <w:vAlign w:val="top"/>
          </w:tcPr>
          <w:p w14:paraId="29EEC91D">
            <w:pPr>
              <w:pStyle w:val="167"/>
              <w:spacing w:before="30" w:line="212" w:lineRule="auto"/>
              <w:ind w:left="1068"/>
              <w:rPr>
                <w:sz w:val="21"/>
                <w:szCs w:val="21"/>
                <w:highlight w:val="none"/>
              </w:rPr>
            </w:pPr>
            <w:r>
              <w:rPr>
                <w:spacing w:val="-7"/>
                <w:sz w:val="21"/>
                <w:szCs w:val="21"/>
                <w:highlight w:val="none"/>
              </w:rPr>
              <w:t>≤1.0</w:t>
            </w:r>
          </w:p>
        </w:tc>
      </w:tr>
      <w:tr w14:paraId="72FE8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76" w:type="dxa"/>
            <w:vMerge w:val="continue"/>
            <w:tcBorders>
              <w:top w:val="nil"/>
              <w:bottom w:val="nil"/>
            </w:tcBorders>
            <w:vAlign w:val="top"/>
          </w:tcPr>
          <w:p w14:paraId="3C775837">
            <w:pPr>
              <w:rPr>
                <w:rFonts w:ascii="Arial"/>
                <w:sz w:val="21"/>
                <w:szCs w:val="21"/>
                <w:highlight w:val="none"/>
              </w:rPr>
            </w:pPr>
          </w:p>
        </w:tc>
        <w:tc>
          <w:tcPr>
            <w:tcW w:w="2519" w:type="dxa"/>
            <w:vAlign w:val="top"/>
          </w:tcPr>
          <w:p w14:paraId="2A27716C">
            <w:pPr>
              <w:pStyle w:val="167"/>
              <w:spacing w:before="40" w:line="204" w:lineRule="auto"/>
              <w:ind w:left="78"/>
              <w:rPr>
                <w:sz w:val="21"/>
                <w:szCs w:val="21"/>
                <w:highlight w:val="none"/>
              </w:rPr>
            </w:pPr>
            <w:r>
              <w:rPr>
                <w:spacing w:val="-1"/>
                <w:sz w:val="21"/>
                <w:szCs w:val="21"/>
                <w:highlight w:val="none"/>
              </w:rPr>
              <w:t>游离氧化钙含量（%）</w:t>
            </w:r>
          </w:p>
        </w:tc>
        <w:tc>
          <w:tcPr>
            <w:tcW w:w="4126" w:type="dxa"/>
            <w:vAlign w:val="top"/>
          </w:tcPr>
          <w:p w14:paraId="517EC446">
            <w:pPr>
              <w:pStyle w:val="167"/>
              <w:spacing w:before="31" w:line="211" w:lineRule="auto"/>
              <w:ind w:left="1068"/>
              <w:rPr>
                <w:sz w:val="21"/>
                <w:szCs w:val="21"/>
                <w:highlight w:val="none"/>
              </w:rPr>
            </w:pPr>
            <w:r>
              <w:rPr>
                <w:spacing w:val="-7"/>
                <w:sz w:val="21"/>
                <w:szCs w:val="21"/>
                <w:highlight w:val="none"/>
              </w:rPr>
              <w:t>≤1.0</w:t>
            </w:r>
          </w:p>
        </w:tc>
      </w:tr>
      <w:tr w14:paraId="5E10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76" w:type="dxa"/>
            <w:vMerge w:val="continue"/>
            <w:tcBorders>
              <w:top w:val="nil"/>
              <w:bottom w:val="nil"/>
            </w:tcBorders>
            <w:vAlign w:val="top"/>
          </w:tcPr>
          <w:p w14:paraId="22F93BDD">
            <w:pPr>
              <w:rPr>
                <w:rFonts w:ascii="Arial"/>
                <w:sz w:val="21"/>
                <w:szCs w:val="21"/>
                <w:highlight w:val="none"/>
              </w:rPr>
            </w:pPr>
          </w:p>
        </w:tc>
        <w:tc>
          <w:tcPr>
            <w:tcW w:w="2519" w:type="dxa"/>
            <w:vAlign w:val="top"/>
          </w:tcPr>
          <w:p w14:paraId="3C2AC87E">
            <w:pPr>
              <w:pStyle w:val="167"/>
              <w:spacing w:before="40" w:line="204" w:lineRule="auto"/>
              <w:ind w:left="198"/>
              <w:rPr>
                <w:sz w:val="21"/>
                <w:szCs w:val="21"/>
                <w:highlight w:val="none"/>
              </w:rPr>
            </w:pPr>
            <w:r>
              <w:rPr>
                <w:spacing w:val="-2"/>
                <w:sz w:val="21"/>
                <w:szCs w:val="21"/>
                <w:highlight w:val="none"/>
              </w:rPr>
              <w:t>三氧化硫含量（%）</w:t>
            </w:r>
          </w:p>
        </w:tc>
        <w:tc>
          <w:tcPr>
            <w:tcW w:w="4126" w:type="dxa"/>
            <w:vAlign w:val="top"/>
          </w:tcPr>
          <w:p w14:paraId="7D725128">
            <w:pPr>
              <w:pStyle w:val="167"/>
              <w:spacing w:before="31" w:line="211" w:lineRule="auto"/>
              <w:ind w:left="1068"/>
              <w:rPr>
                <w:sz w:val="21"/>
                <w:szCs w:val="21"/>
                <w:highlight w:val="none"/>
              </w:rPr>
            </w:pPr>
            <w:r>
              <w:rPr>
                <w:spacing w:val="-7"/>
                <w:sz w:val="21"/>
                <w:szCs w:val="21"/>
                <w:highlight w:val="none"/>
              </w:rPr>
              <w:t>≤3.0</w:t>
            </w:r>
          </w:p>
        </w:tc>
      </w:tr>
      <w:tr w14:paraId="2B6CF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676" w:type="dxa"/>
            <w:vMerge w:val="continue"/>
            <w:tcBorders>
              <w:top w:val="nil"/>
              <w:bottom w:val="nil"/>
            </w:tcBorders>
            <w:vAlign w:val="top"/>
          </w:tcPr>
          <w:p w14:paraId="19CC6E07">
            <w:pPr>
              <w:rPr>
                <w:rFonts w:ascii="Arial"/>
                <w:sz w:val="21"/>
                <w:szCs w:val="21"/>
                <w:highlight w:val="none"/>
              </w:rPr>
            </w:pPr>
          </w:p>
        </w:tc>
        <w:tc>
          <w:tcPr>
            <w:tcW w:w="2519" w:type="dxa"/>
            <w:vAlign w:val="top"/>
          </w:tcPr>
          <w:p w14:paraId="3646283B">
            <w:pPr>
              <w:pStyle w:val="167"/>
              <w:spacing w:before="50" w:line="218" w:lineRule="auto"/>
              <w:ind w:left="324" w:right="220" w:hanging="185"/>
              <w:rPr>
                <w:sz w:val="21"/>
                <w:szCs w:val="21"/>
                <w:highlight w:val="none"/>
              </w:rPr>
            </w:pPr>
            <w:r>
              <w:rPr>
                <w:spacing w:val="-1"/>
                <w:sz w:val="21"/>
                <w:szCs w:val="21"/>
                <w:highlight w:val="none"/>
              </w:rPr>
              <w:t>SiO2、Al2O3、Fe2O3</w:t>
            </w:r>
            <w:r>
              <w:rPr>
                <w:spacing w:val="-2"/>
                <w:sz w:val="21"/>
                <w:szCs w:val="21"/>
                <w:highlight w:val="none"/>
              </w:rPr>
              <w:t>总质量分数（%）</w:t>
            </w:r>
          </w:p>
        </w:tc>
        <w:tc>
          <w:tcPr>
            <w:tcW w:w="4126" w:type="dxa"/>
            <w:vAlign w:val="top"/>
          </w:tcPr>
          <w:p w14:paraId="1954F547">
            <w:pPr>
              <w:pStyle w:val="167"/>
              <w:spacing w:before="197" w:line="238" w:lineRule="auto"/>
              <w:ind w:left="1135"/>
              <w:rPr>
                <w:sz w:val="21"/>
                <w:szCs w:val="21"/>
                <w:highlight w:val="none"/>
              </w:rPr>
            </w:pPr>
            <w:r>
              <w:rPr>
                <w:spacing w:val="-9"/>
                <w:sz w:val="21"/>
                <w:szCs w:val="21"/>
                <w:highlight w:val="none"/>
              </w:rPr>
              <w:t>≥70</w:t>
            </w:r>
          </w:p>
        </w:tc>
      </w:tr>
      <w:tr w14:paraId="7309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76" w:type="dxa"/>
            <w:vMerge w:val="continue"/>
            <w:tcBorders>
              <w:top w:val="nil"/>
              <w:bottom w:val="nil"/>
            </w:tcBorders>
            <w:vAlign w:val="top"/>
          </w:tcPr>
          <w:p w14:paraId="53C691F7">
            <w:pPr>
              <w:rPr>
                <w:rFonts w:ascii="Arial"/>
                <w:sz w:val="21"/>
                <w:szCs w:val="21"/>
                <w:highlight w:val="none"/>
              </w:rPr>
            </w:pPr>
          </w:p>
        </w:tc>
        <w:tc>
          <w:tcPr>
            <w:tcW w:w="2519" w:type="dxa"/>
            <w:vMerge w:val="restart"/>
            <w:tcBorders>
              <w:bottom w:val="nil"/>
            </w:tcBorders>
            <w:vAlign w:val="top"/>
          </w:tcPr>
          <w:p w14:paraId="6ACF99EA">
            <w:pPr>
              <w:pStyle w:val="167"/>
              <w:spacing w:before="288" w:line="220" w:lineRule="auto"/>
              <w:ind w:left="858"/>
              <w:rPr>
                <w:sz w:val="21"/>
                <w:szCs w:val="21"/>
                <w:highlight w:val="none"/>
              </w:rPr>
            </w:pPr>
            <w:r>
              <w:rPr>
                <w:spacing w:val="-3"/>
                <w:sz w:val="21"/>
                <w:szCs w:val="21"/>
                <w:highlight w:val="none"/>
              </w:rPr>
              <w:t>放射性</w:t>
            </w:r>
          </w:p>
        </w:tc>
        <w:tc>
          <w:tcPr>
            <w:tcW w:w="4126" w:type="dxa"/>
            <w:vAlign w:val="top"/>
          </w:tcPr>
          <w:p w14:paraId="0570619A">
            <w:pPr>
              <w:pStyle w:val="167"/>
              <w:spacing w:before="32" w:line="210" w:lineRule="auto"/>
              <w:ind w:left="884"/>
              <w:rPr>
                <w:sz w:val="21"/>
                <w:szCs w:val="21"/>
                <w:highlight w:val="none"/>
              </w:rPr>
            </w:pPr>
            <w:r>
              <w:rPr>
                <w:spacing w:val="-4"/>
                <w:sz w:val="21"/>
                <w:szCs w:val="21"/>
                <w:highlight w:val="none"/>
              </w:rPr>
              <w:t>IRa≤1.0</w:t>
            </w:r>
          </w:p>
        </w:tc>
      </w:tr>
      <w:tr w14:paraId="195B3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676" w:type="dxa"/>
            <w:vMerge w:val="continue"/>
            <w:tcBorders>
              <w:top w:val="nil"/>
            </w:tcBorders>
            <w:vAlign w:val="top"/>
          </w:tcPr>
          <w:p w14:paraId="6229568A">
            <w:pPr>
              <w:rPr>
                <w:rFonts w:ascii="Arial"/>
                <w:sz w:val="21"/>
                <w:szCs w:val="21"/>
                <w:highlight w:val="none"/>
              </w:rPr>
            </w:pPr>
          </w:p>
        </w:tc>
        <w:tc>
          <w:tcPr>
            <w:tcW w:w="2519" w:type="dxa"/>
            <w:vMerge w:val="continue"/>
            <w:tcBorders>
              <w:top w:val="nil"/>
            </w:tcBorders>
            <w:vAlign w:val="top"/>
          </w:tcPr>
          <w:p w14:paraId="4D434178">
            <w:pPr>
              <w:rPr>
                <w:rFonts w:ascii="Arial"/>
                <w:sz w:val="21"/>
                <w:szCs w:val="21"/>
                <w:highlight w:val="none"/>
              </w:rPr>
            </w:pPr>
          </w:p>
        </w:tc>
        <w:tc>
          <w:tcPr>
            <w:tcW w:w="4126" w:type="dxa"/>
            <w:vAlign w:val="top"/>
          </w:tcPr>
          <w:p w14:paraId="5609D8AB">
            <w:pPr>
              <w:pStyle w:val="167"/>
              <w:spacing w:before="33" w:line="215" w:lineRule="auto"/>
              <w:ind w:left="944"/>
              <w:rPr>
                <w:sz w:val="21"/>
                <w:szCs w:val="21"/>
                <w:highlight w:val="none"/>
              </w:rPr>
            </w:pPr>
            <w:r>
              <w:rPr>
                <w:spacing w:val="-4"/>
                <w:sz w:val="21"/>
                <w:szCs w:val="21"/>
                <w:highlight w:val="none"/>
              </w:rPr>
              <w:t>Ir≤1.0</w:t>
            </w:r>
          </w:p>
        </w:tc>
      </w:tr>
    </w:tbl>
    <w:p w14:paraId="3946C985">
      <w:pPr>
        <w:spacing w:before="75"/>
        <w:rPr>
          <w:sz w:val="21"/>
          <w:szCs w:val="21"/>
          <w:highlight w:val="none"/>
        </w:rPr>
      </w:pPr>
    </w:p>
    <w:p w14:paraId="1FFC8DD2">
      <w:pPr>
        <w:rPr>
          <w:sz w:val="21"/>
          <w:szCs w:val="21"/>
          <w:highlight w:val="none"/>
        </w:rPr>
        <w:sectPr>
          <w:pgSz w:w="11912" w:h="16841"/>
          <w:pgMar w:top="400" w:right="1397" w:bottom="400" w:left="1786" w:header="0" w:footer="0" w:gutter="0"/>
          <w:cols w:space="720" w:num="1"/>
        </w:sectPr>
      </w:pPr>
    </w:p>
    <w:p w14:paraId="31AB7B78">
      <w:pPr>
        <w:pStyle w:val="15"/>
        <w:rPr>
          <w:sz w:val="21"/>
          <w:szCs w:val="21"/>
          <w:highlight w:val="none"/>
        </w:rPr>
      </w:pPr>
    </w:p>
    <w:p w14:paraId="4D58BE6A">
      <w:pPr>
        <w:pStyle w:val="15"/>
        <w:spacing w:line="256" w:lineRule="auto"/>
        <w:rPr>
          <w:sz w:val="21"/>
          <w:szCs w:val="21"/>
          <w:highlight w:val="none"/>
        </w:rPr>
      </w:pPr>
    </w:p>
    <w:p w14:paraId="65BAEC08">
      <w:pPr>
        <w:pStyle w:val="15"/>
        <w:spacing w:line="257" w:lineRule="auto"/>
        <w:rPr>
          <w:sz w:val="21"/>
          <w:szCs w:val="21"/>
          <w:highlight w:val="none"/>
        </w:rPr>
      </w:pPr>
    </w:p>
    <w:p w14:paraId="20BD8536">
      <w:pPr>
        <w:pStyle w:val="15"/>
        <w:spacing w:line="257" w:lineRule="auto"/>
        <w:rPr>
          <w:sz w:val="21"/>
          <w:szCs w:val="21"/>
          <w:highlight w:val="none"/>
        </w:rPr>
      </w:pPr>
    </w:p>
    <w:p w14:paraId="62D32CF4">
      <w:pPr>
        <w:pStyle w:val="15"/>
        <w:spacing w:line="243" w:lineRule="auto"/>
        <w:rPr>
          <w:sz w:val="21"/>
          <w:szCs w:val="21"/>
          <w:highlight w:val="none"/>
        </w:rPr>
      </w:pPr>
    </w:p>
    <w:p w14:paraId="7DC27655">
      <w:pPr>
        <w:pStyle w:val="15"/>
        <w:spacing w:line="243" w:lineRule="auto"/>
        <w:rPr>
          <w:sz w:val="21"/>
          <w:szCs w:val="21"/>
          <w:highlight w:val="none"/>
        </w:rPr>
      </w:pPr>
    </w:p>
    <w:p w14:paraId="26E38947">
      <w:pPr>
        <w:spacing w:before="78" w:line="220" w:lineRule="auto"/>
        <w:rPr>
          <w:rFonts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四</w:t>
      </w:r>
      <w:r>
        <w:rPr>
          <w:rFonts w:ascii="宋体" w:hAnsi="宋体" w:eastAsia="宋体" w:cs="宋体"/>
          <w:spacing w:val="-2"/>
          <w:sz w:val="21"/>
          <w:szCs w:val="21"/>
          <w:highlight w:val="none"/>
        </w:rPr>
        <w:t>、相关要求</w:t>
      </w:r>
    </w:p>
    <w:p w14:paraId="612A4C28">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乙方为甲方服务的运输车辆使用国六排放标准的重型载货车辆 (含燃气)或新能源车辆的比例不低于80%,其中商品混凝土运输采用纯电动、燃料电池车辆的比例2025年11月1起不低于80%;其他车辆达到国五 排放标准。如甲方现场的充电桩不能满足乙方使用需求，乙方自行协调解决。</w:t>
      </w:r>
    </w:p>
    <w:p w14:paraId="58C78432">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如招标人需要，投标人的运输车辆须配合安装视频监控系统、GPS系统，实现与招标人大数据平台监控系统对接功能。</w:t>
      </w:r>
    </w:p>
    <w:p w14:paraId="07793E3E">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供应商货物运输应实行标载运输，车辆尾气排放须满足环保相关标准。</w:t>
      </w:r>
    </w:p>
    <w:p w14:paraId="45B8A767">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签订合同前，各招标人将按照上述质量标准对投标人提供的样品进行试验检测，或对投标人货源地进行实地考察，如原材出现检测不合格，或样品与货源地不一致，将不予合作。</w:t>
      </w:r>
    </w:p>
    <w:p w14:paraId="551A5E88">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服务期限内，投标人应当严格遵守和执行招标人相关采购管理规定，须无条件参与每一次询价报价，投标人能否获取订单取决于各投标人的竞争报价。因竞争报价、政策调整、招标人自身经营情况变化调整等因素，投标人如在服务期限内未曾获取订单，属于投标人自身原因，投标人承担竞价未果的全部责任，与招标人无关。投标人须按照招标人的要求签订合同并与招标人约定相关权利义务。</w:t>
      </w:r>
    </w:p>
    <w:p w14:paraId="675079A6">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若中标入围供应商库，在后续供货过程中，投标人须全额提供完税证明，若无法全额提供，则招标人有权代扣代缴，税费由投标人承担，招标人有权直接从履约保证金或货款中进行扣减。</w:t>
      </w:r>
    </w:p>
    <w:p w14:paraId="1DF1A993">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计量方法：投标人应严格按照供货要求的质量标准供货，并同意根据招标人的检测结果，承担对该车次货物的拒收或退货，由此造成经济损失全部由投标人承担。当投标方所供货物连续两次或者累积三次达到退货条件时，招标人有权单方解除合同，无须承担违约责任；若送货期为雨季时，投标方应采取有效防雨、防水措施保证产品含水率符合上述要求。</w:t>
      </w:r>
    </w:p>
    <w:p w14:paraId="6F8A5CAF">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保供服务要求</w:t>
      </w:r>
    </w:p>
    <w:p w14:paraId="3A058A5C">
      <w:pPr>
        <w:spacing w:before="184" w:line="359" w:lineRule="auto"/>
        <w:ind w:right="194" w:firstLine="480"/>
        <w:jc w:val="both"/>
        <w:rPr>
          <w:rFonts w:ascii="宋体" w:hAnsi="宋体" w:eastAsia="宋体" w:cs="宋体"/>
          <w:sz w:val="21"/>
          <w:szCs w:val="21"/>
          <w:highlight w:val="none"/>
        </w:rPr>
      </w:pPr>
      <w:r>
        <w:rPr>
          <w:rFonts w:ascii="宋体" w:hAnsi="宋体" w:eastAsia="宋体" w:cs="宋体"/>
          <w:spacing w:val="3"/>
          <w:sz w:val="21"/>
          <w:szCs w:val="21"/>
          <w:highlight w:val="none"/>
        </w:rPr>
        <w:t>根据招标人生产需求或采购计划，中标人保证及时供货。在突发性紧急保供情况下，供应商须快速响应采购需求，经营生产用原材料（水泥、矿粉、粉煤灰、矿粉、膨胀剂和</w:t>
      </w:r>
      <w:r>
        <w:rPr>
          <w:rFonts w:ascii="宋体" w:hAnsi="宋体" w:eastAsia="宋体" w:cs="宋体"/>
          <w:sz w:val="21"/>
          <w:szCs w:val="21"/>
          <w:highlight w:val="none"/>
        </w:rPr>
        <w:t>沥青）应具备 5 小时以内进场的能力，并提供相应的保障方案。优先选用清洁能源车辆，</w:t>
      </w:r>
      <w:r>
        <w:rPr>
          <w:rFonts w:ascii="宋体" w:hAnsi="宋体" w:eastAsia="宋体" w:cs="宋体"/>
          <w:spacing w:val="-2"/>
          <w:sz w:val="21"/>
          <w:szCs w:val="21"/>
          <w:highlight w:val="none"/>
        </w:rPr>
        <w:t>实际所使用运输车辆须符合车辆管理及运输相关规定。</w:t>
      </w:r>
    </w:p>
    <w:p w14:paraId="6696D724">
      <w:pPr>
        <w:numPr>
          <w:ilvl w:val="0"/>
          <w:numId w:val="4"/>
        </w:numPr>
        <w:spacing w:before="182" w:line="289" w:lineRule="auto"/>
        <w:ind w:left="0" w:leftChars="0" w:right="182" w:firstLine="42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送样的参照容器如下图所示：</w:t>
      </w:r>
    </w:p>
    <w:p w14:paraId="6CD19792">
      <w:pPr>
        <w:spacing w:line="219" w:lineRule="auto"/>
        <w:rPr>
          <w:rFonts w:ascii="宋体" w:hAnsi="宋体" w:eastAsia="宋体" w:cs="宋体"/>
          <w:sz w:val="21"/>
          <w:szCs w:val="21"/>
          <w:highlight w:val="none"/>
        </w:rPr>
        <w:sectPr>
          <w:pgSz w:w="11912" w:h="16841"/>
          <w:pgMar w:top="400" w:right="918" w:bottom="400" w:left="1309" w:header="0" w:footer="0" w:gutter="0"/>
          <w:cols w:space="720" w:num="1"/>
        </w:sectPr>
      </w:pPr>
    </w:p>
    <w:p w14:paraId="19D055D7">
      <w:pPr>
        <w:pStyle w:val="15"/>
        <w:spacing w:line="256" w:lineRule="auto"/>
        <w:rPr>
          <w:sz w:val="21"/>
          <w:szCs w:val="21"/>
          <w:highlight w:val="none"/>
        </w:rPr>
      </w:pPr>
    </w:p>
    <w:p w14:paraId="641A810F">
      <w:pPr>
        <w:pStyle w:val="15"/>
        <w:spacing w:line="257" w:lineRule="auto"/>
        <w:rPr>
          <w:sz w:val="21"/>
          <w:szCs w:val="21"/>
          <w:highlight w:val="none"/>
        </w:rPr>
      </w:pPr>
    </w:p>
    <w:p w14:paraId="6EC095F9">
      <w:pPr>
        <w:pStyle w:val="15"/>
        <w:spacing w:line="257" w:lineRule="auto"/>
        <w:rPr>
          <w:sz w:val="21"/>
          <w:szCs w:val="21"/>
          <w:highlight w:val="none"/>
        </w:rPr>
      </w:pPr>
    </w:p>
    <w:p w14:paraId="03E569C4">
      <w:pPr>
        <w:spacing w:before="78" w:line="219" w:lineRule="auto"/>
        <w:rPr>
          <w:rFonts w:ascii="宋体" w:hAnsi="宋体" w:eastAsia="宋体" w:cs="宋体"/>
          <w:sz w:val="21"/>
          <w:szCs w:val="21"/>
          <w:highlight w:val="none"/>
        </w:rPr>
      </w:pPr>
      <w:r>
        <w:rPr>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3680460</wp:posOffset>
                </wp:positionH>
                <wp:positionV relativeFrom="paragraph">
                  <wp:posOffset>704215</wp:posOffset>
                </wp:positionV>
                <wp:extent cx="1751330" cy="22453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51330" cy="2245360"/>
                        </a:xfrm>
                        <a:prstGeom prst="rect">
                          <a:avLst/>
                        </a:prstGeom>
                        <a:noFill/>
                        <a:ln>
                          <a:noFill/>
                        </a:ln>
                      </wps:spPr>
                      <wps:txbx>
                        <w:txbxContent>
                          <w:p w14:paraId="4C947701">
                            <w:pPr>
                              <w:spacing w:line="20" w:lineRule="exact"/>
                            </w:pPr>
                          </w:p>
                          <w:p w14:paraId="15F4CABE">
                            <w:pPr>
                              <w:pStyle w:val="15"/>
                            </w:pPr>
                          </w:p>
                        </w:txbxContent>
                      </wps:txbx>
                      <wps:bodyPr lIns="0" tIns="0" rIns="0" bIns="0" upright="1"/>
                    </wps:wsp>
                  </a:graphicData>
                </a:graphic>
              </wp:anchor>
            </w:drawing>
          </mc:Choice>
          <mc:Fallback>
            <w:pict>
              <v:shape id="_x0000_s1026" o:spid="_x0000_s1026" o:spt="202" type="#_x0000_t202" style="position:absolute;left:0pt;margin-left:289.8pt;margin-top:55.45pt;height:176.8pt;width:137.9pt;z-index:251663360;mso-width-relative:page;mso-height-relative:page;" filled="f" stroked="f" coordsize="21600,21600" o:gfxdata="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aHdraAAAACwEAAA8AAAAAAAAAAQAgAAAAIgAAAGRycy9kb3ducmV2LnhtbFBL&#10;AQIUABQAAAAIAIdO4kDKSyKQuwEAAHMDAAAOAAAAAAAAAAEAIAAAACkBAABkcnMvZTJvRG9jLnht&#10;bFBLBQYAAAAABgAGAFkBAABWBQAAAAA=&#10;">
                <v:fill on="f" focussize="0,0"/>
                <v:stroke on="f"/>
                <v:imagedata o:title=""/>
                <o:lock v:ext="edit" aspectratio="f"/>
                <v:textbox inset="0mm,0mm,0mm,0mm">
                  <w:txbxContent>
                    <w:p w14:paraId="4C947701">
                      <w:pPr>
                        <w:spacing w:line="20" w:lineRule="exact"/>
                      </w:pPr>
                    </w:p>
                    <w:p w14:paraId="15F4CABE">
                      <w:pPr>
                        <w:pStyle w:val="15"/>
                      </w:pPr>
                    </w:p>
                  </w:txbxContent>
                </v:textbox>
              </v:shape>
            </w:pict>
          </mc:Fallback>
        </mc:AlternateContent>
      </w:r>
      <w:r>
        <w:rPr>
          <w:rFonts w:ascii="宋体" w:hAnsi="宋体" w:eastAsia="宋体" w:cs="宋体"/>
          <w:spacing w:val="-3"/>
          <w:sz w:val="21"/>
          <w:szCs w:val="21"/>
          <w:highlight w:val="none"/>
        </w:rPr>
        <w:t>签定采购合同前，投标人送样的参照容器如下图所示：</w:t>
      </w:r>
    </w:p>
    <w:p w14:paraId="33336CC2">
      <w:pPr>
        <w:spacing w:before="4"/>
        <w:rPr>
          <w:sz w:val="21"/>
          <w:szCs w:val="21"/>
          <w:highlight w:val="none"/>
        </w:rPr>
      </w:pPr>
    </w:p>
    <w:p w14:paraId="6FFDAD9C">
      <w:pPr>
        <w:spacing w:before="4"/>
        <w:rPr>
          <w:sz w:val="21"/>
          <w:szCs w:val="21"/>
          <w:highlight w:val="none"/>
        </w:rPr>
      </w:pPr>
    </w:p>
    <w:p w14:paraId="5EEFD002">
      <w:pPr>
        <w:spacing w:before="4"/>
        <w:rPr>
          <w:sz w:val="21"/>
          <w:szCs w:val="21"/>
          <w:highlight w:val="none"/>
        </w:rPr>
      </w:pPr>
    </w:p>
    <w:tbl>
      <w:tblPr>
        <w:tblStyle w:val="107"/>
        <w:tblW w:w="2776" w:type="dxa"/>
        <w:tblInd w:w="14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776"/>
      </w:tblGrid>
      <w:tr w14:paraId="4528C6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87" w:hRule="atLeast"/>
        </w:trPr>
        <w:tc>
          <w:tcPr>
            <w:tcW w:w="2776" w:type="dxa"/>
            <w:vAlign w:val="top"/>
          </w:tcPr>
          <w:p w14:paraId="23A16737">
            <w:pPr>
              <w:pStyle w:val="167"/>
              <w:spacing w:before="143" w:line="225" w:lineRule="auto"/>
              <w:ind w:left="995" w:right="276" w:hanging="350"/>
              <w:rPr>
                <w:sz w:val="21"/>
                <w:szCs w:val="21"/>
                <w:highlight w:val="none"/>
              </w:rPr>
            </w:pPr>
            <w:r>
              <w:rPr>
                <w:spacing w:val="3"/>
                <w:sz w:val="21"/>
                <w:szCs w:val="21"/>
                <w:highlight w:val="none"/>
              </w:rPr>
              <w:t>图</w:t>
            </w:r>
            <w:r>
              <w:rPr>
                <w:rFonts w:ascii="Times New Roman" w:hAnsi="Times New Roman" w:eastAsia="Times New Roman" w:cs="Times New Roman"/>
                <w:spacing w:val="3"/>
                <w:sz w:val="21"/>
                <w:szCs w:val="21"/>
                <w:highlight w:val="none"/>
              </w:rPr>
              <w:t>1</w:t>
            </w:r>
            <w:r>
              <w:rPr>
                <w:spacing w:val="3"/>
                <w:sz w:val="21"/>
                <w:szCs w:val="21"/>
                <w:highlight w:val="none"/>
              </w:rPr>
              <w:t>：水泥、矿粉、粉</w:t>
            </w:r>
            <w:r>
              <w:rPr>
                <w:spacing w:val="8"/>
                <w:sz w:val="21"/>
                <w:szCs w:val="21"/>
                <w:highlight w:val="none"/>
              </w:rPr>
              <w:t>煤灰</w:t>
            </w:r>
          </w:p>
          <w:p w14:paraId="117A7D49">
            <w:pPr>
              <w:spacing w:before="127" w:line="2403" w:lineRule="exact"/>
              <w:ind w:firstLine="490"/>
              <w:rPr>
                <w:sz w:val="21"/>
                <w:szCs w:val="21"/>
                <w:highlight w:val="none"/>
              </w:rPr>
            </w:pPr>
            <w:r>
              <w:rPr>
                <w:position w:val="-48"/>
                <w:sz w:val="21"/>
                <w:szCs w:val="21"/>
                <w:highlight w:val="none"/>
              </w:rPr>
              <w:drawing>
                <wp:inline distT="0" distB="0" distL="0" distR="0">
                  <wp:extent cx="1123315" cy="1525270"/>
                  <wp:effectExtent l="0" t="0" r="635" b="1778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1123607" cy="1525651"/>
                          </a:xfrm>
                          <a:prstGeom prst="rect">
                            <a:avLst/>
                          </a:prstGeom>
                        </pic:spPr>
                      </pic:pic>
                    </a:graphicData>
                  </a:graphic>
                </wp:inline>
              </w:drawing>
            </w:r>
          </w:p>
        </w:tc>
      </w:tr>
    </w:tbl>
    <w:p w14:paraId="5FA4C434">
      <w:pPr>
        <w:pStyle w:val="15"/>
        <w:rPr>
          <w:sz w:val="21"/>
          <w:szCs w:val="21"/>
          <w:highlight w:val="none"/>
        </w:rPr>
      </w:pPr>
    </w:p>
    <w:p w14:paraId="096E4ADE">
      <w:pPr>
        <w:rPr>
          <w:sz w:val="21"/>
          <w:szCs w:val="21"/>
          <w:highlight w:val="none"/>
        </w:rPr>
        <w:sectPr>
          <w:pgSz w:w="11912" w:h="16841"/>
          <w:pgMar w:top="400" w:right="1666" w:bottom="400" w:left="1711" w:header="0" w:footer="0" w:gutter="0"/>
          <w:cols w:space="720" w:num="1"/>
        </w:sectPr>
      </w:pPr>
    </w:p>
    <w:p w14:paraId="48470FCC">
      <w:pPr>
        <w:pStyle w:val="15"/>
        <w:spacing w:line="298" w:lineRule="auto"/>
        <w:rPr>
          <w:sz w:val="21"/>
          <w:szCs w:val="21"/>
          <w:highlight w:val="none"/>
        </w:rPr>
      </w:pPr>
    </w:p>
    <w:p w14:paraId="06E93515">
      <w:pPr>
        <w:pStyle w:val="15"/>
        <w:spacing w:line="299" w:lineRule="auto"/>
        <w:rPr>
          <w:sz w:val="21"/>
          <w:szCs w:val="21"/>
          <w:highlight w:val="none"/>
        </w:rPr>
      </w:pPr>
    </w:p>
    <w:p w14:paraId="6C74023C">
      <w:pPr>
        <w:pStyle w:val="15"/>
        <w:spacing w:line="299" w:lineRule="auto"/>
        <w:rPr>
          <w:sz w:val="21"/>
          <w:szCs w:val="21"/>
          <w:highlight w:val="none"/>
        </w:rPr>
      </w:pPr>
    </w:p>
    <w:p w14:paraId="785674E9">
      <w:pPr>
        <w:pStyle w:val="15"/>
        <w:spacing w:line="299" w:lineRule="auto"/>
        <w:rPr>
          <w:sz w:val="21"/>
          <w:szCs w:val="21"/>
          <w:highlight w:val="none"/>
        </w:rPr>
      </w:pPr>
    </w:p>
    <w:p w14:paraId="455EC4D5">
      <w:pPr>
        <w:spacing w:before="78" w:line="219" w:lineRule="auto"/>
        <w:ind w:left="503"/>
        <w:rPr>
          <w:rFonts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五</w:t>
      </w:r>
      <w:r>
        <w:rPr>
          <w:rFonts w:ascii="宋体" w:hAnsi="宋体" w:eastAsia="宋体" w:cs="宋体"/>
          <w:spacing w:val="-3"/>
          <w:sz w:val="21"/>
          <w:szCs w:val="21"/>
          <w:highlight w:val="none"/>
        </w:rPr>
        <w:t>、采购合同签订规则</w:t>
      </w:r>
    </w:p>
    <w:p w14:paraId="14F7436C">
      <w:pPr>
        <w:spacing w:before="183" w:line="218" w:lineRule="auto"/>
        <w:ind w:left="487"/>
        <w:rPr>
          <w:rFonts w:ascii="宋体" w:hAnsi="宋体" w:eastAsia="宋体" w:cs="宋体"/>
          <w:sz w:val="21"/>
          <w:szCs w:val="21"/>
          <w:highlight w:val="none"/>
        </w:rPr>
      </w:pPr>
      <w:r>
        <w:rPr>
          <w:rFonts w:ascii="宋体" w:hAnsi="宋体" w:eastAsia="宋体" w:cs="宋体"/>
          <w:spacing w:val="3"/>
          <w:sz w:val="21"/>
          <w:szCs w:val="21"/>
          <w:highlight w:val="none"/>
        </w:rPr>
        <w:t>（一）入围供应商必须参与每次招标人组织的报价，严禁拒绝报价，否则视为违约，</w:t>
      </w:r>
    </w:p>
    <w:p w14:paraId="521865AA">
      <w:pPr>
        <w:spacing w:before="183" w:line="324" w:lineRule="auto"/>
        <w:ind w:right="2" w:firstLine="3"/>
        <w:rPr>
          <w:rFonts w:ascii="宋体" w:hAnsi="宋体" w:eastAsia="宋体" w:cs="宋体"/>
          <w:sz w:val="21"/>
          <w:szCs w:val="21"/>
          <w:highlight w:val="none"/>
        </w:rPr>
      </w:pPr>
      <w:r>
        <w:rPr>
          <w:rFonts w:ascii="宋体" w:hAnsi="宋体" w:eastAsia="宋体" w:cs="宋体"/>
          <w:spacing w:val="2"/>
          <w:sz w:val="21"/>
          <w:szCs w:val="21"/>
          <w:highlight w:val="none"/>
        </w:rPr>
        <w:t>须严格遵守招标人的相关供应商管理规定。供应商每次的报价须考虑各种可预</w:t>
      </w:r>
      <w:r>
        <w:rPr>
          <w:rFonts w:ascii="宋体" w:hAnsi="宋体" w:eastAsia="宋体" w:cs="宋体"/>
          <w:spacing w:val="1"/>
          <w:sz w:val="21"/>
          <w:szCs w:val="21"/>
          <w:highlight w:val="none"/>
        </w:rPr>
        <w:t>见性的因素，</w:t>
      </w:r>
      <w:r>
        <w:rPr>
          <w:rFonts w:ascii="宋体" w:hAnsi="宋体" w:eastAsia="宋体" w:cs="宋体"/>
          <w:spacing w:val="2"/>
          <w:sz w:val="21"/>
          <w:szCs w:val="21"/>
          <w:highlight w:val="none"/>
        </w:rPr>
        <w:t>例如：政府会议、环保预警、疫情管控、雨雪天气、交通管制等，供应商须采取相应</w:t>
      </w:r>
      <w:r>
        <w:rPr>
          <w:rFonts w:ascii="宋体" w:hAnsi="宋体" w:eastAsia="宋体" w:cs="宋体"/>
          <w:spacing w:val="1"/>
          <w:sz w:val="21"/>
          <w:szCs w:val="21"/>
          <w:highlight w:val="none"/>
        </w:rPr>
        <w:t>措施，</w:t>
      </w:r>
      <w:r>
        <w:rPr>
          <w:rFonts w:ascii="宋体" w:hAnsi="宋体" w:eastAsia="宋体" w:cs="宋体"/>
          <w:spacing w:val="4"/>
          <w:sz w:val="21"/>
          <w:szCs w:val="21"/>
          <w:highlight w:val="none"/>
        </w:rPr>
        <w:t>确保供应。若因以上可预见性因素导致供应</w:t>
      </w:r>
      <w:r>
        <w:rPr>
          <w:rFonts w:ascii="宋体" w:hAnsi="宋体" w:eastAsia="宋体" w:cs="宋体"/>
          <w:spacing w:val="3"/>
          <w:sz w:val="21"/>
          <w:szCs w:val="21"/>
          <w:highlight w:val="none"/>
        </w:rPr>
        <w:t>不畅，给招标人生产造成损失，视为供应商违</w:t>
      </w:r>
      <w:r>
        <w:rPr>
          <w:rFonts w:ascii="宋体" w:hAnsi="宋体" w:eastAsia="宋体" w:cs="宋体"/>
          <w:spacing w:val="-1"/>
          <w:sz w:val="21"/>
          <w:szCs w:val="21"/>
          <w:highlight w:val="none"/>
        </w:rPr>
        <w:t>约，招标人有权扣除履约保证金，并要求供应商承担因此造成的一</w:t>
      </w:r>
      <w:r>
        <w:rPr>
          <w:rFonts w:ascii="宋体" w:hAnsi="宋体" w:eastAsia="宋体" w:cs="宋体"/>
          <w:spacing w:val="-2"/>
          <w:sz w:val="21"/>
          <w:szCs w:val="21"/>
          <w:highlight w:val="none"/>
        </w:rPr>
        <w:t>切损失。</w:t>
      </w:r>
    </w:p>
    <w:p w14:paraId="5E0E7A7C">
      <w:pPr>
        <w:spacing w:before="183" w:line="331" w:lineRule="auto"/>
        <w:ind w:right="183" w:firstLine="487"/>
        <w:rPr>
          <w:rFonts w:ascii="宋体" w:hAnsi="宋体" w:eastAsia="宋体" w:cs="宋体"/>
          <w:sz w:val="21"/>
          <w:szCs w:val="21"/>
          <w:highlight w:val="none"/>
        </w:rPr>
      </w:pPr>
      <w:r>
        <w:rPr>
          <w:rFonts w:ascii="宋体" w:hAnsi="宋体" w:eastAsia="宋体" w:cs="宋体"/>
          <w:spacing w:val="3"/>
          <w:sz w:val="21"/>
          <w:szCs w:val="21"/>
          <w:highlight w:val="none"/>
        </w:rPr>
        <w:t>（二）招标人根据自身实际经营生产需求，定期或不定期在入围的供应商库中通过询</w:t>
      </w:r>
      <w:r>
        <w:rPr>
          <w:rFonts w:ascii="宋体" w:hAnsi="宋体" w:eastAsia="宋体" w:cs="宋体"/>
          <w:spacing w:val="4"/>
          <w:sz w:val="21"/>
          <w:szCs w:val="21"/>
          <w:highlight w:val="none"/>
        </w:rPr>
        <w:t>价或谈判等方式确定签约供应商和签约价格。招</w:t>
      </w:r>
      <w:r>
        <w:rPr>
          <w:rFonts w:ascii="宋体" w:hAnsi="宋体" w:eastAsia="宋体" w:cs="宋体"/>
          <w:spacing w:val="3"/>
          <w:sz w:val="21"/>
          <w:szCs w:val="21"/>
          <w:highlight w:val="none"/>
        </w:rPr>
        <w:t>标人根据材料市场价格拟定最高限价和最低限价，入围供应商按照招标人要求及时响应报价，原则上招标人参考第一轮最低报价，</w:t>
      </w:r>
      <w:r>
        <w:rPr>
          <w:rFonts w:ascii="宋体" w:hAnsi="宋体" w:eastAsia="宋体" w:cs="宋体"/>
          <w:spacing w:val="4"/>
          <w:sz w:val="21"/>
          <w:szCs w:val="21"/>
          <w:highlight w:val="none"/>
        </w:rPr>
        <w:t>依据报价排名进行逐一沟通谈判，确定能够满</w:t>
      </w:r>
      <w:r>
        <w:rPr>
          <w:rFonts w:ascii="宋体" w:hAnsi="宋体" w:eastAsia="宋体" w:cs="宋体"/>
          <w:spacing w:val="3"/>
          <w:sz w:val="21"/>
          <w:szCs w:val="21"/>
          <w:highlight w:val="none"/>
        </w:rPr>
        <w:t>足招标人供应需求的签约供应商数量和最终</w:t>
      </w:r>
      <w:r>
        <w:rPr>
          <w:rFonts w:ascii="宋体" w:hAnsi="宋体" w:eastAsia="宋体" w:cs="宋体"/>
          <w:spacing w:val="-9"/>
          <w:sz w:val="21"/>
          <w:szCs w:val="21"/>
          <w:highlight w:val="none"/>
        </w:rPr>
        <w:t>签约价。</w:t>
      </w:r>
    </w:p>
    <w:p w14:paraId="188F4CA8">
      <w:pPr>
        <w:spacing w:before="182" w:line="312" w:lineRule="auto"/>
        <w:ind w:left="1" w:right="183" w:firstLine="485"/>
        <w:rPr>
          <w:rFonts w:ascii="宋体" w:hAnsi="宋体" w:eastAsia="宋体" w:cs="宋体"/>
          <w:sz w:val="21"/>
          <w:szCs w:val="21"/>
          <w:highlight w:val="none"/>
        </w:rPr>
      </w:pPr>
      <w:r>
        <w:rPr>
          <w:rFonts w:ascii="宋体" w:hAnsi="宋体" w:eastAsia="宋体" w:cs="宋体"/>
          <w:spacing w:val="3"/>
          <w:sz w:val="21"/>
          <w:szCs w:val="21"/>
          <w:highlight w:val="none"/>
        </w:rPr>
        <w:t>（三）招标人在确定材料采购订单价和供应商数量后，双方签订采购合同，若因市场</w:t>
      </w:r>
      <w:r>
        <w:rPr>
          <w:rFonts w:ascii="宋体" w:hAnsi="宋体" w:eastAsia="宋体" w:cs="宋体"/>
          <w:spacing w:val="4"/>
          <w:sz w:val="21"/>
          <w:szCs w:val="21"/>
          <w:highlight w:val="none"/>
        </w:rPr>
        <w:t>发生重大变化，在采购合同采购期限内需要</w:t>
      </w:r>
      <w:r>
        <w:rPr>
          <w:rFonts w:ascii="宋体" w:hAnsi="宋体" w:eastAsia="宋体" w:cs="宋体"/>
          <w:spacing w:val="3"/>
          <w:sz w:val="21"/>
          <w:szCs w:val="21"/>
          <w:highlight w:val="none"/>
        </w:rPr>
        <w:t>进行重新报价，则已签订采购合同的供应商具</w:t>
      </w:r>
      <w:r>
        <w:rPr>
          <w:rFonts w:ascii="宋体" w:hAnsi="宋体" w:eastAsia="宋体" w:cs="宋体"/>
          <w:spacing w:val="-4"/>
          <w:sz w:val="21"/>
          <w:szCs w:val="21"/>
          <w:highlight w:val="none"/>
        </w:rPr>
        <w:t>有优先报价权及优先选择权。</w:t>
      </w:r>
    </w:p>
    <w:p w14:paraId="7613D225">
      <w:pPr>
        <w:spacing w:before="182" w:line="324" w:lineRule="auto"/>
        <w:ind w:left="3" w:firstLine="483"/>
        <w:rPr>
          <w:rFonts w:ascii="宋体" w:hAnsi="宋体" w:eastAsia="宋体" w:cs="宋体"/>
          <w:sz w:val="21"/>
          <w:szCs w:val="21"/>
          <w:highlight w:val="none"/>
        </w:rPr>
      </w:pPr>
      <w:r>
        <w:rPr>
          <w:rFonts w:ascii="宋体" w:hAnsi="宋体" w:eastAsia="宋体" w:cs="宋体"/>
          <w:spacing w:val="2"/>
          <w:sz w:val="21"/>
          <w:szCs w:val="21"/>
          <w:highlight w:val="none"/>
        </w:rPr>
        <w:t>（四）在采购合同服务期限内，供应商应当严格遵守和执行招标人相关采购管理规</w:t>
      </w:r>
      <w:r>
        <w:rPr>
          <w:rFonts w:ascii="宋体" w:hAnsi="宋体" w:eastAsia="宋体" w:cs="宋体"/>
          <w:spacing w:val="1"/>
          <w:sz w:val="21"/>
          <w:szCs w:val="21"/>
          <w:highlight w:val="none"/>
        </w:rPr>
        <w:t>定，</w:t>
      </w:r>
      <w:r>
        <w:rPr>
          <w:rFonts w:ascii="宋体" w:hAnsi="宋体" w:eastAsia="宋体" w:cs="宋体"/>
          <w:spacing w:val="3"/>
          <w:sz w:val="21"/>
          <w:szCs w:val="21"/>
          <w:highlight w:val="none"/>
        </w:rPr>
        <w:t>须无条件参与每一次招标或询价报价，供应商能否获取订单取决于其每次的竞争报价。因</w:t>
      </w:r>
      <w:r>
        <w:rPr>
          <w:rFonts w:ascii="宋体" w:hAnsi="宋体" w:eastAsia="宋体" w:cs="宋体"/>
          <w:spacing w:val="4"/>
          <w:sz w:val="21"/>
          <w:szCs w:val="21"/>
          <w:highlight w:val="none"/>
        </w:rPr>
        <w:t>竞争报价、政策调整、招标人自身经营情况变化调整等因素</w:t>
      </w:r>
      <w:r>
        <w:rPr>
          <w:rFonts w:ascii="宋体" w:hAnsi="宋体" w:eastAsia="宋体" w:cs="宋体"/>
          <w:spacing w:val="3"/>
          <w:sz w:val="21"/>
          <w:szCs w:val="21"/>
          <w:highlight w:val="none"/>
        </w:rPr>
        <w:t>，供应商如在合同供货期限内未曾获取订单，属于供应商自身原因，供应商承担竞价未果的全部责任，与招标人无关。</w:t>
      </w:r>
    </w:p>
    <w:p w14:paraId="20A8A80E">
      <w:pPr>
        <w:spacing w:before="183" w:line="324" w:lineRule="auto"/>
        <w:ind w:right="177" w:firstLine="2"/>
        <w:rPr>
          <w:rFonts w:ascii="宋体" w:hAnsi="宋体" w:eastAsia="宋体" w:cs="宋体"/>
          <w:sz w:val="21"/>
          <w:szCs w:val="21"/>
          <w:highlight w:val="none"/>
        </w:rPr>
      </w:pPr>
      <w:r>
        <w:rPr>
          <w:rFonts w:ascii="宋体" w:hAnsi="宋体" w:eastAsia="宋体" w:cs="宋体"/>
          <w:spacing w:val="3"/>
          <w:sz w:val="21"/>
          <w:szCs w:val="21"/>
          <w:highlight w:val="none"/>
        </w:rPr>
        <w:t>纳入供应商库后，招标人将依据实际生产需求组织库内供应商进行报价，并综合评定最终</w:t>
      </w:r>
      <w:r>
        <w:rPr>
          <w:rFonts w:ascii="宋体" w:hAnsi="宋体" w:eastAsia="宋体" w:cs="宋体"/>
          <w:spacing w:val="4"/>
          <w:sz w:val="21"/>
          <w:szCs w:val="21"/>
          <w:highlight w:val="none"/>
        </w:rPr>
        <w:t>原材料采购单价和供应商，签订采购合同并按</w:t>
      </w:r>
      <w:r>
        <w:rPr>
          <w:rFonts w:ascii="宋体" w:hAnsi="宋体" w:eastAsia="宋体" w:cs="宋体"/>
          <w:spacing w:val="3"/>
          <w:sz w:val="21"/>
          <w:szCs w:val="21"/>
          <w:highlight w:val="none"/>
        </w:rPr>
        <w:t>要求收取履约保证金，合同履约期间，招标</w:t>
      </w:r>
      <w:r>
        <w:rPr>
          <w:rFonts w:ascii="宋体" w:hAnsi="宋体" w:eastAsia="宋体" w:cs="宋体"/>
          <w:spacing w:val="4"/>
          <w:sz w:val="21"/>
          <w:szCs w:val="21"/>
          <w:highlight w:val="none"/>
        </w:rPr>
        <w:t>人将根据原材料市场波动情况及内部调价机制不定期进行调</w:t>
      </w:r>
      <w:r>
        <w:rPr>
          <w:rFonts w:ascii="宋体" w:hAnsi="宋体" w:eastAsia="宋体" w:cs="宋体"/>
          <w:spacing w:val="3"/>
          <w:sz w:val="21"/>
          <w:szCs w:val="21"/>
          <w:highlight w:val="none"/>
        </w:rPr>
        <w:t>价，同时依据自身考核管理制</w:t>
      </w:r>
      <w:r>
        <w:rPr>
          <w:rFonts w:ascii="宋体" w:hAnsi="宋体" w:eastAsia="宋体" w:cs="宋体"/>
          <w:spacing w:val="-2"/>
          <w:sz w:val="21"/>
          <w:szCs w:val="21"/>
          <w:highlight w:val="none"/>
        </w:rPr>
        <w:t>度，对合作供应商定期进行考核，对供应商库进行优化管理。</w:t>
      </w:r>
    </w:p>
    <w:p w14:paraId="38449FFA">
      <w:pPr>
        <w:spacing w:before="186" w:line="312" w:lineRule="auto"/>
        <w:ind w:left="1" w:right="198" w:firstLine="485"/>
        <w:rPr>
          <w:rFonts w:ascii="宋体" w:hAnsi="宋体" w:eastAsia="宋体" w:cs="宋体"/>
          <w:sz w:val="21"/>
          <w:szCs w:val="21"/>
          <w:highlight w:val="none"/>
        </w:rPr>
      </w:pPr>
      <w:r>
        <w:rPr>
          <w:rFonts w:ascii="宋体" w:hAnsi="宋体" w:eastAsia="宋体" w:cs="宋体"/>
          <w:spacing w:val="3"/>
          <w:sz w:val="21"/>
          <w:szCs w:val="21"/>
          <w:highlight w:val="none"/>
        </w:rPr>
        <w:t>（五）在报价过程中，若供应商涉嫌通过围标、串标等不正当竞争方式取得供货资格的，招标人有权直接取消供应商作为合格供方的资格，并列入供应商失信黑名单。同时，</w:t>
      </w:r>
      <w:r>
        <w:rPr>
          <w:rFonts w:ascii="宋体" w:hAnsi="宋体" w:eastAsia="宋体" w:cs="宋体"/>
          <w:spacing w:val="-3"/>
          <w:sz w:val="21"/>
          <w:szCs w:val="21"/>
          <w:highlight w:val="none"/>
        </w:rPr>
        <w:t>招标人保留追究法律责任的权利。</w:t>
      </w:r>
    </w:p>
    <w:p w14:paraId="06F7568F">
      <w:pPr>
        <w:spacing w:before="78" w:line="360" w:lineRule="auto"/>
        <w:ind w:firstLine="486"/>
        <w:jc w:val="both"/>
        <w:rPr>
          <w:rFonts w:ascii="宋体" w:hAnsi="宋体" w:eastAsia="宋体" w:cs="宋体"/>
          <w:sz w:val="21"/>
          <w:szCs w:val="21"/>
          <w:highlight w:val="none"/>
        </w:rPr>
        <w:sectPr>
          <w:footerReference r:id="rId5" w:type="default"/>
          <w:pgSz w:w="11912" w:h="16841"/>
          <w:pgMar w:top="400" w:right="918" w:bottom="400" w:left="1309" w:header="0" w:footer="0" w:gutter="0"/>
          <w:cols w:space="720" w:num="1"/>
        </w:sectPr>
      </w:pPr>
      <w:r>
        <w:rPr>
          <w:rFonts w:ascii="宋体" w:hAnsi="宋体" w:eastAsia="宋体" w:cs="宋体"/>
          <w:spacing w:val="3"/>
          <w:sz w:val="21"/>
          <w:szCs w:val="21"/>
          <w:highlight w:val="none"/>
        </w:rPr>
        <w:t>（六）投标人实际签订合同日期及合同内服务期限，以招标人实际经营生产需求为准，原则上不超过本项目服务期限。招标人在服务期限内，可根据招标人实际生产需求，不定时通过公开招标或其他招标采购方式，补充或扩充生产经营用原材料供应商库，则新入库供应商服务期限仍截至202</w:t>
      </w:r>
      <w:r>
        <w:rPr>
          <w:rFonts w:hint="eastAsia" w:ascii="宋体" w:hAnsi="宋体" w:eastAsia="宋体" w:cs="宋体"/>
          <w:spacing w:val="3"/>
          <w:sz w:val="21"/>
          <w:szCs w:val="21"/>
          <w:highlight w:val="none"/>
          <w:lang w:val="en-US" w:eastAsia="zh-CN"/>
        </w:rPr>
        <w:t>7</w:t>
      </w:r>
      <w:r>
        <w:rPr>
          <w:rFonts w:ascii="宋体" w:hAnsi="宋体" w:eastAsia="宋体" w:cs="宋体"/>
          <w:spacing w:val="3"/>
          <w:sz w:val="21"/>
          <w:szCs w:val="21"/>
          <w:highlight w:val="none"/>
        </w:rPr>
        <w:t>年12月31日。特殊情况下，在服务期限内，招标人可根据实际生</w:t>
      </w:r>
      <w:r>
        <w:rPr>
          <w:rFonts w:ascii="宋体" w:hAnsi="宋体" w:eastAsia="宋体" w:cs="宋体"/>
          <w:spacing w:val="2"/>
          <w:sz w:val="21"/>
          <w:szCs w:val="21"/>
          <w:highlight w:val="none"/>
        </w:rPr>
        <w:t>产需</w:t>
      </w:r>
      <w:r>
        <w:rPr>
          <w:rFonts w:ascii="宋体" w:hAnsi="宋体" w:eastAsia="宋体" w:cs="宋体"/>
          <w:spacing w:val="3"/>
          <w:sz w:val="21"/>
          <w:szCs w:val="21"/>
          <w:highlight w:val="none"/>
        </w:rPr>
        <w:t>要，按照本项目投标人资格要求，另行引入符合条件的供应商。招标人具有最终解释权，投</w:t>
      </w:r>
      <w:r>
        <w:rPr>
          <w:rFonts w:ascii="宋体" w:hAnsi="宋体" w:eastAsia="宋体" w:cs="宋体"/>
          <w:spacing w:val="-5"/>
          <w:sz w:val="21"/>
          <w:szCs w:val="21"/>
          <w:highlight w:val="none"/>
        </w:rPr>
        <w:t>标人须无条件接受。</w:t>
      </w:r>
    </w:p>
    <w:p w14:paraId="2122A3D7">
      <w:pPr>
        <w:pStyle w:val="15"/>
        <w:spacing w:line="352" w:lineRule="auto"/>
        <w:rPr>
          <w:sz w:val="21"/>
          <w:szCs w:val="21"/>
          <w:highlight w:val="green"/>
        </w:rPr>
      </w:pPr>
    </w:p>
    <w:p w14:paraId="519667C9">
      <w:pPr>
        <w:pStyle w:val="15"/>
        <w:spacing w:line="353" w:lineRule="auto"/>
        <w:rPr>
          <w:sz w:val="21"/>
          <w:szCs w:val="21"/>
          <w:highlight w:val="green"/>
        </w:rPr>
      </w:pPr>
    </w:p>
    <w:bookmarkEnd w:id="440"/>
    <w:p w14:paraId="5CD228FC">
      <w:pPr>
        <w:pStyle w:val="2"/>
        <w:jc w:val="center"/>
        <w:rPr>
          <w:rFonts w:ascii="宋体" w:hAnsi="宋体"/>
        </w:rPr>
      </w:pPr>
      <w:bookmarkStart w:id="441" w:name="_Toc149140270"/>
    </w:p>
    <w:p w14:paraId="42C83271">
      <w:pPr>
        <w:pStyle w:val="2"/>
        <w:jc w:val="center"/>
        <w:rPr>
          <w:rFonts w:ascii="宋体" w:hAnsi="宋体"/>
        </w:rPr>
      </w:pPr>
    </w:p>
    <w:p w14:paraId="00355B7B">
      <w:pPr>
        <w:pStyle w:val="2"/>
        <w:jc w:val="center"/>
        <w:rPr>
          <w:rFonts w:ascii="宋体" w:hAnsi="宋体"/>
        </w:rPr>
      </w:pPr>
    </w:p>
    <w:p w14:paraId="741A516E">
      <w:pPr>
        <w:pStyle w:val="2"/>
        <w:jc w:val="center"/>
        <w:rPr>
          <w:rFonts w:ascii="宋体" w:hAnsi="宋体"/>
        </w:rPr>
      </w:pPr>
      <w:r>
        <w:rPr>
          <w:rFonts w:ascii="宋体" w:hAnsi="宋体"/>
        </w:rPr>
        <w:t>第六章 响应文件格式</w:t>
      </w:r>
      <w:bookmarkEnd w:id="441"/>
    </w:p>
    <w:p w14:paraId="71630420">
      <w:pPr>
        <w:rPr>
          <w:rFonts w:ascii="宋体" w:hAnsi="宋体"/>
          <w:b/>
          <w:bCs/>
          <w:szCs w:val="32"/>
        </w:rPr>
      </w:pPr>
      <w:r>
        <w:rPr>
          <w:rFonts w:ascii="宋体" w:hAnsi="宋体"/>
          <w:b/>
          <w:bCs/>
          <w:szCs w:val="32"/>
        </w:rPr>
        <w:br w:type="page"/>
      </w:r>
    </w:p>
    <w:p w14:paraId="5ABEB912">
      <w:pPr>
        <w:pStyle w:val="108"/>
        <w:rPr>
          <w:rFonts w:ascii="宋体" w:hAnsi="宋体" w:eastAsia="宋体"/>
        </w:rPr>
      </w:pPr>
      <w:bookmarkStart w:id="442" w:name="_Hlk138879292"/>
    </w:p>
    <w:p w14:paraId="111ECDF4">
      <w:pPr>
        <w:pStyle w:val="108"/>
        <w:rPr>
          <w:rFonts w:ascii="宋体" w:hAnsi="宋体" w:eastAsia="宋体"/>
        </w:rPr>
      </w:pPr>
    </w:p>
    <w:p w14:paraId="12667BE6">
      <w:pPr>
        <w:pStyle w:val="108"/>
        <w:rPr>
          <w:rFonts w:ascii="宋体" w:hAnsi="宋体" w:eastAsia="宋体"/>
        </w:rPr>
      </w:pPr>
    </w:p>
    <w:p w14:paraId="763D5E82">
      <w:pPr>
        <w:pStyle w:val="108"/>
        <w:rPr>
          <w:rFonts w:ascii="宋体" w:hAnsi="宋体" w:eastAsia="宋体"/>
        </w:rPr>
      </w:pPr>
    </w:p>
    <w:bookmarkEnd w:id="438"/>
    <w:bookmarkEnd w:id="439"/>
    <w:bookmarkEnd w:id="442"/>
    <w:p w14:paraId="16C815BE">
      <w:pPr>
        <w:widowControl/>
        <w:ind w:left="2160" w:hanging="2160" w:hangingChars="600"/>
        <w:jc w:val="center"/>
        <w:rPr>
          <w:rFonts w:hint="eastAsia" w:ascii="黑体" w:hAnsi="黑体" w:eastAsia="黑体"/>
          <w:sz w:val="20"/>
          <w:lang w:eastAsia="zh-CN"/>
        </w:rPr>
      </w:pPr>
      <w:r>
        <w:rPr>
          <w:rFonts w:hint="eastAsia" w:ascii="黑体" w:hAnsi="黑体" w:eastAsia="黑体"/>
          <w:sz w:val="36"/>
          <w:szCs w:val="36"/>
          <w:lang w:eastAsia="zh-CN"/>
        </w:rPr>
        <w:t>河北交投绿色建材有限公司2026-2027年度经营生产用原材料供应商入库（补充入库）二次</w:t>
      </w:r>
    </w:p>
    <w:p w14:paraId="5A6FBB09">
      <w:pPr>
        <w:rPr>
          <w:rFonts w:ascii="黑体" w:hAnsi="黑体" w:eastAsia="黑体"/>
          <w:sz w:val="20"/>
        </w:rPr>
      </w:pPr>
    </w:p>
    <w:p w14:paraId="1D3D22DA">
      <w:pPr>
        <w:jc w:val="center"/>
        <w:rPr>
          <w:rFonts w:ascii="黑体" w:hAnsi="黑体" w:eastAsia="黑体"/>
          <w:sz w:val="44"/>
        </w:rPr>
      </w:pPr>
      <w:bookmarkStart w:id="443" w:name="_Toc6098_WPSOffice_Level2"/>
      <w:bookmarkStart w:id="444" w:name="_Toc3366_WPSOffice_Level2"/>
    </w:p>
    <w:p w14:paraId="2E125AAF">
      <w:pPr>
        <w:jc w:val="center"/>
        <w:rPr>
          <w:rFonts w:ascii="黑体" w:hAnsi="黑体" w:eastAsia="黑体"/>
          <w:sz w:val="44"/>
        </w:rPr>
      </w:pPr>
    </w:p>
    <w:p w14:paraId="1276EBB8">
      <w:pPr>
        <w:jc w:val="center"/>
        <w:rPr>
          <w:rFonts w:ascii="黑体" w:hAnsi="黑体" w:eastAsia="黑体"/>
          <w:sz w:val="44"/>
        </w:rPr>
      </w:pPr>
    </w:p>
    <w:p w14:paraId="533F87FF">
      <w:pPr>
        <w:jc w:val="center"/>
        <w:rPr>
          <w:rFonts w:ascii="黑体" w:hAnsi="黑体" w:eastAsia="黑体"/>
          <w:sz w:val="44"/>
        </w:rPr>
      </w:pPr>
      <w:r>
        <w:rPr>
          <w:rFonts w:ascii="黑体" w:hAnsi="黑体" w:eastAsia="黑体"/>
          <w:sz w:val="44"/>
        </w:rPr>
        <w:t>响应文件</w:t>
      </w:r>
      <w:bookmarkEnd w:id="443"/>
      <w:bookmarkEnd w:id="444"/>
    </w:p>
    <w:p w14:paraId="124EC983">
      <w:pPr>
        <w:jc w:val="center"/>
        <w:rPr>
          <w:rFonts w:ascii="黑体" w:hAnsi="黑体" w:eastAsia="黑体"/>
          <w:sz w:val="44"/>
        </w:rPr>
      </w:pPr>
    </w:p>
    <w:p w14:paraId="6CF157C2">
      <w:pPr>
        <w:rPr>
          <w:rFonts w:ascii="黑体" w:hAnsi="黑体" w:eastAsia="黑体"/>
          <w:sz w:val="28"/>
        </w:rPr>
      </w:pPr>
    </w:p>
    <w:p w14:paraId="77E5D058">
      <w:pPr>
        <w:rPr>
          <w:rFonts w:ascii="黑体" w:hAnsi="黑体" w:eastAsia="黑体"/>
          <w:sz w:val="28"/>
        </w:rPr>
      </w:pPr>
    </w:p>
    <w:p w14:paraId="339E5200">
      <w:pPr>
        <w:rPr>
          <w:rFonts w:ascii="黑体" w:hAnsi="黑体" w:eastAsia="黑体"/>
          <w:sz w:val="28"/>
        </w:rPr>
      </w:pPr>
    </w:p>
    <w:p w14:paraId="19FA13F1">
      <w:pPr>
        <w:rPr>
          <w:rFonts w:ascii="黑体" w:hAnsi="黑体" w:eastAsia="黑体"/>
          <w:sz w:val="28"/>
        </w:rPr>
      </w:pPr>
    </w:p>
    <w:p w14:paraId="1526737C">
      <w:pPr>
        <w:rPr>
          <w:rFonts w:ascii="黑体" w:hAnsi="黑体" w:eastAsia="黑体"/>
          <w:sz w:val="28"/>
        </w:rPr>
      </w:pPr>
    </w:p>
    <w:p w14:paraId="38AC357A">
      <w:pPr>
        <w:rPr>
          <w:rFonts w:ascii="黑体" w:hAnsi="黑体" w:eastAsia="黑体"/>
          <w:sz w:val="28"/>
        </w:rPr>
      </w:pPr>
    </w:p>
    <w:p w14:paraId="060AF012">
      <w:pPr>
        <w:rPr>
          <w:rFonts w:ascii="黑体" w:hAnsi="黑体" w:eastAsia="黑体"/>
          <w:sz w:val="28"/>
        </w:rPr>
      </w:pPr>
    </w:p>
    <w:p w14:paraId="0C58B7D0">
      <w:pPr>
        <w:rPr>
          <w:rFonts w:ascii="黑体" w:hAnsi="黑体" w:eastAsia="黑体"/>
          <w:sz w:val="28"/>
        </w:rPr>
      </w:pPr>
    </w:p>
    <w:p w14:paraId="7C0703CC">
      <w:pPr>
        <w:rPr>
          <w:rFonts w:ascii="黑体" w:hAnsi="黑体" w:eastAsia="黑体"/>
          <w:sz w:val="28"/>
        </w:rPr>
      </w:pPr>
    </w:p>
    <w:p w14:paraId="5F8186EF">
      <w:pPr>
        <w:rPr>
          <w:rFonts w:ascii="黑体" w:hAnsi="黑体" w:eastAsia="黑体"/>
          <w:sz w:val="28"/>
        </w:rPr>
      </w:pPr>
    </w:p>
    <w:p w14:paraId="32D14887">
      <w:pPr>
        <w:rPr>
          <w:rFonts w:ascii="黑体" w:hAnsi="黑体" w:eastAsia="黑体"/>
          <w:sz w:val="28"/>
        </w:rPr>
      </w:pPr>
    </w:p>
    <w:p w14:paraId="6C7B7DF5">
      <w:pPr>
        <w:rPr>
          <w:rFonts w:ascii="黑体" w:hAnsi="黑体" w:eastAsia="黑体"/>
          <w:sz w:val="28"/>
        </w:rPr>
      </w:pPr>
    </w:p>
    <w:p w14:paraId="05F34399">
      <w:pPr>
        <w:rPr>
          <w:rFonts w:ascii="黑体" w:hAnsi="黑体" w:eastAsia="黑体"/>
          <w:sz w:val="28"/>
        </w:rPr>
      </w:pPr>
    </w:p>
    <w:p w14:paraId="451544CC">
      <w:pPr>
        <w:rPr>
          <w:rFonts w:ascii="黑体" w:hAnsi="黑体" w:eastAsia="黑体"/>
          <w:sz w:val="28"/>
        </w:rPr>
      </w:pPr>
    </w:p>
    <w:p w14:paraId="12164A7A">
      <w:pPr>
        <w:spacing w:line="360" w:lineRule="auto"/>
        <w:rPr>
          <w:rFonts w:ascii="黑体" w:hAnsi="黑体" w:eastAsia="黑体"/>
          <w:sz w:val="28"/>
        </w:rPr>
      </w:pPr>
    </w:p>
    <w:p w14:paraId="2AAAB9D7">
      <w:pPr>
        <w:spacing w:line="360" w:lineRule="auto"/>
        <w:ind w:firstLine="1120" w:firstLineChars="400"/>
        <w:rPr>
          <w:rFonts w:ascii="黑体" w:hAnsi="黑体" w:eastAsia="黑体"/>
          <w:sz w:val="28"/>
        </w:rPr>
      </w:pPr>
      <w:bookmarkStart w:id="445" w:name="_Toc30500_WPSOffice_Level2"/>
      <w:bookmarkStart w:id="446" w:name="_Toc25692_WPSOffice_Level2"/>
      <w:r>
        <w:rPr>
          <w:rFonts w:ascii="黑体" w:hAnsi="黑体" w:eastAsia="黑体"/>
          <w:sz w:val="28"/>
        </w:rPr>
        <w:t>供应商：</w:t>
      </w:r>
      <w:r>
        <w:rPr>
          <w:rFonts w:ascii="黑体" w:hAnsi="黑体" w:eastAsia="黑体"/>
          <w:u w:val="single"/>
        </w:rPr>
        <w:t xml:space="preserve">                                       </w:t>
      </w:r>
      <w:bookmarkEnd w:id="445"/>
      <w:bookmarkEnd w:id="446"/>
      <w:r>
        <w:rPr>
          <w:rFonts w:ascii="黑体" w:hAnsi="黑体" w:eastAsia="黑体"/>
        </w:rPr>
        <w:t>（单位电子印章）</w:t>
      </w:r>
    </w:p>
    <w:p w14:paraId="06F446D9">
      <w:pPr>
        <w:jc w:val="center"/>
        <w:rPr>
          <w:rFonts w:ascii="黑体" w:hAnsi="黑体" w:eastAsia="黑体"/>
          <w:sz w:val="28"/>
        </w:rPr>
      </w:pPr>
    </w:p>
    <w:p w14:paraId="0DB2E154">
      <w:pPr>
        <w:jc w:val="center"/>
        <w:rPr>
          <w:rFonts w:ascii="黑体" w:hAnsi="黑体" w:eastAsia="黑体"/>
          <w:sz w:val="28"/>
        </w:rPr>
      </w:pPr>
      <w:bookmarkStart w:id="447" w:name="_Toc17738_WPSOffice_Level1"/>
      <w:bookmarkStart w:id="448" w:name="_Toc25720_WPSOffice_Level1"/>
      <w:r>
        <w:rPr>
          <w:rFonts w:ascii="黑体" w:hAnsi="黑体" w:eastAsia="黑体"/>
          <w:u w:val="single"/>
        </w:rPr>
        <w:t xml:space="preserve">       </w:t>
      </w:r>
      <w:r>
        <w:rPr>
          <w:rFonts w:ascii="黑体" w:hAnsi="黑体" w:eastAsia="黑体"/>
          <w:sz w:val="28"/>
        </w:rPr>
        <w:t>年</w:t>
      </w:r>
      <w:r>
        <w:rPr>
          <w:rFonts w:ascii="黑体" w:hAnsi="黑体" w:eastAsia="黑体"/>
          <w:u w:val="single"/>
        </w:rPr>
        <w:t xml:space="preserve">     </w:t>
      </w:r>
      <w:r>
        <w:rPr>
          <w:rFonts w:ascii="黑体" w:hAnsi="黑体" w:eastAsia="黑体"/>
          <w:sz w:val="28"/>
        </w:rPr>
        <w:t>月</w:t>
      </w:r>
      <w:bookmarkEnd w:id="447"/>
      <w:bookmarkEnd w:id="448"/>
    </w:p>
    <w:p w14:paraId="29160146">
      <w:pPr>
        <w:rPr>
          <w:rFonts w:ascii="宋体" w:hAnsi="宋体"/>
          <w:sz w:val="28"/>
          <w:szCs w:val="28"/>
        </w:rPr>
      </w:pPr>
      <w:r>
        <w:rPr>
          <w:rFonts w:ascii="宋体" w:hAnsi="宋体"/>
          <w:sz w:val="28"/>
          <w:szCs w:val="28"/>
        </w:rPr>
        <w:br w:type="page"/>
      </w:r>
    </w:p>
    <w:p w14:paraId="672D1B02">
      <w:pPr>
        <w:pStyle w:val="39"/>
        <w:ind w:firstLine="480"/>
      </w:pPr>
    </w:p>
    <w:p w14:paraId="476E193A">
      <w:pPr>
        <w:jc w:val="center"/>
        <w:rPr>
          <w:rFonts w:ascii="黑体" w:hAnsi="黑体" w:eastAsia="黑体"/>
          <w:sz w:val="32"/>
          <w:szCs w:val="32"/>
        </w:rPr>
      </w:pPr>
      <w:r>
        <w:rPr>
          <w:rFonts w:ascii="黑体" w:hAnsi="黑体" w:eastAsia="黑体"/>
          <w:sz w:val="32"/>
          <w:szCs w:val="32"/>
        </w:rPr>
        <w:t>目录</w:t>
      </w:r>
    </w:p>
    <w:p w14:paraId="708A41EA">
      <w:pPr>
        <w:rPr>
          <w:rFonts w:ascii="宋体" w:hAnsi="宋体"/>
          <w:sz w:val="24"/>
        </w:rPr>
      </w:pPr>
    </w:p>
    <w:p w14:paraId="0EE49D6F">
      <w:pPr>
        <w:spacing w:line="540" w:lineRule="exact"/>
        <w:rPr>
          <w:rFonts w:ascii="宋体" w:hAnsi="宋体"/>
        </w:rPr>
      </w:pPr>
      <w:r>
        <w:rPr>
          <w:rFonts w:ascii="宋体" w:hAnsi="宋体"/>
        </w:rPr>
        <w:t>一、响应函</w:t>
      </w:r>
    </w:p>
    <w:p w14:paraId="398B35CF">
      <w:pPr>
        <w:spacing w:line="540" w:lineRule="exact"/>
        <w:rPr>
          <w:rFonts w:ascii="宋体" w:hAnsi="宋体"/>
        </w:rPr>
      </w:pPr>
      <w:r>
        <w:rPr>
          <w:rFonts w:ascii="宋体" w:hAnsi="宋体"/>
        </w:rPr>
        <w:t>二、授权委托书（如有）；</w:t>
      </w:r>
    </w:p>
    <w:p w14:paraId="64B12279">
      <w:pPr>
        <w:spacing w:line="540" w:lineRule="exact"/>
        <w:rPr>
          <w:rFonts w:ascii="宋体" w:hAnsi="宋体"/>
        </w:rPr>
      </w:pPr>
      <w:r>
        <w:rPr>
          <w:rFonts w:ascii="宋体" w:hAnsi="宋体"/>
        </w:rPr>
        <w:t>三、联合体协议书（适用于供应商组成联合体的情况）</w:t>
      </w:r>
    </w:p>
    <w:p w14:paraId="06CF3474">
      <w:pPr>
        <w:spacing w:line="540" w:lineRule="exact"/>
        <w:rPr>
          <w:rFonts w:ascii="宋体" w:hAnsi="宋体"/>
        </w:rPr>
      </w:pPr>
      <w:r>
        <w:rPr>
          <w:rFonts w:ascii="宋体" w:hAnsi="宋体"/>
        </w:rPr>
        <w:t>四、响应保证金（适用于递交响应保证金的情况）</w:t>
      </w:r>
    </w:p>
    <w:p w14:paraId="6DE3BB41">
      <w:pPr>
        <w:spacing w:line="540" w:lineRule="exact"/>
        <w:rPr>
          <w:rFonts w:ascii="宋体" w:hAnsi="宋体"/>
        </w:rPr>
      </w:pPr>
      <w:r>
        <w:rPr>
          <w:rFonts w:ascii="宋体" w:hAnsi="宋体"/>
        </w:rPr>
        <w:t>五、商务和技术偏差表</w:t>
      </w:r>
    </w:p>
    <w:p w14:paraId="4DBA2ED1">
      <w:pPr>
        <w:spacing w:line="540" w:lineRule="exact"/>
        <w:rPr>
          <w:rFonts w:ascii="宋体" w:hAnsi="宋体"/>
        </w:rPr>
      </w:pPr>
      <w:r>
        <w:rPr>
          <w:rFonts w:ascii="宋体" w:hAnsi="宋体"/>
        </w:rPr>
        <w:t>六、资格审查资料</w:t>
      </w:r>
    </w:p>
    <w:p w14:paraId="7C09D133">
      <w:pPr>
        <w:spacing w:line="540" w:lineRule="exact"/>
        <w:rPr>
          <w:rFonts w:ascii="宋体" w:hAnsi="宋体"/>
        </w:rPr>
      </w:pPr>
      <w:r>
        <w:rPr>
          <w:rFonts w:hint="eastAsia" w:ascii="宋体" w:hAnsi="宋体"/>
        </w:rPr>
        <w:t>七</w:t>
      </w:r>
      <w:r>
        <w:rPr>
          <w:rFonts w:ascii="宋体" w:hAnsi="宋体"/>
        </w:rPr>
        <w:t>、响应方案</w:t>
      </w:r>
    </w:p>
    <w:p w14:paraId="16B28CD2">
      <w:pPr>
        <w:spacing w:line="540" w:lineRule="exact"/>
        <w:rPr>
          <w:rFonts w:ascii="宋体" w:hAnsi="宋体"/>
        </w:rPr>
      </w:pPr>
      <w:r>
        <w:rPr>
          <w:rFonts w:hint="eastAsia" w:ascii="宋体" w:hAnsi="宋体"/>
        </w:rPr>
        <w:t>八</w:t>
      </w:r>
      <w:r>
        <w:rPr>
          <w:rFonts w:ascii="宋体" w:hAnsi="宋体"/>
        </w:rPr>
        <w:t>、承诺函</w:t>
      </w:r>
    </w:p>
    <w:p w14:paraId="74226FF4">
      <w:pPr>
        <w:spacing w:line="540" w:lineRule="exact"/>
        <w:rPr>
          <w:rFonts w:hint="eastAsia" w:ascii="宋体" w:hAnsi="宋体"/>
          <w:highlight w:val="none"/>
          <w:lang w:val="en-US" w:eastAsia="zh-CN"/>
        </w:rPr>
      </w:pPr>
      <w:r>
        <w:rPr>
          <w:rFonts w:hint="eastAsia" w:ascii="宋体" w:hAnsi="宋体"/>
          <w:highlight w:val="none"/>
        </w:rPr>
        <w:t>九</w:t>
      </w:r>
      <w:r>
        <w:rPr>
          <w:rFonts w:ascii="宋体" w:hAnsi="宋体"/>
          <w:highlight w:val="none"/>
        </w:rPr>
        <w:t>、</w:t>
      </w:r>
      <w:r>
        <w:rPr>
          <w:rFonts w:hint="eastAsia" w:ascii="宋体" w:hAnsi="宋体"/>
          <w:highlight w:val="none"/>
          <w:lang w:val="en-US" w:eastAsia="zh-CN"/>
        </w:rPr>
        <w:t>资金授信承诺书</w:t>
      </w:r>
    </w:p>
    <w:p w14:paraId="4DABF11E">
      <w:pPr>
        <w:spacing w:line="540" w:lineRule="exact"/>
        <w:rPr>
          <w:rFonts w:hint="eastAsia" w:ascii="宋体" w:hAnsi="宋体"/>
          <w:highlight w:val="none"/>
          <w:lang w:val="en-US" w:eastAsia="zh-CN"/>
        </w:rPr>
      </w:pPr>
      <w:r>
        <w:rPr>
          <w:rFonts w:hint="eastAsia" w:ascii="宋体" w:hAnsi="宋体"/>
          <w:highlight w:val="none"/>
          <w:lang w:val="en-US" w:eastAsia="zh-CN"/>
        </w:rPr>
        <w:t>十、质量承诺书</w:t>
      </w:r>
    </w:p>
    <w:p w14:paraId="1784D725">
      <w:pPr>
        <w:spacing w:line="540" w:lineRule="exact"/>
        <w:rPr>
          <w:rFonts w:hint="eastAsia"/>
          <w:highlight w:val="none"/>
          <w:lang w:val="en-US" w:eastAsia="zh-CN"/>
        </w:rPr>
      </w:pPr>
      <w:r>
        <w:rPr>
          <w:rFonts w:hint="eastAsia"/>
          <w:highlight w:val="none"/>
          <w:lang w:val="en-US" w:eastAsia="zh-CN"/>
        </w:rPr>
        <w:t>十一、经销权或代理权证明资料</w:t>
      </w:r>
    </w:p>
    <w:p w14:paraId="4E478B0B">
      <w:pPr>
        <w:spacing w:line="540" w:lineRule="exact"/>
        <w:rPr>
          <w:rFonts w:hint="default"/>
          <w:highlight w:val="none"/>
          <w:lang w:val="en-US" w:eastAsia="zh-CN"/>
        </w:rPr>
      </w:pPr>
      <w:r>
        <w:rPr>
          <w:rFonts w:hint="eastAsia"/>
          <w:highlight w:val="none"/>
          <w:lang w:val="en-US" w:eastAsia="zh-CN"/>
        </w:rPr>
        <w:t>十二、其他资料</w:t>
      </w:r>
    </w:p>
    <w:p w14:paraId="5A4396A7">
      <w:pPr>
        <w:pStyle w:val="2"/>
      </w:pPr>
    </w:p>
    <w:p w14:paraId="14047D23">
      <w:pPr>
        <w:keepNext/>
        <w:keepLines/>
        <w:jc w:val="center"/>
        <w:outlineLvl w:val="1"/>
        <w:rPr>
          <w:rFonts w:ascii="宋体" w:hAnsi="宋体"/>
          <w:b/>
          <w:bCs/>
          <w:sz w:val="28"/>
          <w:szCs w:val="28"/>
        </w:rPr>
      </w:pPr>
      <w:r>
        <w:rPr>
          <w:rFonts w:ascii="宋体" w:hAnsi="宋体"/>
          <w:sz w:val="24"/>
        </w:rPr>
        <w:br w:type="page"/>
      </w:r>
      <w:bookmarkStart w:id="449" w:name="_Toc149140271"/>
      <w:r>
        <w:rPr>
          <w:rFonts w:ascii="宋体" w:hAnsi="宋体"/>
          <w:b/>
          <w:sz w:val="32"/>
          <w:szCs w:val="20"/>
        </w:rPr>
        <w:t>一、响应函</w:t>
      </w:r>
      <w:bookmarkEnd w:id="449"/>
    </w:p>
    <w:p w14:paraId="072DCDCF">
      <w:pPr>
        <w:pStyle w:val="108"/>
        <w:rPr>
          <w:rFonts w:ascii="宋体" w:hAnsi="宋体" w:eastAsia="宋体"/>
        </w:rPr>
      </w:pPr>
      <w:bookmarkStart w:id="450" w:name="_Toc118805547"/>
      <w:bookmarkStart w:id="451" w:name="_Toc118805170"/>
      <w:bookmarkStart w:id="452" w:name="_Toc118805924"/>
      <w:bookmarkStart w:id="453" w:name="_Toc118806295"/>
    </w:p>
    <w:p w14:paraId="4FE0D34D">
      <w:pPr>
        <w:spacing w:line="440" w:lineRule="exact"/>
        <w:rPr>
          <w:rFonts w:ascii="宋体" w:hAnsi="宋体"/>
          <w:szCs w:val="21"/>
        </w:rPr>
      </w:pPr>
      <w:r>
        <w:rPr>
          <w:rFonts w:ascii="宋体" w:hAnsi="宋体"/>
          <w:szCs w:val="21"/>
          <w:u w:val="single"/>
        </w:rPr>
        <w:t xml:space="preserve">             </w:t>
      </w:r>
      <w:r>
        <w:rPr>
          <w:rFonts w:ascii="宋体" w:hAnsi="宋体"/>
          <w:szCs w:val="21"/>
        </w:rPr>
        <w:t>（采购人名称）：</w:t>
      </w:r>
    </w:p>
    <w:p w14:paraId="14C3F4C3">
      <w:pPr>
        <w:spacing w:line="480" w:lineRule="exact"/>
        <w:ind w:firstLine="420"/>
        <w:rPr>
          <w:rFonts w:ascii="宋体" w:hAnsi="宋体"/>
          <w:szCs w:val="21"/>
        </w:rPr>
      </w:pPr>
      <w:r>
        <w:rPr>
          <w:rFonts w:ascii="宋体" w:hAnsi="宋体"/>
          <w:szCs w:val="21"/>
        </w:rPr>
        <w:t>我方</w:t>
      </w:r>
      <w:r>
        <w:rPr>
          <w:rFonts w:ascii="宋体" w:hAnsi="宋体"/>
          <w:szCs w:val="21"/>
          <w:u w:val="single"/>
        </w:rPr>
        <w:t xml:space="preserve">          </w:t>
      </w:r>
      <w:r>
        <w:rPr>
          <w:rFonts w:ascii="宋体" w:hAnsi="宋体"/>
          <w:szCs w:val="21"/>
        </w:rPr>
        <w:t>（供应商名称）遵守采购文件的规定并作出如下承诺：</w:t>
      </w:r>
    </w:p>
    <w:tbl>
      <w:tblPr>
        <w:tblStyle w:val="4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6661"/>
      </w:tblGrid>
      <w:tr w14:paraId="074C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591EEFBD">
            <w:pPr>
              <w:spacing w:line="440" w:lineRule="exact"/>
              <w:rPr>
                <w:rFonts w:ascii="宋体" w:hAnsi="宋体"/>
                <w:szCs w:val="21"/>
              </w:rPr>
            </w:pPr>
            <w:r>
              <w:rPr>
                <w:rFonts w:ascii="宋体" w:hAnsi="宋体"/>
                <w:szCs w:val="21"/>
              </w:rPr>
              <w:t>项目名称</w:t>
            </w:r>
          </w:p>
        </w:tc>
        <w:tc>
          <w:tcPr>
            <w:tcW w:w="6661" w:type="dxa"/>
          </w:tcPr>
          <w:p w14:paraId="03E676F4">
            <w:pPr>
              <w:spacing w:line="440" w:lineRule="exact"/>
              <w:rPr>
                <w:rFonts w:ascii="宋体" w:hAnsi="宋体"/>
                <w:szCs w:val="21"/>
              </w:rPr>
            </w:pPr>
          </w:p>
        </w:tc>
      </w:tr>
      <w:tr w14:paraId="7334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061DFD81">
            <w:pPr>
              <w:spacing w:line="440" w:lineRule="exact"/>
              <w:rPr>
                <w:rFonts w:ascii="宋体" w:hAnsi="宋体"/>
                <w:szCs w:val="21"/>
              </w:rPr>
            </w:pPr>
            <w:r>
              <w:rPr>
                <w:rFonts w:hint="eastAsia" w:ascii="宋体" w:hAnsi="宋体"/>
                <w:szCs w:val="21"/>
              </w:rPr>
              <w:t>供货期限</w:t>
            </w:r>
          </w:p>
        </w:tc>
        <w:tc>
          <w:tcPr>
            <w:tcW w:w="6661" w:type="dxa"/>
          </w:tcPr>
          <w:p w14:paraId="75BD6248">
            <w:pPr>
              <w:spacing w:line="440" w:lineRule="exact"/>
              <w:rPr>
                <w:rFonts w:ascii="宋体" w:hAnsi="宋体"/>
                <w:szCs w:val="21"/>
              </w:rPr>
            </w:pPr>
          </w:p>
        </w:tc>
      </w:tr>
      <w:tr w14:paraId="41F8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6D181A87">
            <w:pPr>
              <w:spacing w:line="440" w:lineRule="exact"/>
              <w:rPr>
                <w:rFonts w:ascii="宋体" w:hAnsi="宋体"/>
                <w:szCs w:val="21"/>
              </w:rPr>
            </w:pPr>
            <w:r>
              <w:rPr>
                <w:rFonts w:hint="eastAsia"/>
                <w:szCs w:val="21"/>
              </w:rPr>
              <w:t>供货地点</w:t>
            </w:r>
          </w:p>
        </w:tc>
        <w:tc>
          <w:tcPr>
            <w:tcW w:w="6661" w:type="dxa"/>
          </w:tcPr>
          <w:p w14:paraId="7624A82B">
            <w:pPr>
              <w:spacing w:line="440" w:lineRule="exact"/>
              <w:rPr>
                <w:rFonts w:ascii="宋体" w:hAnsi="宋体"/>
                <w:szCs w:val="21"/>
              </w:rPr>
            </w:pPr>
          </w:p>
        </w:tc>
      </w:tr>
      <w:tr w14:paraId="2407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3EE3D5A8">
            <w:pPr>
              <w:spacing w:line="440" w:lineRule="exact"/>
              <w:rPr>
                <w:rFonts w:ascii="宋体" w:hAnsi="宋体"/>
                <w:szCs w:val="21"/>
              </w:rPr>
            </w:pPr>
            <w:r>
              <w:rPr>
                <w:rFonts w:ascii="宋体" w:hAnsi="宋体"/>
                <w:szCs w:val="21"/>
              </w:rPr>
              <w:t>质量标准</w:t>
            </w:r>
          </w:p>
        </w:tc>
        <w:tc>
          <w:tcPr>
            <w:tcW w:w="6661" w:type="dxa"/>
          </w:tcPr>
          <w:p w14:paraId="42FDD520">
            <w:pPr>
              <w:spacing w:line="440" w:lineRule="exact"/>
              <w:rPr>
                <w:rFonts w:ascii="宋体" w:hAnsi="宋体"/>
                <w:szCs w:val="21"/>
              </w:rPr>
            </w:pPr>
          </w:p>
        </w:tc>
      </w:tr>
    </w:tbl>
    <w:p w14:paraId="4C2CC1A7">
      <w:pPr>
        <w:spacing w:after="120"/>
        <w:rPr>
          <w:rFonts w:ascii="宋体" w:hAnsi="宋体"/>
        </w:rPr>
      </w:pPr>
    </w:p>
    <w:p w14:paraId="622B61D6">
      <w:pPr>
        <w:spacing w:after="120"/>
        <w:rPr>
          <w:rFonts w:ascii="宋体" w:hAnsi="宋体"/>
        </w:rPr>
      </w:pPr>
    </w:p>
    <w:p w14:paraId="6D39859A">
      <w:pPr>
        <w:spacing w:line="440" w:lineRule="exact"/>
        <w:ind w:firstLine="4725" w:firstLineChars="2250"/>
        <w:jc w:val="right"/>
        <w:rPr>
          <w:rFonts w:ascii="宋体" w:hAnsi="宋体"/>
          <w:szCs w:val="21"/>
        </w:rPr>
      </w:pPr>
      <w:bookmarkStart w:id="454" w:name="_Toc369531696"/>
      <w:bookmarkEnd w:id="454"/>
      <w:bookmarkStart w:id="455" w:name="_Toc16824"/>
      <w:bookmarkEnd w:id="455"/>
      <w:bookmarkStart w:id="456" w:name="_Toc352691660"/>
      <w:bookmarkEnd w:id="456"/>
      <w:bookmarkStart w:id="457" w:name="_Toc352691659"/>
      <w:bookmarkEnd w:id="457"/>
      <w:bookmarkStart w:id="458" w:name="_Toc16568"/>
      <w:bookmarkEnd w:id="458"/>
      <w:bookmarkStart w:id="459" w:name="_Toc369531695"/>
      <w:bookmarkEnd w:id="459"/>
      <w:r>
        <w:rPr>
          <w:rFonts w:ascii="宋体" w:hAnsi="宋体"/>
          <w:u w:val="single"/>
        </w:rPr>
        <w:t xml:space="preserve">      </w:t>
      </w:r>
      <w:r>
        <w:rPr>
          <w:rFonts w:ascii="宋体" w:hAnsi="宋体"/>
          <w:szCs w:val="21"/>
        </w:rPr>
        <w:t>年</w:t>
      </w:r>
      <w:r>
        <w:rPr>
          <w:rFonts w:ascii="宋体" w:hAnsi="宋体"/>
          <w:u w:val="single"/>
        </w:rPr>
        <w:t xml:space="preserve">      </w:t>
      </w:r>
      <w:r>
        <w:rPr>
          <w:rFonts w:ascii="宋体" w:hAnsi="宋体"/>
          <w:szCs w:val="21"/>
        </w:rPr>
        <w:t>月</w:t>
      </w:r>
      <w:r>
        <w:rPr>
          <w:rFonts w:ascii="宋体" w:hAnsi="宋体"/>
          <w:u w:val="single"/>
        </w:rPr>
        <w:t xml:space="preserve">      </w:t>
      </w:r>
      <w:r>
        <w:rPr>
          <w:rFonts w:ascii="宋体" w:hAnsi="宋体"/>
          <w:szCs w:val="21"/>
        </w:rPr>
        <w:t>日</w:t>
      </w:r>
    </w:p>
    <w:bookmarkEnd w:id="450"/>
    <w:bookmarkEnd w:id="451"/>
    <w:bookmarkEnd w:id="452"/>
    <w:bookmarkEnd w:id="453"/>
    <w:p w14:paraId="679F06AE">
      <w:pPr>
        <w:widowControl/>
        <w:jc w:val="left"/>
        <w:rPr>
          <w:rFonts w:ascii="宋体" w:hAnsi="宋体"/>
        </w:rPr>
      </w:pPr>
      <w:r>
        <w:rPr>
          <w:rFonts w:ascii="宋体" w:hAnsi="宋体"/>
        </w:rPr>
        <w:br w:type="page"/>
      </w:r>
    </w:p>
    <w:p w14:paraId="68FE9F42">
      <w:pPr>
        <w:jc w:val="center"/>
        <w:rPr>
          <w:rFonts w:hint="eastAsia" w:ascii="宋体" w:hAnsi="宋体" w:eastAsia="宋体" w:cs="宋体"/>
          <w:b/>
          <w:bCs/>
          <w:sz w:val="28"/>
          <w:szCs w:val="28"/>
          <w:highlight w:val="none"/>
        </w:rPr>
      </w:pPr>
      <w:bookmarkStart w:id="460" w:name="_Toc535049456"/>
      <w:bookmarkStart w:id="461" w:name="_Toc317264992"/>
      <w:bookmarkStart w:id="462" w:name="_Toc9861517"/>
      <w:bookmarkStart w:id="463" w:name="_Toc300734834"/>
      <w:bookmarkStart w:id="464" w:name="_Toc11848979"/>
      <w:bookmarkStart w:id="465" w:name="_Toc535067078"/>
      <w:bookmarkStart w:id="466" w:name="_Toc149140273"/>
      <w:bookmarkStart w:id="467" w:name="_Toc8885"/>
      <w:bookmarkStart w:id="468" w:name="_Toc118805927"/>
      <w:bookmarkStart w:id="469" w:name="_Toc31427"/>
      <w:bookmarkStart w:id="470" w:name="_Toc23700_WPSOffice_Level1"/>
      <w:bookmarkStart w:id="471" w:name="_Toc32514"/>
      <w:bookmarkStart w:id="472" w:name="_Toc30404"/>
      <w:bookmarkStart w:id="473" w:name="_Toc20984"/>
      <w:bookmarkStart w:id="474" w:name="_Toc118805550"/>
      <w:bookmarkStart w:id="475" w:name="_Toc137648476"/>
      <w:bookmarkStart w:id="476" w:name="_Toc118805173"/>
      <w:bookmarkStart w:id="477" w:name="_Toc6"/>
      <w:bookmarkStart w:id="478" w:name="_Toc118806298"/>
      <w:r>
        <w:rPr>
          <w:rFonts w:hint="eastAsia" w:ascii="宋体" w:hAnsi="宋体" w:eastAsia="宋体" w:cs="宋体"/>
          <w:b/>
          <w:bCs/>
          <w:sz w:val="28"/>
          <w:szCs w:val="28"/>
          <w:highlight w:val="none"/>
        </w:rPr>
        <w:t>二、法定代表人身份证明或授权委托书</w:t>
      </w:r>
    </w:p>
    <w:p w14:paraId="2454403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（一）法定代表人身份证明</w:t>
      </w:r>
    </w:p>
    <w:p w14:paraId="1D5EFDE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65E2169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kern w:val="0"/>
          <w:sz w:val="21"/>
          <w:szCs w:val="21"/>
          <w:highlight w:val="none"/>
        </w:rPr>
        <w:t>单位性质</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4F906965">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地址</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1AAFE0D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2B493DB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经营期限：</w:t>
      </w:r>
      <w:r>
        <w:rPr>
          <w:rFonts w:hint="eastAsia" w:ascii="宋体" w:hAnsi="宋体" w:eastAsia="宋体" w:cs="宋体"/>
          <w:sz w:val="21"/>
          <w:szCs w:val="21"/>
          <w:highlight w:val="none"/>
          <w:u w:val="single"/>
        </w:rPr>
        <w:t xml:space="preserve">          </w:t>
      </w:r>
    </w:p>
    <w:p w14:paraId="2805B9D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性别：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年龄：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职务：</w:t>
      </w:r>
      <w:r>
        <w:rPr>
          <w:rFonts w:hint="eastAsia" w:ascii="宋体" w:hAnsi="宋体" w:eastAsia="宋体" w:cs="宋体"/>
          <w:sz w:val="21"/>
          <w:szCs w:val="21"/>
          <w:highlight w:val="none"/>
          <w:u w:val="single"/>
        </w:rPr>
        <w:t xml:space="preserve">        </w:t>
      </w:r>
    </w:p>
    <w:p w14:paraId="17E06C2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(供应商名称)的法定代表人。</w:t>
      </w:r>
    </w:p>
    <w:p w14:paraId="4A702CA2">
      <w:pPr>
        <w:spacing w:before="156" w:beforeLines="50" w:after="156" w:afterLines="50"/>
        <w:ind w:firstLine="420" w:firstLineChars="200"/>
        <w:rPr>
          <w:rFonts w:hint="eastAsia" w:ascii="宋体" w:hAnsi="宋体" w:eastAsia="宋体" w:cs="宋体"/>
          <w:sz w:val="21"/>
          <w:szCs w:val="21"/>
          <w:highlight w:val="none"/>
        </w:rPr>
      </w:pPr>
    </w:p>
    <w:p w14:paraId="345E1DAF">
      <w:pPr>
        <w:spacing w:before="156" w:beforeLines="50" w:after="156" w:afterLines="5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特此证明。</w:t>
      </w:r>
    </w:p>
    <w:p w14:paraId="652320F8">
      <w:pPr>
        <w:spacing w:before="156" w:beforeLines="50" w:after="156" w:afterLines="50"/>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附件：法定代表人身份证复印件</w:t>
      </w:r>
    </w:p>
    <w:p w14:paraId="42365880">
      <w:pPr>
        <w:spacing w:before="156" w:beforeLines="50" w:after="156" w:afterLines="50"/>
        <w:rPr>
          <w:rFonts w:hint="eastAsia" w:ascii="宋体" w:hAnsi="宋体" w:eastAsia="宋体" w:cs="宋体"/>
          <w:sz w:val="21"/>
          <w:szCs w:val="21"/>
          <w:highlight w:val="none"/>
        </w:rPr>
      </w:pPr>
    </w:p>
    <w:p w14:paraId="7187660F">
      <w:pPr>
        <w:spacing w:before="156" w:beforeLines="50" w:after="156" w:afterLines="5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供应商：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(单位全称)</w:t>
      </w:r>
    </w:p>
    <w:p w14:paraId="0AA41CAB">
      <w:pPr>
        <w:spacing w:before="156" w:beforeLines="50" w:after="156" w:afterLines="50"/>
        <w:rPr>
          <w:rFonts w:hint="eastAsia" w:ascii="宋体" w:hAnsi="宋体" w:eastAsia="宋体" w:cs="宋体"/>
          <w:sz w:val="21"/>
          <w:szCs w:val="21"/>
          <w:highlight w:val="none"/>
        </w:rPr>
      </w:pPr>
    </w:p>
    <w:p w14:paraId="69C00599">
      <w:pPr>
        <w:spacing w:before="156" w:beforeLines="50" w:after="156" w:afterLines="5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044247BF">
      <w:pPr>
        <w:spacing w:before="156" w:beforeLines="50" w:after="156" w:afterLines="50"/>
        <w:rPr>
          <w:rFonts w:hint="eastAsia" w:ascii="宋体" w:hAnsi="宋体" w:eastAsia="宋体" w:cs="宋体"/>
          <w:sz w:val="21"/>
          <w:szCs w:val="21"/>
          <w:highlight w:val="none"/>
        </w:rPr>
      </w:pPr>
    </w:p>
    <w:p w14:paraId="16BC9271">
      <w:pPr>
        <w:spacing w:before="156" w:beforeLines="50" w:after="156" w:afterLines="50"/>
        <w:rPr>
          <w:rFonts w:hint="eastAsia" w:ascii="宋体" w:hAnsi="宋体" w:eastAsia="宋体" w:cs="宋体"/>
          <w:sz w:val="21"/>
          <w:szCs w:val="21"/>
          <w:highlight w:val="none"/>
        </w:rPr>
      </w:pPr>
    </w:p>
    <w:p w14:paraId="70F33A93">
      <w:pPr>
        <w:spacing w:before="156" w:beforeLines="50" w:after="156" w:afterLines="50"/>
        <w:rPr>
          <w:rFonts w:hint="eastAsia" w:ascii="宋体" w:hAnsi="宋体" w:eastAsia="宋体" w:cs="宋体"/>
          <w:sz w:val="21"/>
          <w:szCs w:val="21"/>
          <w:highlight w:val="none"/>
        </w:rPr>
      </w:pPr>
    </w:p>
    <w:p w14:paraId="318B5F86">
      <w:pPr>
        <w:spacing w:before="156" w:beforeLines="50" w:after="156" w:afterLines="50"/>
        <w:rPr>
          <w:rFonts w:hint="eastAsia" w:ascii="宋体" w:hAnsi="宋体" w:eastAsia="宋体" w:cs="宋体"/>
          <w:sz w:val="21"/>
          <w:szCs w:val="21"/>
          <w:highlight w:val="none"/>
        </w:rPr>
      </w:pPr>
    </w:p>
    <w:p w14:paraId="5333ADE4">
      <w:pPr>
        <w:tabs>
          <w:tab w:val="left" w:pos="420"/>
        </w:tabs>
        <w:adjustRightInd w:val="0"/>
        <w:snapToGrid w:val="0"/>
        <w:spacing w:line="34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注：如果由供应商的法定代表人亲自签署投标文件，则不需提交授权委托书。</w:t>
      </w:r>
    </w:p>
    <w:p w14:paraId="0F6AF659">
      <w:pPr>
        <w:pStyle w:val="5"/>
        <w:jc w:val="left"/>
        <w:rPr>
          <w:rFonts w:hint="eastAsia" w:ascii="宋体" w:hAnsi="宋体" w:eastAsia="宋体" w:cs="宋体"/>
          <w:sz w:val="21"/>
          <w:szCs w:val="21"/>
          <w:highlight w:val="none"/>
        </w:rPr>
        <w:sectPr>
          <w:footerReference r:id="rId6" w:type="default"/>
          <w:footnotePr>
            <w:numFmt w:val="decimalEnclosedCircleChinese"/>
            <w:numRestart w:val="eachPage"/>
          </w:footnotePr>
          <w:pgSz w:w="11906" w:h="16838"/>
          <w:pgMar w:top="1440" w:right="1800" w:bottom="993" w:left="1800"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60D87171">
      <w:pPr>
        <w:pStyle w:val="5"/>
        <w:jc w:val="left"/>
        <w:rPr>
          <w:rFonts w:ascii="宋体" w:hAnsi="宋体" w:eastAsia="宋体" w:cs="宋体"/>
          <w:sz w:val="21"/>
          <w:szCs w:val="21"/>
          <w:highlight w:val="none"/>
        </w:rPr>
      </w:pPr>
      <w:r>
        <w:rPr>
          <w:rFonts w:hint="eastAsia" w:ascii="宋体" w:hAnsi="宋体" w:eastAsia="宋体" w:cs="宋体"/>
          <w:sz w:val="21"/>
          <w:szCs w:val="21"/>
          <w:highlight w:val="none"/>
        </w:rPr>
        <w:t>附件：法定代表人身份证复印件</w:t>
      </w:r>
      <w:bookmarkEnd w:id="460"/>
      <w:bookmarkEnd w:id="461"/>
      <w:bookmarkEnd w:id="462"/>
      <w:bookmarkEnd w:id="463"/>
      <w:bookmarkEnd w:id="464"/>
      <w:bookmarkEnd w:id="465"/>
    </w:p>
    <w:p w14:paraId="3FAFB257">
      <w:pPr>
        <w:rPr>
          <w:rFonts w:ascii="宋体" w:cs="宋体"/>
          <w:szCs w:val="21"/>
          <w:highlight w:val="none"/>
        </w:rPr>
      </w:pPr>
    </w:p>
    <w:p w14:paraId="2394A1F4">
      <w:pPr>
        <w:rPr>
          <w:rFonts w:ascii="宋体" w:cs="宋体"/>
          <w:szCs w:val="21"/>
          <w:highlight w:val="none"/>
        </w:rPr>
      </w:pPr>
    </w:p>
    <w:p w14:paraId="4D2285A4">
      <w:pPr>
        <w:rPr>
          <w:rFonts w:ascii="宋体" w:cs="宋体"/>
          <w:szCs w:val="21"/>
          <w:highlight w:val="none"/>
        </w:rPr>
      </w:pPr>
    </w:p>
    <w:p w14:paraId="6C39E39B">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法定代表人身份证复印件</w:t>
      </w:r>
    </w:p>
    <w:p w14:paraId="4F14B57D">
      <w:pPr>
        <w:rPr>
          <w:rFonts w:hint="eastAsia" w:asciiTheme="minorEastAsia" w:hAnsiTheme="minorEastAsia" w:eastAsiaTheme="minorEastAsia" w:cstheme="minorEastAsia"/>
          <w:sz w:val="21"/>
          <w:szCs w:val="21"/>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0"/>
      </w:tblGrid>
      <w:tr w14:paraId="6E43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7960" w:type="dxa"/>
            <w:tcBorders>
              <w:top w:val="single" w:color="auto" w:sz="4" w:space="0"/>
              <w:left w:val="single" w:color="auto" w:sz="4" w:space="0"/>
              <w:bottom w:val="single" w:color="auto" w:sz="4" w:space="0"/>
              <w:right w:val="single" w:color="auto" w:sz="4" w:space="0"/>
            </w:tcBorders>
            <w:noWrap w:val="0"/>
            <w:vAlign w:val="top"/>
          </w:tcPr>
          <w:p w14:paraId="64E7A239">
            <w:pPr>
              <w:rPr>
                <w:rFonts w:hint="eastAsia" w:asciiTheme="minorEastAsia" w:hAnsiTheme="minorEastAsia" w:eastAsiaTheme="minorEastAsia" w:cstheme="minorEastAsia"/>
                <w:sz w:val="21"/>
                <w:szCs w:val="21"/>
                <w:highlight w:val="none"/>
              </w:rPr>
            </w:pPr>
          </w:p>
          <w:p w14:paraId="1B1E10C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二代身份证的正、反两面复印件</w:t>
            </w:r>
          </w:p>
          <w:p w14:paraId="0AB5DEDF">
            <w:pPr>
              <w:rPr>
                <w:rFonts w:hint="eastAsia" w:asciiTheme="minorEastAsia" w:hAnsiTheme="minorEastAsia" w:eastAsiaTheme="minorEastAsia" w:cstheme="minorEastAsia"/>
                <w:sz w:val="21"/>
                <w:szCs w:val="21"/>
                <w:highlight w:val="none"/>
              </w:rPr>
            </w:pPr>
          </w:p>
          <w:p w14:paraId="478AEBF6">
            <w:pPr>
              <w:rPr>
                <w:rFonts w:hint="eastAsia" w:asciiTheme="minorEastAsia" w:hAnsiTheme="minorEastAsia" w:eastAsiaTheme="minorEastAsia" w:cstheme="minorEastAsia"/>
                <w:sz w:val="21"/>
                <w:szCs w:val="21"/>
                <w:highlight w:val="none"/>
              </w:rPr>
            </w:pPr>
          </w:p>
        </w:tc>
      </w:tr>
    </w:tbl>
    <w:p w14:paraId="0452F7EB">
      <w:pPr>
        <w:spacing w:line="360" w:lineRule="auto"/>
        <w:jc w:val="center"/>
        <w:rPr>
          <w:rFonts w:hint="eastAsia" w:ascii="宋体" w:hAnsi="宋体" w:eastAsia="宋体" w:cs="宋体"/>
          <w:b/>
          <w:bCs/>
          <w:sz w:val="24"/>
          <w:szCs w:val="24"/>
          <w:highlight w:val="none"/>
        </w:rPr>
      </w:pPr>
      <w:r>
        <w:rPr>
          <w:rFonts w:hint="eastAsia" w:ascii="宋体" w:hAnsi="宋体"/>
          <w:b/>
          <w:bCs/>
          <w:sz w:val="28"/>
          <w:szCs w:val="28"/>
          <w:highlight w:val="none"/>
        </w:rPr>
        <w:br w:type="page"/>
      </w:r>
      <w:r>
        <w:rPr>
          <w:rFonts w:hint="eastAsia" w:ascii="宋体" w:hAnsi="宋体" w:eastAsia="宋体" w:cs="宋体"/>
          <w:b/>
          <w:bCs/>
          <w:sz w:val="24"/>
          <w:szCs w:val="24"/>
          <w:highlight w:val="none"/>
        </w:rPr>
        <w:t>（二）授权委托书</w:t>
      </w:r>
    </w:p>
    <w:p w14:paraId="2E7E84E7">
      <w:pPr>
        <w:pStyle w:val="1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本人</w:t>
      </w:r>
      <w:r>
        <w:rPr>
          <w:rFonts w:hint="eastAsia" w:ascii="宋体" w:hAnsi="宋体" w:eastAsia="宋体" w:cs="宋体"/>
          <w:sz w:val="21"/>
          <w:szCs w:val="21"/>
          <w:highlight w:val="none"/>
          <w:u w:val="single"/>
          <w:lang w:eastAsia="zh-CN"/>
        </w:rPr>
        <w:t xml:space="preserve">      （姓名）</w:t>
      </w:r>
      <w:r>
        <w:rPr>
          <w:rFonts w:hint="eastAsia" w:ascii="宋体" w:hAnsi="宋体" w:eastAsia="宋体" w:cs="宋体"/>
          <w:sz w:val="21"/>
          <w:szCs w:val="21"/>
          <w:highlight w:val="none"/>
          <w:lang w:eastAsia="zh-CN"/>
        </w:rPr>
        <w:t>系</w:t>
      </w:r>
      <w:r>
        <w:rPr>
          <w:rFonts w:hint="eastAsia" w:ascii="宋体" w:hAnsi="宋体" w:eastAsia="宋体" w:cs="宋体"/>
          <w:sz w:val="21"/>
          <w:szCs w:val="21"/>
          <w:highlight w:val="none"/>
          <w:u w:val="single"/>
          <w:lang w:eastAsia="zh-CN"/>
        </w:rPr>
        <w:t xml:space="preserve">                      （供应商名称）</w:t>
      </w:r>
      <w:r>
        <w:rPr>
          <w:rFonts w:hint="eastAsia" w:ascii="宋体" w:hAnsi="宋体" w:eastAsia="宋体" w:cs="宋体"/>
          <w:sz w:val="21"/>
          <w:szCs w:val="21"/>
          <w:highlight w:val="none"/>
          <w:lang w:eastAsia="zh-CN"/>
        </w:rPr>
        <w:t>的法定代表人（单位负责人），现委托</w:t>
      </w:r>
      <w:r>
        <w:rPr>
          <w:rFonts w:hint="eastAsia" w:ascii="宋体" w:hAnsi="宋体" w:eastAsia="宋体" w:cs="宋体"/>
          <w:sz w:val="21"/>
          <w:szCs w:val="21"/>
          <w:highlight w:val="none"/>
          <w:u w:val="single"/>
          <w:lang w:eastAsia="zh-CN"/>
        </w:rPr>
        <w:t xml:space="preserve">      （姓名）</w:t>
      </w:r>
      <w:r>
        <w:rPr>
          <w:rFonts w:hint="eastAsia" w:ascii="宋体" w:hAnsi="宋体" w:eastAsia="宋体" w:cs="宋体"/>
          <w:sz w:val="21"/>
          <w:szCs w:val="21"/>
          <w:highlight w:val="none"/>
          <w:lang w:eastAsia="zh-CN"/>
        </w:rPr>
        <w:t>为我方代理人。代理人根据授权．以我方名义签署、澄清确认、递交、撤回、修改</w:t>
      </w:r>
      <w:r>
        <w:rPr>
          <w:rFonts w:hint="eastAsia" w:ascii="宋体" w:hAnsi="宋体" w:eastAsia="宋体" w:cs="宋体"/>
          <w:sz w:val="21"/>
          <w:szCs w:val="21"/>
          <w:highlight w:val="none"/>
          <w:u w:val="single"/>
          <w:lang w:eastAsia="zh-CN"/>
        </w:rPr>
        <w:t>（项目名称、标段）</w:t>
      </w:r>
      <w:r>
        <w:rPr>
          <w:rFonts w:hint="eastAsia" w:ascii="宋体" w:hAnsi="宋体" w:eastAsia="宋体" w:cs="宋体"/>
          <w:sz w:val="21"/>
          <w:szCs w:val="21"/>
          <w:highlight w:val="none"/>
          <w:lang w:eastAsia="zh-CN"/>
        </w:rPr>
        <w:t>响应文件、签订合同和处理有关事官，其法律后果由我方承担。</w:t>
      </w:r>
    </w:p>
    <w:p w14:paraId="5CE97EA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委托期限：自本委托书签署之日起至本项目签订采购合同之日止。</w:t>
      </w:r>
    </w:p>
    <w:p w14:paraId="0B9463C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代理人无转委托权。</w:t>
      </w:r>
    </w:p>
    <w:p w14:paraId="136C004A">
      <w:pPr>
        <w:spacing w:line="360" w:lineRule="auto"/>
        <w:rPr>
          <w:rFonts w:hint="eastAsia" w:ascii="宋体" w:hAnsi="宋体" w:eastAsia="宋体" w:cs="宋体"/>
          <w:sz w:val="21"/>
          <w:szCs w:val="21"/>
          <w:highlight w:val="none"/>
        </w:rPr>
      </w:pPr>
    </w:p>
    <w:p w14:paraId="3664A5C2">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附件：法定代表人和委托代理人身份证复印件</w:t>
      </w:r>
    </w:p>
    <w:p w14:paraId="0F540A3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3C0014A">
      <w:pPr>
        <w:spacing w:line="360" w:lineRule="auto"/>
        <w:rPr>
          <w:rFonts w:hint="eastAsia" w:ascii="宋体" w:hAnsi="宋体" w:eastAsia="宋体" w:cs="宋体"/>
          <w:sz w:val="21"/>
          <w:szCs w:val="21"/>
          <w:highlight w:val="none"/>
        </w:rPr>
      </w:pPr>
    </w:p>
    <w:p w14:paraId="35C0FEAB">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u w:val="single"/>
        </w:rPr>
        <w:t xml:space="preserve">                      （单位全称）</w:t>
      </w:r>
    </w:p>
    <w:p w14:paraId="4D010E4A">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w:t>
      </w:r>
      <w:r>
        <w:rPr>
          <w:rFonts w:hint="eastAsia" w:ascii="宋体" w:hAnsi="宋体" w:eastAsia="宋体" w:cs="宋体"/>
          <w:sz w:val="21"/>
          <w:szCs w:val="21"/>
          <w:highlight w:val="none"/>
          <w:u w:val="single"/>
        </w:rPr>
        <w:t xml:space="preserve">               </w:t>
      </w:r>
    </w:p>
    <w:p w14:paraId="2E282D12">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p>
    <w:p w14:paraId="47978AD5">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w:t>
      </w:r>
      <w:r>
        <w:rPr>
          <w:rFonts w:hint="eastAsia" w:ascii="宋体" w:hAnsi="宋体" w:eastAsia="宋体" w:cs="宋体"/>
          <w:sz w:val="21"/>
          <w:szCs w:val="21"/>
          <w:highlight w:val="none"/>
          <w:u w:val="single"/>
        </w:rPr>
        <w:t xml:space="preserve">                              </w:t>
      </w:r>
    </w:p>
    <w:p w14:paraId="6B9E7A87">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p>
    <w:p w14:paraId="1CC1B227">
      <w:pPr>
        <w:spacing w:line="360" w:lineRule="auto"/>
        <w:rPr>
          <w:rFonts w:hint="eastAsia" w:ascii="宋体" w:hAnsi="宋体" w:eastAsia="宋体" w:cs="宋体"/>
          <w:sz w:val="21"/>
          <w:szCs w:val="21"/>
          <w:highlight w:val="none"/>
        </w:rPr>
      </w:pPr>
    </w:p>
    <w:p w14:paraId="0C103291">
      <w:pPr>
        <w:spacing w:line="360" w:lineRule="auto"/>
        <w:ind w:firstLine="5250" w:firstLineChars="25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474C3CF1">
      <w:pPr>
        <w:spacing w:before="36"/>
        <w:ind w:right="-58"/>
        <w:rPr>
          <w:rFonts w:hint="eastAsia" w:ascii="宋体" w:hAnsi="宋体" w:eastAsia="宋体" w:cs="宋体"/>
          <w:sz w:val="21"/>
          <w:szCs w:val="21"/>
          <w:highlight w:val="none"/>
        </w:rPr>
      </w:pPr>
    </w:p>
    <w:p w14:paraId="6623C0A9">
      <w:pPr>
        <w:spacing w:before="36"/>
        <w:ind w:right="-58"/>
        <w:rPr>
          <w:rFonts w:hint="eastAsia" w:ascii="宋体" w:hAnsi="宋体" w:eastAsia="宋体" w:cs="宋体"/>
          <w:sz w:val="21"/>
          <w:szCs w:val="21"/>
          <w:highlight w:val="none"/>
        </w:rPr>
      </w:pPr>
    </w:p>
    <w:p w14:paraId="04618898">
      <w:pPr>
        <w:spacing w:before="36"/>
        <w:ind w:right="-58"/>
        <w:rPr>
          <w:rFonts w:hint="eastAsia" w:ascii="宋体" w:hAnsi="宋体" w:cs="宋体"/>
          <w:szCs w:val="21"/>
          <w:highlight w:val="none"/>
        </w:rPr>
      </w:pPr>
      <w:r>
        <w:rPr>
          <w:rFonts w:hint="eastAsia" w:ascii="宋体" w:hAnsi="宋体" w:eastAsia="宋体" w:cs="宋体"/>
          <w:sz w:val="21"/>
          <w:szCs w:val="21"/>
          <w:highlight w:val="none"/>
        </w:rPr>
        <w:t>注：本授权委托书只能授权给一名委托代理人。</w:t>
      </w:r>
    </w:p>
    <w:p w14:paraId="754C3824">
      <w:pPr>
        <w:spacing w:line="440" w:lineRule="exact"/>
        <w:ind w:firstLine="4057" w:firstLineChars="1932"/>
        <w:jc w:val="right"/>
        <w:rPr>
          <w:rFonts w:ascii="Calibri" w:hAnsi="Calibri"/>
          <w:highlight w:val="none"/>
        </w:rPr>
      </w:pPr>
    </w:p>
    <w:p w14:paraId="4C57A280">
      <w:pPr>
        <w:jc w:val="center"/>
        <w:rPr>
          <w:rFonts w:ascii="宋体"/>
          <w:b/>
          <w:bCs/>
          <w:sz w:val="32"/>
          <w:szCs w:val="32"/>
          <w:highlight w:val="none"/>
        </w:rPr>
      </w:pPr>
      <w:r>
        <w:rPr>
          <w:rFonts w:ascii="宋体"/>
          <w:b/>
          <w:bCs/>
          <w:sz w:val="32"/>
          <w:szCs w:val="32"/>
          <w:highlight w:val="none"/>
        </w:rPr>
        <w:br w:type="page"/>
      </w:r>
    </w:p>
    <w:p w14:paraId="63268D31">
      <w:pPr>
        <w:pStyle w:val="5"/>
        <w:jc w:val="left"/>
        <w:rPr>
          <w:rFonts w:ascii="宋体" w:hAnsi="宋体" w:eastAsia="宋体" w:cs="宋体"/>
          <w:sz w:val="21"/>
          <w:szCs w:val="21"/>
          <w:highlight w:val="none"/>
        </w:rPr>
      </w:pPr>
      <w:bookmarkStart w:id="479" w:name="_Toc535049459"/>
      <w:bookmarkStart w:id="480" w:name="_Toc11848982"/>
      <w:bookmarkStart w:id="481" w:name="_Toc317264995"/>
      <w:bookmarkStart w:id="482" w:name="_Toc535067081"/>
      <w:bookmarkStart w:id="483" w:name="_Toc269285760"/>
      <w:bookmarkStart w:id="484" w:name="_Toc294461505"/>
      <w:bookmarkStart w:id="485" w:name="_Toc9861520"/>
      <w:bookmarkStart w:id="486" w:name="_Toc300734837"/>
      <w:r>
        <w:rPr>
          <w:rFonts w:hint="eastAsia" w:ascii="宋体" w:hAnsi="宋体" w:eastAsia="宋体" w:cs="宋体"/>
          <w:sz w:val="21"/>
          <w:szCs w:val="21"/>
          <w:highlight w:val="none"/>
        </w:rPr>
        <w:t>附件：委托代理人身份证</w:t>
      </w:r>
      <w:r>
        <w:rPr>
          <w:rFonts w:ascii="Calibri" w:hAnsi="Calibri" w:eastAsia="宋体"/>
          <w:sz w:val="21"/>
          <w:szCs w:val="24"/>
          <w:highlight w:val="none"/>
        </w:rPr>
        <w:t>扫描</w:t>
      </w:r>
      <w:r>
        <w:rPr>
          <w:rFonts w:hint="eastAsia" w:ascii="宋体" w:hAnsi="宋体" w:eastAsia="宋体" w:cs="宋体"/>
          <w:sz w:val="21"/>
          <w:szCs w:val="21"/>
          <w:highlight w:val="none"/>
        </w:rPr>
        <w:t>件</w:t>
      </w:r>
      <w:bookmarkEnd w:id="479"/>
      <w:bookmarkEnd w:id="480"/>
      <w:bookmarkEnd w:id="481"/>
      <w:bookmarkEnd w:id="482"/>
      <w:bookmarkEnd w:id="483"/>
      <w:bookmarkEnd w:id="484"/>
      <w:bookmarkEnd w:id="485"/>
      <w:bookmarkEnd w:id="486"/>
    </w:p>
    <w:p w14:paraId="73AC4FD9">
      <w:pPr>
        <w:rPr>
          <w:rFonts w:ascii="宋体" w:cs="宋体"/>
          <w:szCs w:val="21"/>
          <w:highlight w:val="none"/>
        </w:rPr>
      </w:pPr>
    </w:p>
    <w:p w14:paraId="733E764C">
      <w:pPr>
        <w:jc w:val="center"/>
        <w:rPr>
          <w:rFonts w:hint="eastAsia" w:ascii="宋体" w:hAnsi="宋体" w:eastAsia="宋体" w:cs="宋体"/>
          <w:b/>
          <w:sz w:val="21"/>
          <w:szCs w:val="21"/>
          <w:highlight w:val="none"/>
        </w:rPr>
      </w:pPr>
    </w:p>
    <w:p w14:paraId="22AA7A9F">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委托代理人身份证扫描件</w:t>
      </w:r>
    </w:p>
    <w:tbl>
      <w:tblPr>
        <w:tblStyle w:val="40"/>
        <w:tblpPr w:leftFromText="180" w:rightFromText="180" w:vertAnchor="text" w:horzAnchor="margin" w:tblpXSpec="center" w:tblpY="4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0E23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043" w:type="dxa"/>
            <w:tcBorders>
              <w:top w:val="single" w:color="auto" w:sz="4" w:space="0"/>
              <w:left w:val="single" w:color="auto" w:sz="4" w:space="0"/>
              <w:bottom w:val="single" w:color="auto" w:sz="4" w:space="0"/>
              <w:right w:val="single" w:color="auto" w:sz="4" w:space="0"/>
            </w:tcBorders>
            <w:noWrap w:val="0"/>
            <w:vAlign w:val="top"/>
          </w:tcPr>
          <w:p w14:paraId="1ED2C48A">
            <w:pPr>
              <w:rPr>
                <w:rFonts w:hint="eastAsia" w:ascii="宋体" w:hAnsi="宋体" w:eastAsia="宋体" w:cs="宋体"/>
                <w:sz w:val="21"/>
                <w:szCs w:val="21"/>
                <w:highlight w:val="none"/>
              </w:rPr>
            </w:pPr>
          </w:p>
          <w:p w14:paraId="1E98646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二代身份证的正、反两面扫描件</w:t>
            </w:r>
          </w:p>
          <w:p w14:paraId="44B604C5">
            <w:pPr>
              <w:ind w:left="0" w:leftChars="0" w:firstLine="0" w:firstLineChars="0"/>
              <w:rPr>
                <w:rFonts w:hint="eastAsia" w:ascii="宋体" w:hAnsi="宋体" w:eastAsia="宋体" w:cs="宋体"/>
                <w:sz w:val="21"/>
                <w:szCs w:val="21"/>
                <w:highlight w:val="none"/>
              </w:rPr>
            </w:pPr>
          </w:p>
        </w:tc>
      </w:tr>
    </w:tbl>
    <w:p w14:paraId="280D48FE">
      <w:pPr>
        <w:keepNext/>
        <w:keepLines/>
        <w:spacing w:before="260" w:after="260" w:line="412" w:lineRule="auto"/>
        <w:jc w:val="center"/>
        <w:outlineLvl w:val="1"/>
        <w:rPr>
          <w:rFonts w:ascii="宋体" w:hAnsi="宋体"/>
          <w:b/>
          <w:sz w:val="32"/>
          <w:szCs w:val="20"/>
        </w:rPr>
      </w:pPr>
      <w:r>
        <w:rPr>
          <w:rFonts w:ascii="宋体"/>
          <w:b/>
          <w:bCs/>
          <w:sz w:val="32"/>
          <w:szCs w:val="32"/>
          <w:highlight w:val="none"/>
        </w:rPr>
        <w:br w:type="page"/>
      </w:r>
      <w:r>
        <w:rPr>
          <w:rFonts w:ascii="宋体" w:hAnsi="宋体"/>
          <w:b/>
          <w:sz w:val="32"/>
          <w:szCs w:val="20"/>
        </w:rPr>
        <w:t>三、联合体协议书</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620AF3DB">
      <w:pPr>
        <w:jc w:val="center"/>
        <w:rPr>
          <w:rFonts w:ascii="宋体" w:hAnsi="宋体"/>
        </w:rPr>
      </w:pPr>
      <w:r>
        <w:rPr>
          <w:rFonts w:ascii="宋体" w:hAnsi="宋体"/>
        </w:rPr>
        <w:t>（适用于供应商组成联合体的情况，若</w:t>
      </w:r>
      <w:r>
        <w:rPr>
          <w:rFonts w:hint="eastAsia" w:ascii="宋体" w:hAnsi="宋体"/>
        </w:rPr>
        <w:t>无需组成联合体</w:t>
      </w:r>
      <w:r>
        <w:rPr>
          <w:rFonts w:ascii="宋体" w:hAnsi="宋体"/>
        </w:rPr>
        <w:t>，空置此页即可）</w:t>
      </w:r>
    </w:p>
    <w:p w14:paraId="2980705B">
      <w:pPr>
        <w:jc w:val="center"/>
        <w:rPr>
          <w:rFonts w:ascii="宋体" w:hAnsi="宋体"/>
        </w:rPr>
      </w:pPr>
    </w:p>
    <w:p w14:paraId="7A605060">
      <w:pPr>
        <w:topLinePunct/>
        <w:spacing w:line="440" w:lineRule="exact"/>
        <w:ind w:firstLine="420"/>
        <w:rPr>
          <w:rFonts w:ascii="宋体" w:hAnsi="宋体"/>
        </w:rPr>
      </w:pPr>
      <w:r>
        <w:rPr>
          <w:rFonts w:ascii="宋体" w:hAnsi="宋体"/>
          <w:u w:val="single"/>
        </w:rPr>
        <w:t xml:space="preserve">                </w:t>
      </w:r>
      <w:r>
        <w:rPr>
          <w:rFonts w:ascii="宋体" w:hAnsi="宋体"/>
        </w:rPr>
        <w:t>（所有成员单位名称）自愿组成</w:t>
      </w:r>
      <w:r>
        <w:rPr>
          <w:rFonts w:ascii="宋体" w:hAnsi="宋体"/>
          <w:u w:val="single"/>
        </w:rPr>
        <w:t xml:space="preserve">        </w:t>
      </w:r>
      <w:r>
        <w:rPr>
          <w:rFonts w:ascii="宋体" w:hAnsi="宋体"/>
        </w:rPr>
        <w:t>（联合体名称）联合体，共同参加</w:t>
      </w:r>
      <w:r>
        <w:rPr>
          <w:rFonts w:ascii="宋体" w:hAnsi="宋体"/>
          <w:u w:val="single"/>
        </w:rPr>
        <w:t xml:space="preserve">              </w:t>
      </w:r>
      <w:r>
        <w:rPr>
          <w:rFonts w:ascii="宋体" w:hAnsi="宋体"/>
        </w:rPr>
        <w:t>（项目名称）框架协议活动</w:t>
      </w:r>
      <w:r>
        <w:rPr>
          <w:rFonts w:ascii="宋体" w:hAnsi="宋体"/>
          <w:szCs w:val="21"/>
        </w:rPr>
        <w:t>。现就组成联</w:t>
      </w:r>
      <w:r>
        <w:rPr>
          <w:rFonts w:ascii="宋体" w:hAnsi="宋体"/>
        </w:rPr>
        <w:t>合体事宜订立如下协议。</w:t>
      </w:r>
    </w:p>
    <w:p w14:paraId="26C469EC">
      <w:pPr>
        <w:topLinePunct/>
        <w:spacing w:line="440" w:lineRule="exact"/>
        <w:ind w:firstLine="420"/>
        <w:rPr>
          <w:rFonts w:ascii="宋体" w:hAnsi="宋体"/>
        </w:rPr>
      </w:pPr>
      <w:r>
        <w:t>1</w:t>
      </w:r>
      <w:r>
        <w:rPr>
          <w:rFonts w:ascii="宋体" w:hAnsi="宋体"/>
        </w:rPr>
        <w:t xml:space="preserve">. </w:t>
      </w:r>
      <w:r>
        <w:rPr>
          <w:rFonts w:ascii="宋体" w:hAnsi="宋体"/>
          <w:u w:val="single"/>
        </w:rPr>
        <w:t xml:space="preserve">                  </w:t>
      </w:r>
      <w:r>
        <w:rPr>
          <w:rFonts w:ascii="宋体" w:hAnsi="宋体"/>
        </w:rPr>
        <w:t>（某成员单位名称）为</w:t>
      </w:r>
      <w:r>
        <w:rPr>
          <w:rFonts w:ascii="宋体" w:hAnsi="宋体"/>
          <w:u w:val="single"/>
        </w:rPr>
        <w:t xml:space="preserve">        </w:t>
      </w:r>
      <w:r>
        <w:rPr>
          <w:rFonts w:ascii="宋体" w:hAnsi="宋体"/>
        </w:rPr>
        <w:t>（联合体名称）牵头人。</w:t>
      </w:r>
    </w:p>
    <w:p w14:paraId="48DF16A4">
      <w:pPr>
        <w:topLinePunct/>
        <w:spacing w:line="440" w:lineRule="exact"/>
        <w:ind w:firstLine="420"/>
        <w:rPr>
          <w:rFonts w:ascii="宋体" w:hAnsi="宋体"/>
        </w:rPr>
      </w:pPr>
      <w:r>
        <w:t>2</w:t>
      </w:r>
      <w:r>
        <w:rPr>
          <w:rFonts w:ascii="宋体" w:hAnsi="宋体"/>
        </w:rPr>
        <w:t>. 联合体各成员授权牵头人代表联合体参加框架协议采购活动，签署文件，递交和接收相</w:t>
      </w:r>
      <w:bookmarkStart w:id="487" w:name="_Toc247527830"/>
      <w:bookmarkStart w:id="488" w:name="_Toc152045790"/>
      <w:bookmarkStart w:id="489" w:name="_Toc247514249"/>
      <w:bookmarkStart w:id="490" w:name="_Toc361508755"/>
      <w:bookmarkStart w:id="491" w:name="_Toc300835212"/>
      <w:bookmarkStart w:id="492" w:name="_Toc384308378"/>
      <w:bookmarkStart w:id="493" w:name="_Toc152042579"/>
      <w:bookmarkStart w:id="494" w:name="_Toc144974859"/>
      <w:r>
        <w:rPr>
          <w:rFonts w:ascii="宋体" w:hAnsi="宋体"/>
        </w:rPr>
        <w:t>关的</w:t>
      </w:r>
      <w:bookmarkStart w:id="495" w:name="_Toc352691664"/>
      <w:bookmarkStart w:id="496" w:name="_Toc7749"/>
      <w:bookmarkStart w:id="497" w:name="_Toc369531700"/>
      <w:r>
        <w:rPr>
          <w:rFonts w:ascii="宋体" w:hAnsi="宋体"/>
        </w:rPr>
        <w:t>资料、信息及</w:t>
      </w:r>
      <w:bookmarkEnd w:id="495"/>
      <w:bookmarkEnd w:id="496"/>
      <w:bookmarkEnd w:id="497"/>
      <w:r>
        <w:rPr>
          <w:rFonts w:ascii="宋体" w:hAnsi="宋体"/>
        </w:rPr>
        <w:t>指</w:t>
      </w:r>
      <w:bookmarkEnd w:id="487"/>
      <w:bookmarkEnd w:id="488"/>
      <w:bookmarkEnd w:id="489"/>
      <w:bookmarkEnd w:id="490"/>
      <w:bookmarkEnd w:id="491"/>
      <w:bookmarkEnd w:id="492"/>
      <w:bookmarkEnd w:id="493"/>
      <w:bookmarkEnd w:id="494"/>
      <w:r>
        <w:rPr>
          <w:rFonts w:ascii="宋体" w:hAnsi="宋体"/>
        </w:rPr>
        <w:t>示，进行合同谈判活动，负责合同实施阶段的组织和协调工作，以及处理与本采购项目有关的一切事宜。</w:t>
      </w:r>
    </w:p>
    <w:p w14:paraId="0FBC89CC">
      <w:pPr>
        <w:topLinePunct/>
        <w:spacing w:line="440" w:lineRule="exact"/>
        <w:ind w:firstLine="420"/>
        <w:rPr>
          <w:rFonts w:ascii="宋体" w:hAnsi="宋体"/>
        </w:rPr>
      </w:pPr>
      <w:r>
        <w:t>3</w:t>
      </w:r>
      <w:bookmarkStart w:id="498" w:name="_Toc152045791"/>
      <w:bookmarkStart w:id="499" w:name="_Toc27930"/>
      <w:bookmarkStart w:id="500" w:name="_Toc144974860"/>
      <w:bookmarkStart w:id="501" w:name="_Toc384308380"/>
      <w:bookmarkStart w:id="502" w:name="_Toc361508756"/>
      <w:bookmarkStart w:id="503" w:name="_Toc352691665"/>
      <w:bookmarkStart w:id="504" w:name="_Toc152042580"/>
      <w:bookmarkStart w:id="505" w:name="_Toc369531701"/>
      <w:bookmarkStart w:id="506" w:name="_Toc247514283"/>
      <w:bookmarkStart w:id="507" w:name="_Toc300835213"/>
      <w:bookmarkStart w:id="508" w:name="_Toc247527831"/>
      <w:r>
        <w:rPr>
          <w:rFonts w:ascii="宋体" w:hAnsi="宋体"/>
        </w:rPr>
        <w:t>. 联合体牵头人在本项目中签署的一切文件和处理</w:t>
      </w:r>
      <w:bookmarkEnd w:id="498"/>
      <w:bookmarkEnd w:id="499"/>
      <w:bookmarkEnd w:id="500"/>
      <w:bookmarkEnd w:id="501"/>
      <w:bookmarkEnd w:id="502"/>
      <w:bookmarkEnd w:id="503"/>
      <w:bookmarkEnd w:id="504"/>
      <w:bookmarkEnd w:id="505"/>
      <w:bookmarkEnd w:id="506"/>
      <w:bookmarkEnd w:id="507"/>
      <w:bookmarkEnd w:id="508"/>
      <w:r>
        <w:rPr>
          <w:rFonts w:ascii="宋体" w:hAnsi="宋体"/>
        </w:rPr>
        <w:t>的一切事宜，联合体各成员均予以承认。联合体各成员将严格按照采购文件、响应文件和合同的要求全面履行义务，并向采购人承担连带责任。</w:t>
      </w:r>
    </w:p>
    <w:p w14:paraId="3F586B19">
      <w:pPr>
        <w:topLinePunct/>
        <w:spacing w:line="440" w:lineRule="exact"/>
        <w:ind w:firstLine="420"/>
        <w:rPr>
          <w:rFonts w:ascii="宋体" w:hAnsi="宋体"/>
        </w:rPr>
      </w:pPr>
      <w:r>
        <w:t>4</w:t>
      </w:r>
      <w:r>
        <w:rPr>
          <w:rFonts w:ascii="宋体" w:hAnsi="宋体"/>
        </w:rPr>
        <w:t>.联合体各方承诺不以自己名义单独或参加其他联合体参与本框架协议采购项目。</w:t>
      </w:r>
    </w:p>
    <w:p w14:paraId="77E3F0F3">
      <w:pPr>
        <w:topLinePunct/>
        <w:spacing w:line="440" w:lineRule="exact"/>
        <w:ind w:firstLine="420"/>
        <w:jc w:val="left"/>
        <w:rPr>
          <w:rFonts w:ascii="宋体" w:hAnsi="宋体"/>
        </w:rPr>
      </w:pPr>
      <w:r>
        <w:t>5</w:t>
      </w:r>
      <w:r>
        <w:rPr>
          <w:rFonts w:ascii="宋体" w:hAnsi="宋体"/>
        </w:rPr>
        <w:t>. 联合体各成员单位内部的职责分工如下：</w:t>
      </w:r>
      <w:r>
        <w:rPr>
          <w:rFonts w:ascii="宋体" w:hAnsi="宋体"/>
          <w:u w:val="single"/>
        </w:rPr>
        <w:t xml:space="preserve">                                  </w:t>
      </w:r>
      <w:r>
        <w:rPr>
          <w:rFonts w:ascii="宋体" w:hAnsi="宋体"/>
        </w:rPr>
        <w:t>。</w:t>
      </w:r>
    </w:p>
    <w:p w14:paraId="582B4EFD">
      <w:pPr>
        <w:topLinePunct/>
        <w:spacing w:line="440" w:lineRule="exact"/>
        <w:ind w:firstLine="420"/>
        <w:rPr>
          <w:rFonts w:ascii="宋体" w:hAnsi="宋体"/>
        </w:rPr>
      </w:pPr>
      <w:r>
        <w:t>6</w:t>
      </w:r>
      <w:r>
        <w:rPr>
          <w:rFonts w:ascii="宋体" w:hAnsi="宋体"/>
        </w:rPr>
        <w:t>. 本协议书自所有成员加盖单位章之日起生效，</w:t>
      </w:r>
      <w:r>
        <w:rPr>
          <w:rFonts w:ascii="宋体" w:hAnsi="宋体"/>
          <w:szCs w:val="21"/>
        </w:rPr>
        <w:t>合同履行完毕后自动失效</w:t>
      </w:r>
      <w:r>
        <w:rPr>
          <w:rFonts w:ascii="宋体" w:hAnsi="宋体"/>
        </w:rPr>
        <w:t>。</w:t>
      </w:r>
    </w:p>
    <w:p w14:paraId="081A85A0">
      <w:pPr>
        <w:topLinePunct/>
        <w:spacing w:line="440" w:lineRule="exact"/>
        <w:ind w:firstLine="420"/>
        <w:rPr>
          <w:rFonts w:ascii="宋体" w:hAnsi="宋体"/>
        </w:rPr>
      </w:pPr>
      <w:r>
        <w:t>7</w:t>
      </w:r>
      <w:r>
        <w:rPr>
          <w:rFonts w:ascii="宋体" w:hAnsi="宋体"/>
        </w:rPr>
        <w:t>. 本协议书一式</w:t>
      </w:r>
      <w:r>
        <w:rPr>
          <w:rFonts w:ascii="宋体" w:hAnsi="宋体"/>
          <w:u w:val="single"/>
        </w:rPr>
        <w:t xml:space="preserve">    </w:t>
      </w:r>
      <w:r>
        <w:rPr>
          <w:rFonts w:ascii="宋体" w:hAnsi="宋体"/>
        </w:rPr>
        <w:t>份，联合体成员和采购人各执一份。</w:t>
      </w:r>
    </w:p>
    <w:p w14:paraId="0A6631A1">
      <w:pPr>
        <w:topLinePunct/>
        <w:spacing w:line="440" w:lineRule="exact"/>
        <w:rPr>
          <w:rFonts w:ascii="宋体" w:hAnsi="宋体"/>
        </w:rPr>
      </w:pPr>
    </w:p>
    <w:p w14:paraId="4BFEEAC9">
      <w:pPr>
        <w:topLinePunct/>
        <w:spacing w:line="440" w:lineRule="exact"/>
        <w:ind w:firstLine="2408" w:firstLineChars="1147"/>
        <w:rPr>
          <w:rFonts w:ascii="宋体" w:hAnsi="宋体"/>
        </w:rPr>
      </w:pPr>
      <w:r>
        <w:rPr>
          <w:rFonts w:ascii="宋体" w:hAnsi="宋体"/>
        </w:rPr>
        <w:t>联合体牵头人名称：</w:t>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（盖单位章）</w:t>
      </w:r>
    </w:p>
    <w:p w14:paraId="6D318CE3">
      <w:pPr>
        <w:topLinePunct/>
        <w:spacing w:line="440" w:lineRule="exact"/>
        <w:ind w:firstLine="2408" w:firstLineChars="1147"/>
        <w:jc w:val="left"/>
        <w:rPr>
          <w:rFonts w:ascii="宋体" w:hAnsi="宋体"/>
        </w:rPr>
      </w:pPr>
    </w:p>
    <w:p w14:paraId="1F4E35C0">
      <w:pPr>
        <w:topLinePunct/>
        <w:spacing w:line="440" w:lineRule="exact"/>
        <w:ind w:firstLine="2408" w:firstLineChars="1147"/>
        <w:jc w:val="left"/>
        <w:rPr>
          <w:rFonts w:ascii="宋体" w:hAnsi="宋体"/>
        </w:rPr>
      </w:pPr>
      <w:r>
        <w:rPr>
          <w:rFonts w:ascii="宋体" w:hAnsi="宋体"/>
        </w:rPr>
        <w:t>联合体成员名称：</w:t>
      </w:r>
      <w:r>
        <w:rPr>
          <w:rFonts w:ascii="宋体" w:hAnsi="宋体"/>
          <w:szCs w:val="21"/>
          <w:u w:val="single"/>
        </w:rPr>
        <w:t xml:space="preserve">                          </w:t>
      </w:r>
      <w:r>
        <w:rPr>
          <w:rFonts w:ascii="宋体" w:hAnsi="宋体"/>
          <w:szCs w:val="21"/>
          <w:u w:val="single"/>
        </w:rPr>
        <w:tab/>
      </w:r>
      <w:r>
        <w:rPr>
          <w:rFonts w:ascii="宋体" w:hAnsi="宋体"/>
        </w:rPr>
        <w:t>（盖单位章）</w:t>
      </w:r>
    </w:p>
    <w:p w14:paraId="141F8ED0">
      <w:pPr>
        <w:topLinePunct/>
        <w:spacing w:line="440" w:lineRule="exact"/>
        <w:ind w:firstLine="2408" w:firstLineChars="1147"/>
        <w:jc w:val="left"/>
        <w:rPr>
          <w:rFonts w:ascii="宋体" w:hAnsi="宋体"/>
        </w:rPr>
      </w:pPr>
    </w:p>
    <w:p w14:paraId="7BF9C003">
      <w:pPr>
        <w:topLinePunct/>
        <w:spacing w:line="440" w:lineRule="exact"/>
        <w:ind w:firstLine="2408" w:firstLineChars="1147"/>
        <w:jc w:val="left"/>
        <w:rPr>
          <w:rFonts w:ascii="宋体" w:hAnsi="宋体"/>
        </w:rPr>
      </w:pPr>
      <w:r>
        <w:rPr>
          <w:rFonts w:ascii="宋体" w:hAnsi="宋体"/>
        </w:rPr>
        <w:t>联合体成员名称：</w:t>
      </w:r>
      <w:r>
        <w:rPr>
          <w:rFonts w:ascii="宋体" w:hAnsi="宋体"/>
          <w:szCs w:val="21"/>
          <w:u w:val="single"/>
        </w:rPr>
        <w:t xml:space="preserve">                          </w:t>
      </w:r>
      <w:r>
        <w:rPr>
          <w:rFonts w:ascii="宋体" w:hAnsi="宋体"/>
          <w:szCs w:val="21"/>
          <w:u w:val="single"/>
        </w:rPr>
        <w:tab/>
      </w:r>
      <w:r>
        <w:rPr>
          <w:rFonts w:ascii="宋体" w:hAnsi="宋体"/>
        </w:rPr>
        <w:t>（盖单位章）</w:t>
      </w:r>
    </w:p>
    <w:p w14:paraId="334C4638">
      <w:pPr>
        <w:topLinePunct/>
        <w:spacing w:line="440" w:lineRule="exact"/>
        <w:ind w:firstLine="2408" w:firstLineChars="1147"/>
        <w:rPr>
          <w:rFonts w:ascii="宋体" w:hAnsi="宋体"/>
        </w:rPr>
      </w:pPr>
      <w:r>
        <w:rPr>
          <w:rFonts w:ascii="宋体" w:hAnsi="宋体"/>
        </w:rPr>
        <w:t xml:space="preserve">…… </w:t>
      </w:r>
    </w:p>
    <w:p w14:paraId="5CADD77A">
      <w:pPr>
        <w:topLinePunct/>
        <w:spacing w:line="440" w:lineRule="exact"/>
        <w:ind w:firstLine="3700" w:firstLineChars="1762"/>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r>
        <w:rPr>
          <w:rFonts w:ascii="宋体" w:hAnsi="宋体"/>
        </w:rPr>
        <w:br w:type="page"/>
      </w:r>
    </w:p>
    <w:p w14:paraId="1B6C1734">
      <w:pPr>
        <w:keepNext/>
        <w:keepLines/>
        <w:spacing w:before="260" w:after="260" w:line="412" w:lineRule="auto"/>
        <w:jc w:val="center"/>
        <w:outlineLvl w:val="1"/>
        <w:rPr>
          <w:rFonts w:ascii="宋体" w:hAnsi="宋体"/>
          <w:b/>
          <w:sz w:val="32"/>
          <w:szCs w:val="20"/>
        </w:rPr>
      </w:pPr>
      <w:bookmarkStart w:id="509" w:name="_Toc25626"/>
      <w:bookmarkStart w:id="510" w:name="_Toc9475"/>
      <w:bookmarkStart w:id="511" w:name="_Toc137648477"/>
      <w:bookmarkStart w:id="512" w:name="_Toc13130"/>
      <w:bookmarkStart w:id="513" w:name="_Toc118806299"/>
      <w:bookmarkStart w:id="514" w:name="_Toc118805928"/>
      <w:bookmarkStart w:id="515" w:name="_Toc149140274"/>
      <w:bookmarkStart w:id="516" w:name="_Toc118805174"/>
      <w:bookmarkStart w:id="517" w:name="_Toc118805551"/>
      <w:bookmarkStart w:id="518" w:name="_Toc626_WPSOffice_Level1"/>
      <w:bookmarkStart w:id="519" w:name="_Toc19097"/>
      <w:bookmarkStart w:id="520" w:name="_Toc26891"/>
      <w:bookmarkStart w:id="521" w:name="_Toc12179"/>
      <w:r>
        <w:rPr>
          <w:rFonts w:ascii="宋体" w:hAnsi="宋体"/>
          <w:b/>
          <w:sz w:val="32"/>
          <w:szCs w:val="20"/>
        </w:rPr>
        <w:t>四、响应保证金</w:t>
      </w:r>
      <w:bookmarkEnd w:id="509"/>
      <w:bookmarkEnd w:id="510"/>
      <w:bookmarkEnd w:id="511"/>
      <w:bookmarkEnd w:id="512"/>
      <w:bookmarkEnd w:id="513"/>
      <w:bookmarkEnd w:id="514"/>
      <w:bookmarkEnd w:id="515"/>
      <w:bookmarkEnd w:id="516"/>
      <w:bookmarkEnd w:id="517"/>
      <w:bookmarkEnd w:id="518"/>
      <w:bookmarkEnd w:id="519"/>
      <w:bookmarkEnd w:id="520"/>
      <w:bookmarkEnd w:id="521"/>
    </w:p>
    <w:p w14:paraId="06743D7E">
      <w:pPr>
        <w:jc w:val="center"/>
        <w:rPr>
          <w:rFonts w:ascii="宋体" w:hAnsi="宋体"/>
        </w:rPr>
      </w:pPr>
      <w:r>
        <w:rPr>
          <w:rFonts w:ascii="宋体" w:hAnsi="宋体"/>
        </w:rPr>
        <w:t>（适用于递交响应保证金的情况，若不需要递交保证金，空置此页即可）</w:t>
      </w:r>
    </w:p>
    <w:p w14:paraId="58707E49">
      <w:pPr>
        <w:jc w:val="center"/>
        <w:rPr>
          <w:rFonts w:ascii="宋体" w:hAnsi="宋体"/>
        </w:rPr>
      </w:pPr>
    </w:p>
    <w:p w14:paraId="39BE3623">
      <w:pPr>
        <w:spacing w:line="400" w:lineRule="exact"/>
        <w:rPr>
          <w:rFonts w:ascii="宋体" w:hAnsi="宋体"/>
          <w:szCs w:val="21"/>
        </w:rPr>
      </w:pPr>
      <w:r>
        <w:rPr>
          <w:szCs w:val="21"/>
        </w:rPr>
        <w:t>1</w:t>
      </w:r>
      <w:r>
        <w:rPr>
          <w:rFonts w:ascii="宋体" w:hAnsi="宋体"/>
          <w:szCs w:val="21"/>
        </w:rPr>
        <w:t>、采用现金转账或电汇方式的，供应商应在此提供转账凭证彩色扫描件。</w:t>
      </w:r>
    </w:p>
    <w:p w14:paraId="33545008">
      <w:pPr>
        <w:spacing w:line="440" w:lineRule="exact"/>
        <w:rPr>
          <w:rFonts w:ascii="宋体" w:hAnsi="宋体"/>
          <w:szCs w:val="21"/>
        </w:rPr>
      </w:pPr>
      <w:r>
        <w:rPr>
          <w:szCs w:val="21"/>
        </w:rPr>
        <w:t>2</w:t>
      </w:r>
      <w:r>
        <w:rPr>
          <w:rFonts w:ascii="宋体" w:hAnsi="宋体"/>
          <w:szCs w:val="21"/>
        </w:rPr>
        <w:t>、采用</w:t>
      </w:r>
      <w:r>
        <w:rPr>
          <w:rFonts w:hint="eastAsia" w:ascii="宋体" w:hAnsi="宋体"/>
          <w:szCs w:val="21"/>
        </w:rPr>
        <w:t>保险机构保证保险、</w:t>
      </w:r>
      <w:r>
        <w:rPr>
          <w:rFonts w:ascii="宋体" w:hAnsi="宋体"/>
          <w:szCs w:val="21"/>
        </w:rPr>
        <w:t>担保机构担保</w:t>
      </w:r>
      <w:r>
        <w:rPr>
          <w:rFonts w:hint="eastAsia" w:ascii="宋体" w:hAnsi="宋体"/>
          <w:szCs w:val="21"/>
        </w:rPr>
        <w:t>保</w:t>
      </w:r>
      <w:r>
        <w:rPr>
          <w:rFonts w:ascii="宋体" w:hAnsi="宋体"/>
          <w:szCs w:val="21"/>
        </w:rPr>
        <w:t>函方式的，格式如下：</w:t>
      </w:r>
    </w:p>
    <w:p w14:paraId="07A759B4">
      <w:pPr>
        <w:spacing w:line="440" w:lineRule="exact"/>
        <w:rPr>
          <w:rFonts w:ascii="宋体" w:hAnsi="宋体"/>
          <w:sz w:val="24"/>
        </w:rPr>
      </w:pPr>
    </w:p>
    <w:p w14:paraId="54DE62F0">
      <w:pPr>
        <w:spacing w:line="440" w:lineRule="exact"/>
        <w:rPr>
          <w:rFonts w:ascii="宋体" w:hAnsi="宋体"/>
        </w:rPr>
      </w:pP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（采购人名称）</w:t>
      </w:r>
      <w:r>
        <w:rPr>
          <w:rFonts w:ascii="宋体" w:hAnsi="宋体"/>
          <w:szCs w:val="21"/>
        </w:rPr>
        <w:t>：</w:t>
      </w:r>
    </w:p>
    <w:p w14:paraId="0C2B68AE">
      <w:pPr>
        <w:spacing w:line="440" w:lineRule="exact"/>
        <w:rPr>
          <w:rFonts w:ascii="宋体" w:hAnsi="宋体"/>
          <w:szCs w:val="21"/>
        </w:rPr>
      </w:pPr>
    </w:p>
    <w:p w14:paraId="45302CF8">
      <w:pPr>
        <w:spacing w:line="400" w:lineRule="exact"/>
        <w:ind w:firstLine="315" w:firstLineChars="150"/>
        <w:rPr>
          <w:rFonts w:ascii="宋体" w:hAnsi="宋体"/>
          <w:szCs w:val="21"/>
        </w:rPr>
      </w:pPr>
      <w:r>
        <w:rPr>
          <w:rFonts w:ascii="宋体" w:hAnsi="宋体"/>
        </w:rPr>
        <w:t>鉴于</w:t>
      </w:r>
      <w:r>
        <w:rPr>
          <w:rFonts w:ascii="宋体" w:hAnsi="宋体"/>
          <w:u w:val="single"/>
        </w:rPr>
        <w:t xml:space="preserve">               </w:t>
      </w:r>
      <w:r>
        <w:rPr>
          <w:rFonts w:ascii="宋体" w:hAnsi="宋体"/>
          <w:szCs w:val="21"/>
        </w:rPr>
        <w:t>（供应商名称）（以下</w:t>
      </w:r>
      <w:r>
        <w:rPr>
          <w:rFonts w:ascii="宋体" w:hAnsi="宋体"/>
        </w:rPr>
        <w:t>称“供应商”）于</w:t>
      </w:r>
      <w:r>
        <w:rPr>
          <w:rFonts w:ascii="宋体" w:hAnsi="宋体"/>
          <w:u w:val="single"/>
        </w:rPr>
        <w:t xml:space="preserve">       </w:t>
      </w:r>
      <w:r>
        <w:rPr>
          <w:rFonts w:ascii="宋体" w:hAnsi="宋体"/>
          <w:szCs w:val="21"/>
        </w:rPr>
        <w:t>年</w:t>
      </w:r>
      <w:r>
        <w:rPr>
          <w:rFonts w:ascii="宋体" w:hAnsi="宋体"/>
          <w:u w:val="single"/>
        </w:rPr>
        <w:t xml:space="preserve">       </w:t>
      </w:r>
      <w:r>
        <w:rPr>
          <w:rFonts w:ascii="宋体" w:hAnsi="宋体"/>
          <w:szCs w:val="21"/>
        </w:rPr>
        <w:t>月</w:t>
      </w:r>
      <w:r>
        <w:rPr>
          <w:rFonts w:ascii="宋体" w:hAnsi="宋体"/>
          <w:u w:val="single"/>
        </w:rPr>
        <w:t xml:space="preserve">        </w:t>
      </w:r>
      <w:r>
        <w:rPr>
          <w:rFonts w:ascii="宋体" w:hAnsi="宋体"/>
          <w:szCs w:val="21"/>
        </w:rPr>
        <w:t>日参加</w:t>
      </w:r>
      <w:r>
        <w:rPr>
          <w:rFonts w:ascii="宋体" w:hAnsi="宋体"/>
          <w:u w:val="single"/>
        </w:rPr>
        <w:t xml:space="preserve">                 </w:t>
      </w:r>
      <w:r>
        <w:rPr>
          <w:rFonts w:ascii="宋体" w:hAnsi="宋体"/>
        </w:rPr>
        <w:t>（项目名称）框架协议采购活动</w:t>
      </w:r>
      <w:r>
        <w:rPr>
          <w:rFonts w:ascii="宋体" w:hAnsi="宋体"/>
          <w:szCs w:val="21"/>
        </w:rPr>
        <w:t>，</w:t>
      </w:r>
      <w:r>
        <w:rPr>
          <w:rFonts w:ascii="宋体" w:hAnsi="宋体"/>
          <w:u w:val="single"/>
        </w:rPr>
        <w:t xml:space="preserve">          </w:t>
      </w:r>
      <w:r>
        <w:rPr>
          <w:rFonts w:ascii="宋体" w:hAnsi="宋体"/>
          <w:szCs w:val="21"/>
        </w:rPr>
        <w:t>（担保人名称，以下简称“我方”）无条件地、不可撤销地保证：若</w:t>
      </w:r>
      <w:r>
        <w:rPr>
          <w:rFonts w:ascii="宋体" w:hAnsi="宋体"/>
        </w:rPr>
        <w:t>供应商在响应文件有效期内</w:t>
      </w:r>
      <w:r>
        <w:rPr>
          <w:rFonts w:ascii="宋体" w:hAnsi="宋体"/>
          <w:szCs w:val="21"/>
        </w:rPr>
        <w:t>撤销响应文件，或成交后无正当理由不与采购人订立框架协议，或在签订框架协议时向采购人提出附加条件，或不按照采购文件要求递交履约保证金，或者</w:t>
      </w:r>
      <w:r>
        <w:rPr>
          <w:rFonts w:ascii="宋体" w:hAnsi="宋体"/>
        </w:rPr>
        <w:t>发生采购文件明确规定</w:t>
      </w:r>
      <w:r>
        <w:rPr>
          <w:rFonts w:ascii="宋体" w:hAnsi="宋体"/>
          <w:szCs w:val="21"/>
        </w:rPr>
        <w:t>不予退还</w:t>
      </w:r>
      <w:r>
        <w:rPr>
          <w:rFonts w:ascii="宋体" w:hAnsi="宋体"/>
        </w:rPr>
        <w:t>响应保证金的其他情形</w:t>
      </w:r>
      <w:r>
        <w:rPr>
          <w:rFonts w:ascii="宋体" w:hAnsi="宋体"/>
          <w:szCs w:val="21"/>
        </w:rPr>
        <w:t>，我方承担保证责任。收到你方书面通知后，我方在</w:t>
      </w:r>
      <w:r>
        <w:rPr>
          <w:szCs w:val="21"/>
        </w:rPr>
        <w:t>7</w:t>
      </w:r>
      <w:r>
        <w:rPr>
          <w:rFonts w:ascii="宋体" w:hAnsi="宋体"/>
          <w:szCs w:val="21"/>
        </w:rPr>
        <w:t>日内向你方无条件支付人民币（大写）</w:t>
      </w:r>
      <w:r>
        <w:rPr>
          <w:rFonts w:ascii="宋体" w:hAnsi="宋体"/>
          <w:u w:val="single"/>
        </w:rPr>
        <w:t xml:space="preserve">            </w:t>
      </w:r>
      <w:r>
        <w:rPr>
          <w:rFonts w:ascii="宋体" w:hAnsi="宋体"/>
          <w:szCs w:val="21"/>
        </w:rPr>
        <w:t>。</w:t>
      </w:r>
    </w:p>
    <w:p w14:paraId="7FDD1868">
      <w:pPr>
        <w:spacing w:line="440" w:lineRule="exact"/>
        <w:ind w:firstLine="420"/>
        <w:rPr>
          <w:rFonts w:ascii="宋体" w:hAnsi="宋体"/>
          <w:szCs w:val="21"/>
        </w:rPr>
      </w:pPr>
      <w:r>
        <w:rPr>
          <w:rFonts w:ascii="宋体" w:hAnsi="宋体"/>
          <w:szCs w:val="21"/>
        </w:rPr>
        <w:t>本保函在响应文件有效期内保持有效。要求我方承担保证责任的通知应在响应文件有效期内送达我方。</w:t>
      </w:r>
    </w:p>
    <w:p w14:paraId="30A3AC74">
      <w:pPr>
        <w:spacing w:line="440" w:lineRule="exact"/>
        <w:ind w:firstLine="420"/>
        <w:rPr>
          <w:rFonts w:ascii="宋体" w:hAnsi="宋体"/>
          <w:szCs w:val="21"/>
        </w:rPr>
      </w:pPr>
    </w:p>
    <w:p w14:paraId="7C3F6DFA">
      <w:pPr>
        <w:spacing w:line="440" w:lineRule="exact"/>
        <w:rPr>
          <w:rFonts w:ascii="宋体" w:hAnsi="宋体"/>
          <w:szCs w:val="21"/>
        </w:rPr>
      </w:pPr>
    </w:p>
    <w:p w14:paraId="43996749">
      <w:pPr>
        <w:spacing w:line="440" w:lineRule="exact"/>
        <w:ind w:firstLine="3208" w:firstLineChars="1528"/>
        <w:rPr>
          <w:rFonts w:ascii="宋体" w:hAnsi="宋体"/>
          <w:szCs w:val="21"/>
        </w:rPr>
      </w:pPr>
      <w:r>
        <w:rPr>
          <w:rFonts w:ascii="宋体" w:hAnsi="宋体"/>
          <w:szCs w:val="21"/>
        </w:rPr>
        <w:t>担保人名称：</w:t>
      </w:r>
      <w:r>
        <w:rPr>
          <w:rFonts w:ascii="宋体" w:hAnsi="宋体"/>
          <w:szCs w:val="21"/>
          <w:u w:val="single"/>
        </w:rPr>
        <w:t xml:space="preserve">             </w:t>
      </w:r>
      <w:r>
        <w:rPr>
          <w:rFonts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tab/>
      </w:r>
      <w:r>
        <w:rPr>
          <w:rFonts w:ascii="宋体" w:hAnsi="宋体"/>
          <w:szCs w:val="21"/>
        </w:rPr>
        <w:t>（盖单位章）</w:t>
      </w:r>
    </w:p>
    <w:p w14:paraId="62C4EFDE">
      <w:pPr>
        <w:spacing w:line="440" w:lineRule="exact"/>
        <w:ind w:firstLine="3208" w:firstLineChars="1528"/>
        <w:rPr>
          <w:rFonts w:ascii="宋体" w:hAnsi="宋体"/>
          <w:szCs w:val="21"/>
        </w:rPr>
      </w:pPr>
      <w:r>
        <w:rPr>
          <w:rFonts w:ascii="宋体" w:hAnsi="宋体"/>
          <w:szCs w:val="21"/>
        </w:rPr>
        <w:t>地     址：</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14:paraId="16ED9407">
      <w:pPr>
        <w:spacing w:line="440" w:lineRule="exact"/>
        <w:ind w:firstLine="3208" w:firstLineChars="1528"/>
        <w:rPr>
          <w:rFonts w:ascii="宋体" w:hAnsi="宋体"/>
          <w:szCs w:val="21"/>
          <w:u w:val="single"/>
        </w:rPr>
      </w:pPr>
      <w:r>
        <w:rPr>
          <w:rFonts w:ascii="宋体" w:hAnsi="宋体"/>
          <w:szCs w:val="21"/>
        </w:rPr>
        <w:t>邮政编码：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bookmarkStart w:id="522" w:name="_Toc22972"/>
      <w:bookmarkStart w:id="523" w:name="_Toc352691667"/>
      <w:bookmarkStart w:id="524" w:name="_Toc361508758"/>
      <w:bookmarkStart w:id="525" w:name="_Toc369531703"/>
      <w:bookmarkStart w:id="526" w:name="_Toc384308382"/>
      <w:r>
        <w:rPr>
          <w:rFonts w:ascii="宋体" w:hAnsi="宋体"/>
          <w:szCs w:val="21"/>
          <w:u w:val="single"/>
        </w:rPr>
        <w:tab/>
      </w:r>
    </w:p>
    <w:p w14:paraId="6EAF3F4D">
      <w:pPr>
        <w:spacing w:line="440" w:lineRule="exact"/>
        <w:ind w:firstLine="3208" w:firstLineChars="1528"/>
        <w:rPr>
          <w:rFonts w:ascii="宋体" w:hAnsi="宋体"/>
          <w:szCs w:val="21"/>
        </w:rPr>
      </w:pPr>
      <w:r>
        <w:rPr>
          <w:rFonts w:ascii="宋体" w:hAnsi="宋体"/>
          <w:szCs w:val="21"/>
        </w:rPr>
        <w:t>电</w:t>
      </w:r>
      <w:bookmarkEnd w:id="522"/>
      <w:bookmarkEnd w:id="523"/>
      <w:bookmarkEnd w:id="524"/>
      <w:bookmarkEnd w:id="525"/>
      <w:bookmarkEnd w:id="526"/>
      <w:r>
        <w:rPr>
          <w:rFonts w:ascii="宋体" w:hAnsi="宋体"/>
          <w:szCs w:val="21"/>
        </w:rPr>
        <w:t xml:space="preserve">     话：</w:t>
      </w:r>
      <w:r>
        <w:rPr>
          <w:rFonts w:ascii="宋体" w:hAnsi="宋体"/>
          <w:szCs w:val="21"/>
          <w:u w:val="single"/>
        </w:rPr>
        <w:t xml:space="preserve">          </w:t>
      </w:r>
      <w:r>
        <w:rPr>
          <w:rFonts w:ascii="宋体" w:hAnsi="宋体"/>
          <w:szCs w:val="21"/>
          <w:u w:val="single"/>
        </w:rPr>
        <w:tab/>
      </w:r>
      <w:r>
        <w:rPr>
          <w:rFonts w:ascii="宋体" w:hAnsi="宋体"/>
          <w:szCs w:val="21"/>
          <w:u w:val="single"/>
        </w:rPr>
        <w:t xml:space="preserve">                       </w:t>
      </w:r>
      <w:r>
        <w:rPr>
          <w:rFonts w:ascii="宋体" w:hAnsi="宋体"/>
          <w:szCs w:val="21"/>
          <w:u w:val="single"/>
        </w:rPr>
        <w:tab/>
      </w:r>
    </w:p>
    <w:p w14:paraId="48787DB3">
      <w:pPr>
        <w:spacing w:line="440" w:lineRule="exact"/>
        <w:ind w:firstLine="3523" w:firstLineChars="1678"/>
        <w:jc w:val="right"/>
        <w:rPr>
          <w:rFonts w:ascii="宋体" w:hAnsi="宋体"/>
          <w:u w:val="single"/>
        </w:rPr>
      </w:pPr>
    </w:p>
    <w:p w14:paraId="0D35B885">
      <w:pPr>
        <w:topLinePunct/>
        <w:spacing w:line="440" w:lineRule="exact"/>
        <w:ind w:firstLine="4435" w:firstLineChars="2112"/>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6920CA45">
      <w:pPr>
        <w:spacing w:line="360" w:lineRule="auto"/>
        <w:ind w:firstLine="562" w:firstLineChars="200"/>
        <w:jc w:val="center"/>
        <w:rPr>
          <w:rFonts w:ascii="宋体" w:hAnsi="宋体"/>
          <w:b/>
          <w:bCs/>
          <w:sz w:val="28"/>
          <w:szCs w:val="28"/>
        </w:rPr>
      </w:pPr>
      <w:bookmarkStart w:id="527" w:name="_Toc118805929"/>
      <w:bookmarkStart w:id="528" w:name="_Toc18493"/>
      <w:bookmarkStart w:id="529" w:name="_Toc23585"/>
      <w:bookmarkStart w:id="530" w:name="_Toc118806300"/>
      <w:bookmarkStart w:id="531" w:name="_Toc2762"/>
      <w:bookmarkStart w:id="532" w:name="_Toc137648478"/>
      <w:bookmarkStart w:id="533" w:name="_Toc118805552"/>
      <w:bookmarkStart w:id="534" w:name="_Toc28933"/>
      <w:bookmarkStart w:id="535" w:name="_Toc17644"/>
      <w:bookmarkStart w:id="536" w:name="_Toc118805175"/>
      <w:bookmarkStart w:id="537" w:name="_Toc6620"/>
      <w:bookmarkStart w:id="538" w:name="_Toc19772_WPSOffice_Level1"/>
    </w:p>
    <w:p w14:paraId="6A2DDDBA">
      <w:pPr>
        <w:spacing w:line="360" w:lineRule="auto"/>
        <w:ind w:firstLine="562" w:firstLineChars="200"/>
        <w:jc w:val="center"/>
        <w:rPr>
          <w:rFonts w:ascii="宋体" w:hAnsi="宋体"/>
          <w:b/>
          <w:bCs/>
          <w:sz w:val="28"/>
          <w:szCs w:val="28"/>
        </w:rPr>
      </w:pPr>
    </w:p>
    <w:p w14:paraId="6758EFB1">
      <w:pPr>
        <w:spacing w:line="360" w:lineRule="auto"/>
        <w:ind w:firstLine="562" w:firstLineChars="200"/>
        <w:jc w:val="center"/>
        <w:rPr>
          <w:rFonts w:ascii="宋体" w:hAnsi="宋体"/>
          <w:b/>
          <w:bCs/>
          <w:sz w:val="28"/>
          <w:szCs w:val="28"/>
        </w:rPr>
      </w:pPr>
    </w:p>
    <w:p w14:paraId="36345FDA">
      <w:pPr>
        <w:rPr>
          <w:rFonts w:ascii="宋体" w:hAnsi="宋体"/>
          <w:b/>
          <w:bCs/>
          <w:sz w:val="28"/>
          <w:szCs w:val="28"/>
        </w:rPr>
      </w:pPr>
      <w:r>
        <w:rPr>
          <w:rFonts w:ascii="宋体" w:hAnsi="宋体"/>
          <w:b/>
          <w:bCs/>
          <w:sz w:val="28"/>
          <w:szCs w:val="28"/>
        </w:rPr>
        <w:br w:type="page"/>
      </w:r>
    </w:p>
    <w:p w14:paraId="238BC321">
      <w:pPr>
        <w:keepNext/>
        <w:keepLines/>
        <w:spacing w:before="260" w:after="260" w:line="412" w:lineRule="auto"/>
        <w:jc w:val="center"/>
        <w:outlineLvl w:val="1"/>
        <w:rPr>
          <w:rFonts w:ascii="宋体" w:hAnsi="宋体"/>
          <w:b/>
          <w:sz w:val="32"/>
          <w:szCs w:val="20"/>
        </w:rPr>
      </w:pPr>
      <w:bookmarkStart w:id="539" w:name="_Toc149140275"/>
      <w:r>
        <w:rPr>
          <w:rFonts w:ascii="宋体" w:hAnsi="宋体"/>
          <w:b/>
          <w:sz w:val="32"/>
          <w:szCs w:val="20"/>
        </w:rPr>
        <w:t>五、商务和技术偏差表</w:t>
      </w:r>
      <w:bookmarkEnd w:id="527"/>
      <w:bookmarkEnd w:id="528"/>
      <w:bookmarkEnd w:id="529"/>
      <w:bookmarkEnd w:id="530"/>
      <w:bookmarkEnd w:id="531"/>
      <w:bookmarkEnd w:id="532"/>
      <w:bookmarkEnd w:id="533"/>
      <w:bookmarkEnd w:id="534"/>
      <w:bookmarkEnd w:id="535"/>
      <w:bookmarkEnd w:id="536"/>
      <w:bookmarkEnd w:id="537"/>
      <w:bookmarkEnd w:id="538"/>
      <w:bookmarkEnd w:id="539"/>
    </w:p>
    <w:tbl>
      <w:tblPr>
        <w:tblStyle w:val="40"/>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968"/>
        <w:gridCol w:w="2705"/>
        <w:gridCol w:w="1624"/>
      </w:tblGrid>
      <w:tr w14:paraId="1DB2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175D7D3B">
            <w:pPr>
              <w:widowControl/>
              <w:snapToGrid w:val="0"/>
              <w:jc w:val="center"/>
              <w:rPr>
                <w:rFonts w:ascii="宋体" w:hAnsi="宋体"/>
                <w:b/>
                <w:kern w:val="0"/>
                <w:szCs w:val="21"/>
              </w:rPr>
            </w:pPr>
            <w:r>
              <w:rPr>
                <w:rFonts w:ascii="宋体" w:hAnsi="宋体"/>
                <w:b/>
                <w:kern w:val="0"/>
                <w:szCs w:val="21"/>
              </w:rPr>
              <w:t>序号</w:t>
            </w:r>
          </w:p>
        </w:tc>
        <w:tc>
          <w:tcPr>
            <w:tcW w:w="2968" w:type="dxa"/>
            <w:vAlign w:val="center"/>
          </w:tcPr>
          <w:p w14:paraId="09D2E4A3">
            <w:pPr>
              <w:widowControl/>
              <w:snapToGrid w:val="0"/>
              <w:jc w:val="center"/>
              <w:rPr>
                <w:rFonts w:ascii="宋体" w:hAnsi="宋体"/>
                <w:b/>
                <w:kern w:val="0"/>
                <w:szCs w:val="21"/>
              </w:rPr>
            </w:pPr>
            <w:r>
              <w:rPr>
                <w:rFonts w:ascii="宋体" w:hAnsi="宋体"/>
                <w:b/>
                <w:kern w:val="0"/>
                <w:szCs w:val="21"/>
              </w:rPr>
              <w:t>采购文件章节及条款号</w:t>
            </w:r>
          </w:p>
        </w:tc>
        <w:tc>
          <w:tcPr>
            <w:tcW w:w="2705" w:type="dxa"/>
            <w:vAlign w:val="center"/>
          </w:tcPr>
          <w:p w14:paraId="494631F5">
            <w:pPr>
              <w:widowControl/>
              <w:snapToGrid w:val="0"/>
              <w:jc w:val="center"/>
              <w:rPr>
                <w:rFonts w:ascii="宋体" w:hAnsi="宋体"/>
                <w:b/>
                <w:kern w:val="0"/>
                <w:szCs w:val="21"/>
              </w:rPr>
            </w:pPr>
            <w:r>
              <w:rPr>
                <w:rFonts w:ascii="宋体" w:hAnsi="宋体"/>
                <w:b/>
                <w:kern w:val="0"/>
                <w:szCs w:val="21"/>
              </w:rPr>
              <w:t>响应文件章节及条款号</w:t>
            </w:r>
          </w:p>
        </w:tc>
        <w:tc>
          <w:tcPr>
            <w:tcW w:w="1624" w:type="dxa"/>
            <w:vAlign w:val="center"/>
          </w:tcPr>
          <w:p w14:paraId="2B9D7D46">
            <w:pPr>
              <w:widowControl/>
              <w:snapToGrid w:val="0"/>
              <w:jc w:val="center"/>
              <w:rPr>
                <w:rFonts w:ascii="宋体" w:hAnsi="宋体"/>
                <w:b/>
                <w:kern w:val="0"/>
                <w:szCs w:val="21"/>
              </w:rPr>
            </w:pPr>
            <w:r>
              <w:rPr>
                <w:rFonts w:ascii="宋体" w:hAnsi="宋体"/>
                <w:b/>
                <w:kern w:val="0"/>
                <w:szCs w:val="21"/>
              </w:rPr>
              <w:t>偏差说明</w:t>
            </w:r>
          </w:p>
        </w:tc>
      </w:tr>
      <w:tr w14:paraId="55BF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27454DF3">
            <w:pPr>
              <w:widowControl/>
              <w:snapToGrid w:val="0"/>
              <w:jc w:val="center"/>
              <w:rPr>
                <w:rFonts w:ascii="宋体" w:hAnsi="宋体"/>
                <w:kern w:val="0"/>
                <w:szCs w:val="21"/>
              </w:rPr>
            </w:pPr>
            <w:r>
              <w:rPr>
                <w:kern w:val="0"/>
                <w:szCs w:val="21"/>
              </w:rPr>
              <w:t>1</w:t>
            </w:r>
          </w:p>
        </w:tc>
        <w:tc>
          <w:tcPr>
            <w:tcW w:w="2968" w:type="dxa"/>
            <w:vAlign w:val="center"/>
          </w:tcPr>
          <w:p w14:paraId="3D23F109">
            <w:pPr>
              <w:widowControl/>
              <w:snapToGrid w:val="0"/>
              <w:jc w:val="center"/>
              <w:rPr>
                <w:rFonts w:ascii="宋体" w:hAnsi="宋体"/>
                <w:kern w:val="0"/>
                <w:szCs w:val="21"/>
              </w:rPr>
            </w:pPr>
          </w:p>
        </w:tc>
        <w:tc>
          <w:tcPr>
            <w:tcW w:w="2705" w:type="dxa"/>
            <w:vAlign w:val="center"/>
          </w:tcPr>
          <w:p w14:paraId="4FAC0B5D">
            <w:pPr>
              <w:widowControl/>
              <w:snapToGrid w:val="0"/>
              <w:jc w:val="center"/>
              <w:rPr>
                <w:rFonts w:ascii="宋体" w:hAnsi="宋体"/>
                <w:kern w:val="0"/>
                <w:szCs w:val="21"/>
              </w:rPr>
            </w:pPr>
          </w:p>
        </w:tc>
        <w:tc>
          <w:tcPr>
            <w:tcW w:w="1624" w:type="dxa"/>
            <w:vAlign w:val="center"/>
          </w:tcPr>
          <w:p w14:paraId="2292F4CA">
            <w:pPr>
              <w:widowControl/>
              <w:snapToGrid w:val="0"/>
              <w:jc w:val="center"/>
              <w:rPr>
                <w:rFonts w:ascii="宋体" w:hAnsi="宋体"/>
                <w:kern w:val="0"/>
                <w:szCs w:val="21"/>
              </w:rPr>
            </w:pPr>
          </w:p>
        </w:tc>
      </w:tr>
      <w:tr w14:paraId="7BA3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132CB9D7">
            <w:pPr>
              <w:widowControl/>
              <w:snapToGrid w:val="0"/>
              <w:jc w:val="center"/>
              <w:rPr>
                <w:rFonts w:ascii="宋体" w:hAnsi="宋体"/>
                <w:kern w:val="0"/>
                <w:szCs w:val="21"/>
              </w:rPr>
            </w:pPr>
            <w:r>
              <w:rPr>
                <w:kern w:val="0"/>
                <w:szCs w:val="21"/>
              </w:rPr>
              <w:t>2</w:t>
            </w:r>
          </w:p>
        </w:tc>
        <w:tc>
          <w:tcPr>
            <w:tcW w:w="2968" w:type="dxa"/>
            <w:vAlign w:val="center"/>
          </w:tcPr>
          <w:p w14:paraId="421FB05A">
            <w:pPr>
              <w:widowControl/>
              <w:snapToGrid w:val="0"/>
              <w:jc w:val="center"/>
              <w:rPr>
                <w:rFonts w:ascii="宋体" w:hAnsi="宋体"/>
                <w:kern w:val="0"/>
                <w:szCs w:val="21"/>
              </w:rPr>
            </w:pPr>
          </w:p>
        </w:tc>
        <w:tc>
          <w:tcPr>
            <w:tcW w:w="2705" w:type="dxa"/>
            <w:vAlign w:val="center"/>
          </w:tcPr>
          <w:p w14:paraId="3FF08A96">
            <w:pPr>
              <w:widowControl/>
              <w:snapToGrid w:val="0"/>
              <w:jc w:val="center"/>
              <w:rPr>
                <w:rFonts w:ascii="宋体" w:hAnsi="宋体"/>
                <w:kern w:val="0"/>
                <w:szCs w:val="21"/>
              </w:rPr>
            </w:pPr>
          </w:p>
        </w:tc>
        <w:tc>
          <w:tcPr>
            <w:tcW w:w="1624" w:type="dxa"/>
            <w:vAlign w:val="center"/>
          </w:tcPr>
          <w:p w14:paraId="61EB8254">
            <w:pPr>
              <w:widowControl/>
              <w:snapToGrid w:val="0"/>
              <w:jc w:val="center"/>
              <w:rPr>
                <w:rFonts w:ascii="宋体" w:hAnsi="宋体"/>
                <w:kern w:val="0"/>
                <w:szCs w:val="21"/>
              </w:rPr>
            </w:pPr>
          </w:p>
        </w:tc>
      </w:tr>
      <w:tr w14:paraId="3903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7DA58517">
            <w:pPr>
              <w:widowControl/>
              <w:snapToGrid w:val="0"/>
              <w:jc w:val="center"/>
              <w:rPr>
                <w:rFonts w:ascii="宋体" w:hAnsi="宋体"/>
                <w:kern w:val="0"/>
                <w:szCs w:val="21"/>
              </w:rPr>
            </w:pPr>
            <w:r>
              <w:rPr>
                <w:kern w:val="0"/>
                <w:szCs w:val="21"/>
              </w:rPr>
              <w:t>3</w:t>
            </w:r>
          </w:p>
        </w:tc>
        <w:tc>
          <w:tcPr>
            <w:tcW w:w="2968" w:type="dxa"/>
            <w:vAlign w:val="center"/>
          </w:tcPr>
          <w:p w14:paraId="7C19699E">
            <w:pPr>
              <w:widowControl/>
              <w:snapToGrid w:val="0"/>
              <w:jc w:val="center"/>
              <w:rPr>
                <w:rFonts w:ascii="宋体" w:hAnsi="宋体"/>
                <w:kern w:val="0"/>
                <w:szCs w:val="21"/>
              </w:rPr>
            </w:pPr>
          </w:p>
        </w:tc>
        <w:tc>
          <w:tcPr>
            <w:tcW w:w="2705" w:type="dxa"/>
            <w:vAlign w:val="center"/>
          </w:tcPr>
          <w:p w14:paraId="46520330">
            <w:pPr>
              <w:widowControl/>
              <w:snapToGrid w:val="0"/>
              <w:jc w:val="center"/>
              <w:rPr>
                <w:rFonts w:ascii="宋体" w:hAnsi="宋体"/>
                <w:kern w:val="0"/>
                <w:szCs w:val="21"/>
              </w:rPr>
            </w:pPr>
          </w:p>
        </w:tc>
        <w:tc>
          <w:tcPr>
            <w:tcW w:w="1624" w:type="dxa"/>
            <w:vAlign w:val="center"/>
          </w:tcPr>
          <w:p w14:paraId="0566761D">
            <w:pPr>
              <w:widowControl/>
              <w:snapToGrid w:val="0"/>
              <w:jc w:val="center"/>
              <w:rPr>
                <w:rFonts w:ascii="宋体" w:hAnsi="宋体"/>
                <w:kern w:val="0"/>
                <w:szCs w:val="21"/>
              </w:rPr>
            </w:pPr>
          </w:p>
        </w:tc>
      </w:tr>
      <w:tr w14:paraId="21B2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69508CE0">
            <w:pPr>
              <w:widowControl/>
              <w:snapToGrid w:val="0"/>
              <w:jc w:val="center"/>
              <w:rPr>
                <w:rFonts w:ascii="宋体" w:hAnsi="宋体"/>
                <w:kern w:val="0"/>
                <w:szCs w:val="21"/>
              </w:rPr>
            </w:pPr>
            <w:r>
              <w:rPr>
                <w:kern w:val="0"/>
                <w:szCs w:val="21"/>
              </w:rPr>
              <w:t>4</w:t>
            </w:r>
          </w:p>
        </w:tc>
        <w:tc>
          <w:tcPr>
            <w:tcW w:w="2968" w:type="dxa"/>
            <w:vAlign w:val="center"/>
          </w:tcPr>
          <w:p w14:paraId="79AB40B6">
            <w:pPr>
              <w:widowControl/>
              <w:snapToGrid w:val="0"/>
              <w:jc w:val="center"/>
              <w:rPr>
                <w:rFonts w:ascii="宋体" w:hAnsi="宋体"/>
                <w:kern w:val="0"/>
                <w:szCs w:val="21"/>
              </w:rPr>
            </w:pPr>
          </w:p>
        </w:tc>
        <w:tc>
          <w:tcPr>
            <w:tcW w:w="2705" w:type="dxa"/>
            <w:vAlign w:val="center"/>
          </w:tcPr>
          <w:p w14:paraId="0E7C61C0">
            <w:pPr>
              <w:widowControl/>
              <w:snapToGrid w:val="0"/>
              <w:jc w:val="center"/>
              <w:rPr>
                <w:rFonts w:ascii="宋体" w:hAnsi="宋体"/>
                <w:kern w:val="0"/>
                <w:szCs w:val="21"/>
              </w:rPr>
            </w:pPr>
          </w:p>
        </w:tc>
        <w:tc>
          <w:tcPr>
            <w:tcW w:w="1624" w:type="dxa"/>
            <w:vAlign w:val="center"/>
          </w:tcPr>
          <w:p w14:paraId="77DA8242">
            <w:pPr>
              <w:widowControl/>
              <w:snapToGrid w:val="0"/>
              <w:jc w:val="center"/>
              <w:rPr>
                <w:rFonts w:ascii="宋体" w:hAnsi="宋体"/>
                <w:kern w:val="0"/>
                <w:szCs w:val="21"/>
              </w:rPr>
            </w:pPr>
          </w:p>
        </w:tc>
      </w:tr>
      <w:tr w14:paraId="3131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28A0859E">
            <w:pPr>
              <w:widowControl/>
              <w:snapToGrid w:val="0"/>
              <w:jc w:val="center"/>
              <w:rPr>
                <w:rFonts w:ascii="宋体" w:hAnsi="宋体"/>
                <w:kern w:val="0"/>
                <w:szCs w:val="21"/>
              </w:rPr>
            </w:pPr>
            <w:r>
              <w:rPr>
                <w:kern w:val="0"/>
                <w:szCs w:val="21"/>
              </w:rPr>
              <w:t>5</w:t>
            </w:r>
          </w:p>
        </w:tc>
        <w:tc>
          <w:tcPr>
            <w:tcW w:w="2968" w:type="dxa"/>
            <w:vAlign w:val="center"/>
          </w:tcPr>
          <w:p w14:paraId="3A9A228D">
            <w:pPr>
              <w:widowControl/>
              <w:snapToGrid w:val="0"/>
              <w:jc w:val="center"/>
              <w:rPr>
                <w:rFonts w:ascii="宋体" w:hAnsi="宋体"/>
                <w:kern w:val="0"/>
                <w:szCs w:val="21"/>
              </w:rPr>
            </w:pPr>
          </w:p>
        </w:tc>
        <w:tc>
          <w:tcPr>
            <w:tcW w:w="2705" w:type="dxa"/>
            <w:vAlign w:val="center"/>
          </w:tcPr>
          <w:p w14:paraId="555BC212">
            <w:pPr>
              <w:widowControl/>
              <w:snapToGrid w:val="0"/>
              <w:jc w:val="center"/>
              <w:rPr>
                <w:rFonts w:ascii="宋体" w:hAnsi="宋体"/>
                <w:kern w:val="0"/>
                <w:szCs w:val="21"/>
              </w:rPr>
            </w:pPr>
          </w:p>
        </w:tc>
        <w:tc>
          <w:tcPr>
            <w:tcW w:w="1624" w:type="dxa"/>
            <w:vAlign w:val="center"/>
          </w:tcPr>
          <w:p w14:paraId="32498EEF">
            <w:pPr>
              <w:widowControl/>
              <w:snapToGrid w:val="0"/>
              <w:jc w:val="center"/>
              <w:rPr>
                <w:rFonts w:ascii="宋体" w:hAnsi="宋体"/>
                <w:kern w:val="0"/>
                <w:szCs w:val="21"/>
              </w:rPr>
            </w:pPr>
          </w:p>
        </w:tc>
      </w:tr>
      <w:tr w14:paraId="27E0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4A583600">
            <w:pPr>
              <w:widowControl/>
              <w:snapToGrid w:val="0"/>
              <w:jc w:val="center"/>
              <w:rPr>
                <w:rFonts w:ascii="宋体" w:hAnsi="宋体"/>
                <w:kern w:val="0"/>
                <w:szCs w:val="21"/>
              </w:rPr>
            </w:pPr>
            <w:r>
              <w:rPr>
                <w:rFonts w:ascii="宋体" w:hAnsi="宋体"/>
                <w:kern w:val="0"/>
                <w:szCs w:val="21"/>
              </w:rPr>
              <w:t>……</w:t>
            </w:r>
          </w:p>
        </w:tc>
        <w:tc>
          <w:tcPr>
            <w:tcW w:w="2968" w:type="dxa"/>
            <w:vAlign w:val="center"/>
          </w:tcPr>
          <w:p w14:paraId="3732745E">
            <w:pPr>
              <w:widowControl/>
              <w:snapToGrid w:val="0"/>
              <w:jc w:val="center"/>
              <w:rPr>
                <w:rFonts w:ascii="宋体" w:hAnsi="宋体"/>
                <w:kern w:val="0"/>
                <w:szCs w:val="21"/>
              </w:rPr>
            </w:pPr>
          </w:p>
        </w:tc>
        <w:tc>
          <w:tcPr>
            <w:tcW w:w="2705" w:type="dxa"/>
            <w:vAlign w:val="center"/>
          </w:tcPr>
          <w:p w14:paraId="4F33003B">
            <w:pPr>
              <w:widowControl/>
              <w:snapToGrid w:val="0"/>
              <w:jc w:val="center"/>
              <w:rPr>
                <w:rFonts w:ascii="宋体" w:hAnsi="宋体"/>
                <w:kern w:val="0"/>
                <w:szCs w:val="21"/>
              </w:rPr>
            </w:pPr>
          </w:p>
        </w:tc>
        <w:tc>
          <w:tcPr>
            <w:tcW w:w="1624" w:type="dxa"/>
            <w:vAlign w:val="center"/>
          </w:tcPr>
          <w:p w14:paraId="114F9CC8">
            <w:pPr>
              <w:widowControl/>
              <w:snapToGrid w:val="0"/>
              <w:jc w:val="center"/>
              <w:rPr>
                <w:rFonts w:ascii="宋体" w:hAnsi="宋体"/>
                <w:kern w:val="0"/>
                <w:szCs w:val="21"/>
              </w:rPr>
            </w:pPr>
          </w:p>
        </w:tc>
      </w:tr>
    </w:tbl>
    <w:p w14:paraId="7CF1EC8A">
      <w:pPr>
        <w:spacing w:line="440" w:lineRule="exact"/>
        <w:ind w:firstLine="420"/>
        <w:rPr>
          <w:rFonts w:ascii="宋体" w:hAnsi="宋体"/>
          <w:szCs w:val="21"/>
        </w:rPr>
      </w:pPr>
      <w:r>
        <w:rPr>
          <w:rFonts w:ascii="宋体" w:hAnsi="宋体"/>
          <w:szCs w:val="21"/>
        </w:rPr>
        <w:t>供应商保证：除商务和技术偏差表列出的偏差外，供应商响应采购文件的全部要求。</w:t>
      </w:r>
    </w:p>
    <w:p w14:paraId="498F0356">
      <w:pPr>
        <w:jc w:val="center"/>
        <w:rPr>
          <w:rFonts w:ascii="宋体" w:hAnsi="宋体"/>
        </w:rPr>
      </w:pPr>
      <w:r>
        <w:rPr>
          <w:rFonts w:ascii="宋体" w:hAnsi="宋体"/>
        </w:rPr>
        <w:br w:type="page"/>
      </w:r>
    </w:p>
    <w:p w14:paraId="6785BE2C">
      <w:pPr>
        <w:keepNext/>
        <w:keepLines/>
        <w:spacing w:before="100" w:line="400" w:lineRule="exact"/>
        <w:jc w:val="left"/>
        <w:outlineLvl w:val="1"/>
        <w:rPr>
          <w:rFonts w:ascii="宋体" w:hAnsi="宋体"/>
          <w:sz w:val="28"/>
          <w:szCs w:val="20"/>
        </w:rPr>
        <w:sectPr>
          <w:footnotePr>
            <w:numFmt w:val="decimalEnclosedCircleChinese"/>
            <w:numRestart w:val="eachPage"/>
          </w:footnotePr>
          <w:pgSz w:w="11906" w:h="16838"/>
          <w:pgMar w:top="1440" w:right="1800" w:bottom="993" w:left="1800"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0024CE35">
      <w:pPr>
        <w:keepNext/>
        <w:keepLines/>
        <w:jc w:val="center"/>
        <w:outlineLvl w:val="1"/>
        <w:rPr>
          <w:rFonts w:ascii="宋体" w:hAnsi="宋体"/>
          <w:b/>
          <w:sz w:val="32"/>
          <w:szCs w:val="20"/>
        </w:rPr>
      </w:pPr>
      <w:bookmarkStart w:id="540" w:name="_Toc32052"/>
      <w:bookmarkStart w:id="541" w:name="_Toc118805185"/>
      <w:bookmarkStart w:id="542" w:name="_Toc25698"/>
      <w:bookmarkStart w:id="543" w:name="_Toc137648488"/>
      <w:bookmarkStart w:id="544" w:name="_Toc31620"/>
      <w:bookmarkStart w:id="545" w:name="_Toc118805562"/>
      <w:bookmarkStart w:id="546" w:name="_Toc32613"/>
      <w:bookmarkStart w:id="547" w:name="_Toc3864"/>
      <w:bookmarkStart w:id="548" w:name="_Toc9753_WPSOffice_Level1"/>
      <w:bookmarkStart w:id="549" w:name="_Toc118806310"/>
      <w:bookmarkStart w:id="550" w:name="_Toc149140285"/>
      <w:bookmarkStart w:id="551" w:name="_Toc25570"/>
      <w:bookmarkStart w:id="552" w:name="_Toc118805939"/>
      <w:r>
        <w:rPr>
          <w:rFonts w:hint="eastAsia" w:ascii="宋体" w:hAnsi="宋体"/>
          <w:b/>
          <w:sz w:val="32"/>
          <w:szCs w:val="20"/>
        </w:rPr>
        <w:t>六</w:t>
      </w:r>
      <w:r>
        <w:rPr>
          <w:rFonts w:ascii="宋体" w:hAnsi="宋体"/>
          <w:b/>
          <w:sz w:val="32"/>
          <w:szCs w:val="20"/>
        </w:rPr>
        <w:t>、资格审查资料</w:t>
      </w:r>
      <w:bookmarkEnd w:id="540"/>
      <w:bookmarkEnd w:id="541"/>
      <w:bookmarkEnd w:id="542"/>
      <w:bookmarkEnd w:id="543"/>
      <w:bookmarkEnd w:id="544"/>
      <w:bookmarkEnd w:id="545"/>
      <w:bookmarkEnd w:id="546"/>
      <w:bookmarkEnd w:id="547"/>
      <w:bookmarkEnd w:id="548"/>
      <w:bookmarkEnd w:id="549"/>
      <w:bookmarkEnd w:id="550"/>
      <w:bookmarkEnd w:id="551"/>
      <w:bookmarkEnd w:id="552"/>
    </w:p>
    <w:p w14:paraId="3B101F3A">
      <w:pPr>
        <w:widowControl/>
        <w:spacing w:before="100" w:beforeAutospacing="1" w:after="100" w:afterAutospacing="1"/>
        <w:jc w:val="center"/>
        <w:outlineLvl w:val="2"/>
        <w:rPr>
          <w:rFonts w:ascii="宋体" w:hAnsi="宋体"/>
          <w:b/>
          <w:bCs/>
          <w:kern w:val="0"/>
          <w:sz w:val="27"/>
          <w:szCs w:val="27"/>
        </w:rPr>
      </w:pPr>
      <w:bookmarkStart w:id="553" w:name="_Toc3945"/>
      <w:bookmarkStart w:id="554" w:name="_Toc118805940"/>
      <w:bookmarkStart w:id="555" w:name="_Toc28443"/>
      <w:bookmarkStart w:id="556" w:name="_Toc118806311"/>
      <w:bookmarkStart w:id="557" w:name="_Toc32396"/>
      <w:bookmarkStart w:id="558" w:name="_Toc20536"/>
      <w:bookmarkStart w:id="559" w:name="_Toc149140286"/>
      <w:bookmarkStart w:id="560" w:name="_Toc143102283"/>
      <w:bookmarkStart w:id="561" w:name="_Toc14589_WPSOffice_Level2"/>
      <w:bookmarkStart w:id="562" w:name="_Toc118805186"/>
      <w:bookmarkStart w:id="563" w:name="_Toc137648489"/>
      <w:bookmarkStart w:id="564" w:name="_Toc118805563"/>
      <w:bookmarkStart w:id="565" w:name="_Toc15704"/>
      <w:bookmarkStart w:id="566" w:name="_Toc16228"/>
      <w:r>
        <w:rPr>
          <w:rFonts w:ascii="宋体" w:hAnsi="宋体"/>
          <w:b/>
          <w:bCs/>
          <w:kern w:val="0"/>
          <w:sz w:val="27"/>
          <w:szCs w:val="27"/>
        </w:rPr>
        <w:t>（一）基本情况</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tbl>
      <w:tblPr>
        <w:tblStyle w:val="40"/>
        <w:tblW w:w="89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92"/>
        <w:gridCol w:w="840"/>
        <w:gridCol w:w="1524"/>
        <w:gridCol w:w="934"/>
        <w:gridCol w:w="1432"/>
        <w:gridCol w:w="545"/>
        <w:gridCol w:w="716"/>
        <w:gridCol w:w="1114"/>
      </w:tblGrid>
      <w:tr w14:paraId="07002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7CBF8068">
            <w:pPr>
              <w:pStyle w:val="79"/>
              <w:jc w:val="center"/>
              <w:rPr>
                <w:rFonts w:hint="eastAsia"/>
                <w:sz w:val="21"/>
                <w:szCs w:val="19"/>
                <w:lang w:val="zh-CN"/>
              </w:rPr>
            </w:pPr>
            <w:r>
              <w:rPr>
                <w:rFonts w:hint="eastAsia"/>
                <w:sz w:val="21"/>
                <w:szCs w:val="19"/>
                <w:lang w:val="zh-CN"/>
              </w:rPr>
              <w:t>供应商名称</w:t>
            </w:r>
          </w:p>
        </w:tc>
        <w:tc>
          <w:tcPr>
            <w:tcW w:w="7105" w:type="dxa"/>
            <w:gridSpan w:val="7"/>
            <w:noWrap w:val="0"/>
            <w:vAlign w:val="center"/>
          </w:tcPr>
          <w:p w14:paraId="165AEC2E">
            <w:pPr>
              <w:pStyle w:val="79"/>
              <w:jc w:val="center"/>
              <w:rPr>
                <w:rFonts w:hint="eastAsia"/>
                <w:sz w:val="21"/>
                <w:szCs w:val="19"/>
                <w:lang w:val="zh-CN"/>
              </w:rPr>
            </w:pPr>
          </w:p>
        </w:tc>
      </w:tr>
      <w:tr w14:paraId="24B0F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0677AFB1">
            <w:pPr>
              <w:pStyle w:val="79"/>
              <w:jc w:val="center"/>
              <w:rPr>
                <w:rFonts w:hint="eastAsia"/>
                <w:sz w:val="21"/>
                <w:szCs w:val="19"/>
                <w:lang w:val="zh-CN"/>
              </w:rPr>
            </w:pPr>
            <w:r>
              <w:rPr>
                <w:rFonts w:hint="eastAsia"/>
                <w:sz w:val="21"/>
                <w:szCs w:val="19"/>
                <w:lang w:val="zh-CN"/>
              </w:rPr>
              <w:t>注册地址</w:t>
            </w:r>
          </w:p>
        </w:tc>
        <w:tc>
          <w:tcPr>
            <w:tcW w:w="3298" w:type="dxa"/>
            <w:gridSpan w:val="3"/>
            <w:noWrap w:val="0"/>
            <w:vAlign w:val="center"/>
          </w:tcPr>
          <w:p w14:paraId="63DC861A">
            <w:pPr>
              <w:pStyle w:val="79"/>
              <w:jc w:val="center"/>
              <w:rPr>
                <w:rFonts w:hint="eastAsia"/>
                <w:sz w:val="21"/>
                <w:szCs w:val="19"/>
                <w:lang w:val="zh-CN"/>
              </w:rPr>
            </w:pPr>
          </w:p>
        </w:tc>
        <w:tc>
          <w:tcPr>
            <w:tcW w:w="1432" w:type="dxa"/>
            <w:noWrap w:val="0"/>
            <w:vAlign w:val="center"/>
          </w:tcPr>
          <w:p w14:paraId="2137F2D9">
            <w:pPr>
              <w:pStyle w:val="79"/>
              <w:jc w:val="center"/>
              <w:rPr>
                <w:rFonts w:hint="eastAsia"/>
                <w:sz w:val="21"/>
                <w:szCs w:val="20"/>
                <w:lang w:val="zh-CN"/>
              </w:rPr>
            </w:pPr>
            <w:r>
              <w:rPr>
                <w:rFonts w:hint="eastAsia"/>
                <w:sz w:val="21"/>
                <w:szCs w:val="20"/>
                <w:lang w:val="zh-CN"/>
              </w:rPr>
              <w:t>邮政编码</w:t>
            </w:r>
          </w:p>
        </w:tc>
        <w:tc>
          <w:tcPr>
            <w:tcW w:w="2375" w:type="dxa"/>
            <w:gridSpan w:val="3"/>
            <w:noWrap w:val="0"/>
            <w:vAlign w:val="center"/>
          </w:tcPr>
          <w:p w14:paraId="06E67462">
            <w:pPr>
              <w:pStyle w:val="79"/>
              <w:jc w:val="center"/>
              <w:rPr>
                <w:rFonts w:hint="eastAsia"/>
                <w:sz w:val="21"/>
                <w:szCs w:val="20"/>
                <w:lang w:val="zh-CN"/>
              </w:rPr>
            </w:pPr>
          </w:p>
        </w:tc>
      </w:tr>
      <w:tr w14:paraId="6C349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36" w:hRule="exact"/>
          <w:jc w:val="center"/>
        </w:trPr>
        <w:tc>
          <w:tcPr>
            <w:tcW w:w="1892" w:type="dxa"/>
            <w:vMerge w:val="restart"/>
            <w:noWrap w:val="0"/>
            <w:vAlign w:val="center"/>
          </w:tcPr>
          <w:p w14:paraId="5A1793E3">
            <w:pPr>
              <w:pStyle w:val="79"/>
              <w:jc w:val="center"/>
              <w:rPr>
                <w:rFonts w:hint="eastAsia"/>
                <w:sz w:val="21"/>
                <w:szCs w:val="26"/>
                <w:lang w:val="zh-CN"/>
              </w:rPr>
            </w:pPr>
            <w:r>
              <w:rPr>
                <w:rFonts w:hint="eastAsia"/>
                <w:sz w:val="21"/>
                <w:szCs w:val="19"/>
                <w:lang w:val="zh-CN"/>
              </w:rPr>
              <w:t>联系方式</w:t>
            </w:r>
          </w:p>
        </w:tc>
        <w:tc>
          <w:tcPr>
            <w:tcW w:w="840" w:type="dxa"/>
            <w:noWrap w:val="0"/>
            <w:vAlign w:val="center"/>
          </w:tcPr>
          <w:p w14:paraId="0868AAF0">
            <w:pPr>
              <w:pStyle w:val="79"/>
              <w:ind w:right="9"/>
              <w:jc w:val="center"/>
              <w:rPr>
                <w:rFonts w:hint="eastAsia"/>
                <w:sz w:val="21"/>
                <w:szCs w:val="19"/>
                <w:lang w:val="zh-CN"/>
              </w:rPr>
            </w:pPr>
            <w:r>
              <w:rPr>
                <w:rFonts w:hint="eastAsia"/>
                <w:sz w:val="21"/>
                <w:szCs w:val="19"/>
                <w:lang w:val="zh-CN"/>
              </w:rPr>
              <w:t xml:space="preserve">联系人 </w:t>
            </w:r>
          </w:p>
        </w:tc>
        <w:tc>
          <w:tcPr>
            <w:tcW w:w="2458" w:type="dxa"/>
            <w:gridSpan w:val="2"/>
            <w:noWrap w:val="0"/>
            <w:vAlign w:val="center"/>
          </w:tcPr>
          <w:p w14:paraId="0C79A7EB">
            <w:pPr>
              <w:pStyle w:val="79"/>
              <w:jc w:val="center"/>
              <w:rPr>
                <w:rFonts w:hint="eastAsia"/>
                <w:sz w:val="21"/>
                <w:szCs w:val="19"/>
                <w:lang w:val="zh-CN"/>
              </w:rPr>
            </w:pPr>
          </w:p>
        </w:tc>
        <w:tc>
          <w:tcPr>
            <w:tcW w:w="1432" w:type="dxa"/>
            <w:noWrap w:val="0"/>
            <w:vAlign w:val="center"/>
          </w:tcPr>
          <w:p w14:paraId="38F79A47">
            <w:pPr>
              <w:pStyle w:val="79"/>
              <w:jc w:val="center"/>
              <w:rPr>
                <w:rFonts w:hint="eastAsia"/>
                <w:sz w:val="21"/>
                <w:szCs w:val="19"/>
                <w:lang w:val="zh-CN"/>
              </w:rPr>
            </w:pPr>
            <w:r>
              <w:rPr>
                <w:rFonts w:hint="eastAsia"/>
                <w:sz w:val="21"/>
                <w:szCs w:val="19"/>
                <w:lang w:val="zh-CN"/>
              </w:rPr>
              <w:t>电    话</w:t>
            </w:r>
          </w:p>
        </w:tc>
        <w:tc>
          <w:tcPr>
            <w:tcW w:w="2375" w:type="dxa"/>
            <w:gridSpan w:val="3"/>
            <w:noWrap w:val="0"/>
            <w:vAlign w:val="center"/>
          </w:tcPr>
          <w:p w14:paraId="086EFA90">
            <w:pPr>
              <w:pStyle w:val="79"/>
              <w:jc w:val="center"/>
              <w:rPr>
                <w:rFonts w:hint="eastAsia"/>
                <w:sz w:val="21"/>
                <w:szCs w:val="19"/>
                <w:lang w:val="zh-CN"/>
              </w:rPr>
            </w:pPr>
          </w:p>
        </w:tc>
      </w:tr>
      <w:tr w14:paraId="5C2D0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vMerge w:val="continue"/>
            <w:noWrap w:val="0"/>
            <w:vAlign w:val="center"/>
          </w:tcPr>
          <w:p w14:paraId="403BC356">
            <w:pPr>
              <w:pStyle w:val="79"/>
              <w:jc w:val="center"/>
              <w:rPr>
                <w:rFonts w:hint="eastAsia"/>
                <w:sz w:val="21"/>
                <w:szCs w:val="19"/>
                <w:lang w:val="zh-CN"/>
              </w:rPr>
            </w:pPr>
          </w:p>
        </w:tc>
        <w:tc>
          <w:tcPr>
            <w:tcW w:w="840" w:type="dxa"/>
            <w:noWrap w:val="0"/>
            <w:vAlign w:val="center"/>
          </w:tcPr>
          <w:p w14:paraId="565F70CC">
            <w:pPr>
              <w:pStyle w:val="79"/>
              <w:ind w:right="9"/>
              <w:jc w:val="center"/>
              <w:rPr>
                <w:rFonts w:hint="eastAsia"/>
                <w:sz w:val="21"/>
                <w:szCs w:val="19"/>
                <w:lang w:val="zh-CN"/>
              </w:rPr>
            </w:pPr>
            <w:r>
              <w:rPr>
                <w:rFonts w:hint="eastAsia"/>
                <w:sz w:val="21"/>
                <w:szCs w:val="19"/>
                <w:lang w:val="zh-CN"/>
              </w:rPr>
              <w:t xml:space="preserve">传  真 </w:t>
            </w:r>
          </w:p>
        </w:tc>
        <w:tc>
          <w:tcPr>
            <w:tcW w:w="2458" w:type="dxa"/>
            <w:gridSpan w:val="2"/>
            <w:noWrap w:val="0"/>
            <w:vAlign w:val="center"/>
          </w:tcPr>
          <w:p w14:paraId="64BD462C">
            <w:pPr>
              <w:pStyle w:val="79"/>
              <w:jc w:val="center"/>
              <w:rPr>
                <w:rFonts w:hint="eastAsia"/>
                <w:sz w:val="21"/>
                <w:szCs w:val="19"/>
                <w:lang w:val="zh-CN"/>
              </w:rPr>
            </w:pPr>
          </w:p>
        </w:tc>
        <w:tc>
          <w:tcPr>
            <w:tcW w:w="1432" w:type="dxa"/>
            <w:noWrap w:val="0"/>
            <w:vAlign w:val="center"/>
          </w:tcPr>
          <w:p w14:paraId="338E0CAC">
            <w:pPr>
              <w:pStyle w:val="79"/>
              <w:jc w:val="center"/>
              <w:rPr>
                <w:rFonts w:hint="eastAsia"/>
                <w:sz w:val="21"/>
                <w:szCs w:val="19"/>
                <w:lang w:val="zh-CN"/>
              </w:rPr>
            </w:pPr>
            <w:r>
              <w:rPr>
                <w:rFonts w:hint="eastAsia"/>
                <w:sz w:val="21"/>
                <w:szCs w:val="19"/>
                <w:lang w:val="zh-CN"/>
              </w:rPr>
              <w:t>电子邮件</w:t>
            </w:r>
          </w:p>
        </w:tc>
        <w:tc>
          <w:tcPr>
            <w:tcW w:w="2375" w:type="dxa"/>
            <w:gridSpan w:val="3"/>
            <w:noWrap w:val="0"/>
            <w:vAlign w:val="center"/>
          </w:tcPr>
          <w:p w14:paraId="062152A0">
            <w:pPr>
              <w:pStyle w:val="79"/>
              <w:jc w:val="center"/>
              <w:rPr>
                <w:rFonts w:hint="eastAsia"/>
                <w:sz w:val="21"/>
                <w:szCs w:val="19"/>
                <w:lang w:val="zh-CN"/>
              </w:rPr>
            </w:pPr>
          </w:p>
        </w:tc>
      </w:tr>
      <w:tr w14:paraId="3DF7B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73FC0B1B">
            <w:pPr>
              <w:pStyle w:val="79"/>
              <w:jc w:val="center"/>
              <w:rPr>
                <w:rFonts w:hint="eastAsia"/>
                <w:sz w:val="21"/>
                <w:szCs w:val="19"/>
                <w:lang w:val="zh-CN"/>
              </w:rPr>
            </w:pPr>
            <w:r>
              <w:rPr>
                <w:rFonts w:hint="eastAsia"/>
                <w:sz w:val="21"/>
                <w:szCs w:val="19"/>
                <w:lang w:val="zh-CN"/>
              </w:rPr>
              <w:t>法定代表人</w:t>
            </w:r>
          </w:p>
        </w:tc>
        <w:tc>
          <w:tcPr>
            <w:tcW w:w="840" w:type="dxa"/>
            <w:noWrap w:val="0"/>
            <w:vAlign w:val="center"/>
          </w:tcPr>
          <w:p w14:paraId="7581351D">
            <w:pPr>
              <w:pStyle w:val="79"/>
              <w:ind w:right="9"/>
              <w:jc w:val="center"/>
              <w:rPr>
                <w:rFonts w:hint="eastAsia"/>
                <w:sz w:val="21"/>
                <w:szCs w:val="19"/>
                <w:lang w:val="zh-CN"/>
              </w:rPr>
            </w:pPr>
            <w:r>
              <w:rPr>
                <w:rFonts w:hint="eastAsia"/>
                <w:sz w:val="21"/>
                <w:szCs w:val="19"/>
                <w:lang w:val="zh-CN"/>
              </w:rPr>
              <w:t xml:space="preserve">姓  名 </w:t>
            </w:r>
          </w:p>
        </w:tc>
        <w:tc>
          <w:tcPr>
            <w:tcW w:w="1524" w:type="dxa"/>
            <w:noWrap w:val="0"/>
            <w:vAlign w:val="center"/>
          </w:tcPr>
          <w:p w14:paraId="6FD26290">
            <w:pPr>
              <w:pStyle w:val="79"/>
              <w:jc w:val="center"/>
              <w:rPr>
                <w:rFonts w:hint="eastAsia"/>
                <w:sz w:val="21"/>
                <w:szCs w:val="19"/>
                <w:lang w:val="zh-CN"/>
              </w:rPr>
            </w:pPr>
          </w:p>
        </w:tc>
        <w:tc>
          <w:tcPr>
            <w:tcW w:w="934" w:type="dxa"/>
            <w:noWrap w:val="0"/>
            <w:vAlign w:val="center"/>
          </w:tcPr>
          <w:p w14:paraId="58C1788F">
            <w:pPr>
              <w:pStyle w:val="79"/>
              <w:jc w:val="center"/>
              <w:rPr>
                <w:rFonts w:hint="eastAsia"/>
                <w:sz w:val="21"/>
                <w:szCs w:val="19"/>
                <w:lang w:val="zh-CN"/>
              </w:rPr>
            </w:pPr>
            <w:r>
              <w:rPr>
                <w:rFonts w:hint="eastAsia"/>
                <w:sz w:val="21"/>
                <w:szCs w:val="19"/>
                <w:lang w:val="zh-CN"/>
              </w:rPr>
              <w:t>技术职称</w:t>
            </w:r>
          </w:p>
        </w:tc>
        <w:tc>
          <w:tcPr>
            <w:tcW w:w="1977" w:type="dxa"/>
            <w:gridSpan w:val="2"/>
            <w:noWrap w:val="0"/>
            <w:vAlign w:val="center"/>
          </w:tcPr>
          <w:p w14:paraId="026AB0B0">
            <w:pPr>
              <w:pStyle w:val="79"/>
              <w:jc w:val="center"/>
              <w:rPr>
                <w:rFonts w:hint="eastAsia"/>
                <w:sz w:val="21"/>
                <w:szCs w:val="19"/>
                <w:lang w:val="zh-CN"/>
              </w:rPr>
            </w:pPr>
          </w:p>
        </w:tc>
        <w:tc>
          <w:tcPr>
            <w:tcW w:w="716" w:type="dxa"/>
            <w:noWrap w:val="0"/>
            <w:vAlign w:val="center"/>
          </w:tcPr>
          <w:p w14:paraId="1362ABA0">
            <w:pPr>
              <w:pStyle w:val="79"/>
              <w:ind w:right="46" w:rightChars="22"/>
              <w:jc w:val="center"/>
              <w:rPr>
                <w:rFonts w:hint="eastAsia"/>
                <w:sz w:val="21"/>
                <w:szCs w:val="19"/>
                <w:lang w:val="zh-CN"/>
              </w:rPr>
            </w:pPr>
            <w:r>
              <w:rPr>
                <w:rFonts w:hint="eastAsia"/>
                <w:sz w:val="21"/>
                <w:szCs w:val="19"/>
                <w:lang w:val="zh-CN"/>
              </w:rPr>
              <w:t>电  话</w:t>
            </w:r>
          </w:p>
        </w:tc>
        <w:tc>
          <w:tcPr>
            <w:tcW w:w="1114" w:type="dxa"/>
            <w:noWrap w:val="0"/>
            <w:vAlign w:val="center"/>
          </w:tcPr>
          <w:p w14:paraId="25FC76C1">
            <w:pPr>
              <w:pStyle w:val="79"/>
              <w:ind w:right="52"/>
              <w:jc w:val="center"/>
              <w:rPr>
                <w:rFonts w:hint="eastAsia"/>
                <w:sz w:val="21"/>
                <w:szCs w:val="19"/>
                <w:lang w:val="zh-CN"/>
              </w:rPr>
            </w:pPr>
          </w:p>
        </w:tc>
      </w:tr>
      <w:tr w14:paraId="16B94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4ED73B1A">
            <w:pPr>
              <w:pStyle w:val="79"/>
              <w:jc w:val="center"/>
              <w:rPr>
                <w:rFonts w:hint="eastAsia"/>
                <w:sz w:val="21"/>
                <w:szCs w:val="19"/>
                <w:lang w:val="zh-CN"/>
              </w:rPr>
            </w:pPr>
            <w:r>
              <w:rPr>
                <w:rFonts w:hint="eastAsia"/>
                <w:sz w:val="21"/>
                <w:szCs w:val="19"/>
                <w:lang w:val="zh-CN"/>
              </w:rPr>
              <w:t>技术负责人</w:t>
            </w:r>
          </w:p>
        </w:tc>
        <w:tc>
          <w:tcPr>
            <w:tcW w:w="840" w:type="dxa"/>
            <w:noWrap w:val="0"/>
            <w:vAlign w:val="center"/>
          </w:tcPr>
          <w:p w14:paraId="0C446C29">
            <w:pPr>
              <w:pStyle w:val="79"/>
              <w:ind w:right="9"/>
              <w:jc w:val="center"/>
              <w:rPr>
                <w:rFonts w:hint="eastAsia"/>
                <w:sz w:val="21"/>
                <w:szCs w:val="19"/>
                <w:lang w:val="zh-CN"/>
              </w:rPr>
            </w:pPr>
            <w:r>
              <w:rPr>
                <w:rFonts w:hint="eastAsia"/>
                <w:sz w:val="21"/>
                <w:szCs w:val="19"/>
                <w:lang w:val="zh-CN"/>
              </w:rPr>
              <w:t xml:space="preserve">姓  名 </w:t>
            </w:r>
          </w:p>
        </w:tc>
        <w:tc>
          <w:tcPr>
            <w:tcW w:w="1524" w:type="dxa"/>
            <w:noWrap w:val="0"/>
            <w:vAlign w:val="center"/>
          </w:tcPr>
          <w:p w14:paraId="039180C6">
            <w:pPr>
              <w:pStyle w:val="79"/>
              <w:jc w:val="center"/>
              <w:rPr>
                <w:rFonts w:hint="eastAsia"/>
                <w:sz w:val="21"/>
                <w:szCs w:val="19"/>
                <w:lang w:val="zh-CN"/>
              </w:rPr>
            </w:pPr>
          </w:p>
        </w:tc>
        <w:tc>
          <w:tcPr>
            <w:tcW w:w="934" w:type="dxa"/>
            <w:noWrap w:val="0"/>
            <w:vAlign w:val="center"/>
          </w:tcPr>
          <w:p w14:paraId="674C4566">
            <w:pPr>
              <w:pStyle w:val="79"/>
              <w:jc w:val="center"/>
              <w:rPr>
                <w:rFonts w:hint="eastAsia"/>
                <w:sz w:val="21"/>
                <w:szCs w:val="19"/>
                <w:lang w:val="zh-CN"/>
              </w:rPr>
            </w:pPr>
            <w:r>
              <w:rPr>
                <w:rFonts w:hint="eastAsia"/>
                <w:sz w:val="21"/>
                <w:szCs w:val="19"/>
                <w:lang w:val="zh-CN"/>
              </w:rPr>
              <w:t>技术职称</w:t>
            </w:r>
          </w:p>
        </w:tc>
        <w:tc>
          <w:tcPr>
            <w:tcW w:w="1977" w:type="dxa"/>
            <w:gridSpan w:val="2"/>
            <w:noWrap w:val="0"/>
            <w:vAlign w:val="center"/>
          </w:tcPr>
          <w:p w14:paraId="5E35F66C">
            <w:pPr>
              <w:pStyle w:val="79"/>
              <w:jc w:val="center"/>
              <w:rPr>
                <w:rFonts w:hint="eastAsia"/>
                <w:sz w:val="21"/>
                <w:szCs w:val="19"/>
                <w:lang w:val="zh-CN"/>
              </w:rPr>
            </w:pPr>
          </w:p>
        </w:tc>
        <w:tc>
          <w:tcPr>
            <w:tcW w:w="716" w:type="dxa"/>
            <w:noWrap w:val="0"/>
            <w:vAlign w:val="center"/>
          </w:tcPr>
          <w:p w14:paraId="777A1A23">
            <w:pPr>
              <w:pStyle w:val="79"/>
              <w:ind w:right="46" w:rightChars="22"/>
              <w:jc w:val="center"/>
              <w:rPr>
                <w:rFonts w:hint="eastAsia"/>
                <w:sz w:val="21"/>
                <w:szCs w:val="19"/>
                <w:lang w:val="zh-CN"/>
              </w:rPr>
            </w:pPr>
            <w:r>
              <w:rPr>
                <w:rFonts w:hint="eastAsia"/>
                <w:sz w:val="21"/>
                <w:szCs w:val="19"/>
                <w:lang w:val="zh-CN"/>
              </w:rPr>
              <w:t>电  话</w:t>
            </w:r>
          </w:p>
        </w:tc>
        <w:tc>
          <w:tcPr>
            <w:tcW w:w="1114" w:type="dxa"/>
            <w:noWrap w:val="0"/>
            <w:vAlign w:val="center"/>
          </w:tcPr>
          <w:p w14:paraId="56098419">
            <w:pPr>
              <w:pStyle w:val="79"/>
              <w:ind w:right="52"/>
              <w:jc w:val="center"/>
              <w:rPr>
                <w:rFonts w:hint="eastAsia"/>
                <w:sz w:val="21"/>
                <w:szCs w:val="19"/>
                <w:lang w:val="zh-CN"/>
              </w:rPr>
            </w:pPr>
          </w:p>
        </w:tc>
      </w:tr>
      <w:tr w14:paraId="45EDC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9" w:hRule="exact"/>
          <w:jc w:val="center"/>
        </w:trPr>
        <w:tc>
          <w:tcPr>
            <w:tcW w:w="1892" w:type="dxa"/>
            <w:noWrap w:val="0"/>
            <w:vAlign w:val="center"/>
          </w:tcPr>
          <w:p w14:paraId="5BCBE483">
            <w:pPr>
              <w:pStyle w:val="79"/>
              <w:jc w:val="center"/>
              <w:rPr>
                <w:rFonts w:hint="eastAsia"/>
                <w:sz w:val="21"/>
                <w:szCs w:val="19"/>
                <w:lang w:val="zh-CN"/>
              </w:rPr>
            </w:pPr>
            <w:r>
              <w:rPr>
                <w:rFonts w:hint="eastAsia"/>
                <w:sz w:val="21"/>
                <w:szCs w:val="19"/>
                <w:lang w:val="zh-CN"/>
              </w:rPr>
              <w:t>营业执照号</w:t>
            </w:r>
          </w:p>
        </w:tc>
        <w:tc>
          <w:tcPr>
            <w:tcW w:w="2364" w:type="dxa"/>
            <w:gridSpan w:val="2"/>
            <w:noWrap w:val="0"/>
            <w:vAlign w:val="center"/>
          </w:tcPr>
          <w:p w14:paraId="2567E5C0">
            <w:pPr>
              <w:pStyle w:val="79"/>
              <w:jc w:val="center"/>
              <w:rPr>
                <w:rFonts w:hint="eastAsia"/>
                <w:sz w:val="21"/>
                <w:szCs w:val="20"/>
                <w:lang w:val="zh-CN"/>
              </w:rPr>
            </w:pPr>
          </w:p>
        </w:tc>
        <w:tc>
          <w:tcPr>
            <w:tcW w:w="934" w:type="dxa"/>
            <w:vMerge w:val="restart"/>
            <w:noWrap w:val="0"/>
            <w:vAlign w:val="center"/>
          </w:tcPr>
          <w:p w14:paraId="4AA697AC">
            <w:pPr>
              <w:pStyle w:val="79"/>
              <w:jc w:val="center"/>
              <w:rPr>
                <w:rFonts w:hint="eastAsia"/>
                <w:sz w:val="21"/>
                <w:szCs w:val="20"/>
                <w:lang w:val="zh-CN"/>
              </w:rPr>
            </w:pPr>
            <w:r>
              <w:rPr>
                <w:rFonts w:hint="eastAsia"/>
                <w:sz w:val="21"/>
                <w:szCs w:val="19"/>
                <w:lang w:val="zh-CN"/>
              </w:rPr>
              <w:t>其中</w:t>
            </w:r>
          </w:p>
        </w:tc>
        <w:tc>
          <w:tcPr>
            <w:tcW w:w="3807" w:type="dxa"/>
            <w:gridSpan w:val="4"/>
            <w:noWrap w:val="0"/>
            <w:vAlign w:val="center"/>
          </w:tcPr>
          <w:p w14:paraId="14533F5C">
            <w:pPr>
              <w:pStyle w:val="79"/>
              <w:rPr>
                <w:rFonts w:hint="eastAsia"/>
                <w:sz w:val="21"/>
                <w:szCs w:val="19"/>
                <w:lang w:val="zh-CN"/>
              </w:rPr>
            </w:pPr>
            <w:r>
              <w:rPr>
                <w:rFonts w:hint="eastAsia"/>
                <w:sz w:val="21"/>
                <w:szCs w:val="19"/>
                <w:lang w:val="zh-CN"/>
              </w:rPr>
              <w:t>员工总人数</w:t>
            </w:r>
          </w:p>
        </w:tc>
      </w:tr>
      <w:tr w14:paraId="24706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35BB30B5">
            <w:pPr>
              <w:pStyle w:val="79"/>
              <w:jc w:val="center"/>
              <w:rPr>
                <w:rFonts w:hint="eastAsia"/>
                <w:sz w:val="21"/>
                <w:szCs w:val="19"/>
                <w:lang w:val="zh-CN"/>
              </w:rPr>
            </w:pPr>
            <w:r>
              <w:rPr>
                <w:rFonts w:hint="eastAsia"/>
                <w:sz w:val="21"/>
                <w:szCs w:val="19"/>
                <w:lang w:val="zh-CN"/>
              </w:rPr>
              <w:t>注册资本</w:t>
            </w:r>
          </w:p>
        </w:tc>
        <w:tc>
          <w:tcPr>
            <w:tcW w:w="2364" w:type="dxa"/>
            <w:gridSpan w:val="2"/>
            <w:noWrap w:val="0"/>
            <w:vAlign w:val="center"/>
          </w:tcPr>
          <w:p w14:paraId="4667986F">
            <w:pPr>
              <w:pStyle w:val="79"/>
              <w:jc w:val="center"/>
              <w:rPr>
                <w:rFonts w:hint="eastAsia"/>
                <w:sz w:val="21"/>
                <w:szCs w:val="19"/>
                <w:lang w:val="zh-CN"/>
              </w:rPr>
            </w:pPr>
          </w:p>
        </w:tc>
        <w:tc>
          <w:tcPr>
            <w:tcW w:w="934" w:type="dxa"/>
            <w:vMerge w:val="continue"/>
            <w:noWrap w:val="0"/>
            <w:vAlign w:val="center"/>
          </w:tcPr>
          <w:p w14:paraId="2A1589E2">
            <w:pPr>
              <w:pStyle w:val="79"/>
              <w:ind w:left="206"/>
              <w:rPr>
                <w:rFonts w:hint="eastAsia"/>
                <w:sz w:val="21"/>
                <w:szCs w:val="19"/>
                <w:lang w:val="zh-CN"/>
              </w:rPr>
            </w:pPr>
          </w:p>
        </w:tc>
        <w:tc>
          <w:tcPr>
            <w:tcW w:w="1432" w:type="dxa"/>
            <w:noWrap w:val="0"/>
            <w:vAlign w:val="center"/>
          </w:tcPr>
          <w:p w14:paraId="435B92F8">
            <w:pPr>
              <w:pStyle w:val="79"/>
              <w:jc w:val="center"/>
              <w:rPr>
                <w:rFonts w:hint="eastAsia"/>
                <w:sz w:val="21"/>
                <w:szCs w:val="19"/>
                <w:lang w:val="zh-CN"/>
              </w:rPr>
            </w:pPr>
            <w:r>
              <w:rPr>
                <w:rFonts w:hint="eastAsia"/>
                <w:sz w:val="21"/>
                <w:szCs w:val="19"/>
                <w:lang w:val="zh-CN"/>
              </w:rPr>
              <w:t>高级职称人员</w:t>
            </w:r>
          </w:p>
        </w:tc>
        <w:tc>
          <w:tcPr>
            <w:tcW w:w="2375" w:type="dxa"/>
            <w:gridSpan w:val="3"/>
            <w:noWrap w:val="0"/>
            <w:vAlign w:val="center"/>
          </w:tcPr>
          <w:p w14:paraId="5E7AC601">
            <w:pPr>
              <w:pStyle w:val="79"/>
              <w:jc w:val="center"/>
              <w:rPr>
                <w:rFonts w:hint="eastAsia"/>
                <w:sz w:val="21"/>
                <w:szCs w:val="19"/>
                <w:lang w:val="zh-CN"/>
              </w:rPr>
            </w:pPr>
          </w:p>
        </w:tc>
      </w:tr>
      <w:tr w14:paraId="162C3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727D1134">
            <w:pPr>
              <w:pStyle w:val="79"/>
              <w:jc w:val="center"/>
              <w:rPr>
                <w:rFonts w:hint="eastAsia"/>
                <w:sz w:val="21"/>
                <w:szCs w:val="19"/>
                <w:lang w:val="zh-CN"/>
              </w:rPr>
            </w:pPr>
            <w:r>
              <w:rPr>
                <w:rFonts w:hint="eastAsia"/>
                <w:sz w:val="21"/>
                <w:szCs w:val="19"/>
                <w:lang w:val="zh-CN"/>
              </w:rPr>
              <w:t>成立日期</w:t>
            </w:r>
          </w:p>
        </w:tc>
        <w:tc>
          <w:tcPr>
            <w:tcW w:w="2364" w:type="dxa"/>
            <w:gridSpan w:val="2"/>
            <w:noWrap w:val="0"/>
            <w:vAlign w:val="center"/>
          </w:tcPr>
          <w:p w14:paraId="1432664B">
            <w:pPr>
              <w:pStyle w:val="79"/>
              <w:jc w:val="center"/>
              <w:rPr>
                <w:rFonts w:hint="eastAsia"/>
                <w:sz w:val="21"/>
                <w:szCs w:val="19"/>
                <w:lang w:val="zh-CN"/>
              </w:rPr>
            </w:pPr>
          </w:p>
        </w:tc>
        <w:tc>
          <w:tcPr>
            <w:tcW w:w="934" w:type="dxa"/>
            <w:vMerge w:val="continue"/>
            <w:noWrap w:val="0"/>
            <w:vAlign w:val="center"/>
          </w:tcPr>
          <w:p w14:paraId="145C8BBA">
            <w:pPr>
              <w:pStyle w:val="79"/>
              <w:ind w:left="206"/>
              <w:rPr>
                <w:rFonts w:hint="eastAsia"/>
                <w:sz w:val="21"/>
                <w:szCs w:val="19"/>
                <w:lang w:val="zh-CN"/>
              </w:rPr>
            </w:pPr>
          </w:p>
        </w:tc>
        <w:tc>
          <w:tcPr>
            <w:tcW w:w="1432" w:type="dxa"/>
            <w:noWrap w:val="0"/>
            <w:vAlign w:val="center"/>
          </w:tcPr>
          <w:p w14:paraId="3D5F96B9">
            <w:pPr>
              <w:pStyle w:val="79"/>
              <w:jc w:val="center"/>
              <w:rPr>
                <w:rFonts w:hint="eastAsia"/>
                <w:sz w:val="21"/>
                <w:szCs w:val="19"/>
                <w:lang w:val="zh-CN"/>
              </w:rPr>
            </w:pPr>
            <w:r>
              <w:rPr>
                <w:rFonts w:hint="eastAsia"/>
                <w:sz w:val="21"/>
                <w:szCs w:val="19"/>
                <w:lang w:val="zh-CN"/>
              </w:rPr>
              <w:t>中级职称人员</w:t>
            </w:r>
          </w:p>
        </w:tc>
        <w:tc>
          <w:tcPr>
            <w:tcW w:w="2375" w:type="dxa"/>
            <w:gridSpan w:val="3"/>
            <w:noWrap w:val="0"/>
            <w:vAlign w:val="center"/>
          </w:tcPr>
          <w:p w14:paraId="7C763128">
            <w:pPr>
              <w:pStyle w:val="79"/>
              <w:jc w:val="center"/>
              <w:rPr>
                <w:rFonts w:hint="eastAsia"/>
                <w:sz w:val="21"/>
                <w:szCs w:val="19"/>
                <w:lang w:val="zh-CN"/>
              </w:rPr>
            </w:pPr>
          </w:p>
        </w:tc>
      </w:tr>
      <w:tr w14:paraId="1A73B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56" w:hRule="exact"/>
          <w:jc w:val="center"/>
        </w:trPr>
        <w:tc>
          <w:tcPr>
            <w:tcW w:w="1892" w:type="dxa"/>
            <w:noWrap w:val="0"/>
            <w:vAlign w:val="center"/>
          </w:tcPr>
          <w:p w14:paraId="76CBCA16">
            <w:pPr>
              <w:pStyle w:val="79"/>
              <w:jc w:val="center"/>
              <w:rPr>
                <w:rFonts w:hint="eastAsia"/>
                <w:sz w:val="21"/>
                <w:szCs w:val="19"/>
                <w:lang w:val="zh-CN"/>
              </w:rPr>
            </w:pPr>
            <w:r>
              <w:rPr>
                <w:rFonts w:hint="eastAsia"/>
                <w:sz w:val="21"/>
                <w:szCs w:val="19"/>
                <w:lang w:val="zh-CN"/>
              </w:rPr>
              <w:t>基本账户</w:t>
            </w:r>
          </w:p>
          <w:p w14:paraId="61EF8CD5">
            <w:pPr>
              <w:pStyle w:val="79"/>
              <w:jc w:val="center"/>
              <w:rPr>
                <w:rFonts w:hint="eastAsia"/>
                <w:sz w:val="21"/>
                <w:szCs w:val="19"/>
                <w:lang w:val="zh-CN"/>
              </w:rPr>
            </w:pPr>
            <w:r>
              <w:rPr>
                <w:rFonts w:hint="eastAsia"/>
                <w:sz w:val="21"/>
                <w:szCs w:val="19"/>
                <w:lang w:val="zh-CN"/>
              </w:rPr>
              <w:t>开户银行</w:t>
            </w:r>
          </w:p>
        </w:tc>
        <w:tc>
          <w:tcPr>
            <w:tcW w:w="2364" w:type="dxa"/>
            <w:gridSpan w:val="2"/>
            <w:noWrap w:val="0"/>
            <w:vAlign w:val="center"/>
          </w:tcPr>
          <w:p w14:paraId="042737EC">
            <w:pPr>
              <w:pStyle w:val="79"/>
              <w:jc w:val="center"/>
              <w:rPr>
                <w:rFonts w:hint="eastAsia"/>
                <w:sz w:val="21"/>
                <w:szCs w:val="19"/>
                <w:lang w:val="zh-CN"/>
              </w:rPr>
            </w:pPr>
          </w:p>
        </w:tc>
        <w:tc>
          <w:tcPr>
            <w:tcW w:w="934" w:type="dxa"/>
            <w:vMerge w:val="continue"/>
            <w:noWrap w:val="0"/>
            <w:vAlign w:val="center"/>
          </w:tcPr>
          <w:p w14:paraId="56EBA300">
            <w:pPr>
              <w:pStyle w:val="79"/>
              <w:jc w:val="center"/>
              <w:rPr>
                <w:rFonts w:hint="eastAsia"/>
                <w:sz w:val="21"/>
                <w:szCs w:val="19"/>
                <w:lang w:val="zh-CN"/>
              </w:rPr>
            </w:pPr>
          </w:p>
        </w:tc>
        <w:tc>
          <w:tcPr>
            <w:tcW w:w="1432" w:type="dxa"/>
            <w:noWrap w:val="0"/>
            <w:vAlign w:val="center"/>
          </w:tcPr>
          <w:p w14:paraId="29E91906">
            <w:pPr>
              <w:pStyle w:val="79"/>
              <w:jc w:val="center"/>
              <w:rPr>
                <w:rFonts w:hint="eastAsia"/>
                <w:sz w:val="21"/>
                <w:szCs w:val="19"/>
                <w:lang w:val="zh-CN"/>
              </w:rPr>
            </w:pPr>
            <w:r>
              <w:rPr>
                <w:rFonts w:hint="eastAsia"/>
                <w:sz w:val="21"/>
                <w:szCs w:val="19"/>
                <w:lang w:val="zh-CN"/>
              </w:rPr>
              <w:t>初级职称人员</w:t>
            </w:r>
          </w:p>
        </w:tc>
        <w:tc>
          <w:tcPr>
            <w:tcW w:w="2375" w:type="dxa"/>
            <w:gridSpan w:val="3"/>
            <w:noWrap w:val="0"/>
            <w:vAlign w:val="center"/>
          </w:tcPr>
          <w:p w14:paraId="37B9FBAE">
            <w:pPr>
              <w:pStyle w:val="79"/>
              <w:jc w:val="center"/>
              <w:rPr>
                <w:rFonts w:hint="eastAsia"/>
                <w:sz w:val="21"/>
                <w:szCs w:val="19"/>
                <w:lang w:val="zh-CN"/>
              </w:rPr>
            </w:pPr>
          </w:p>
        </w:tc>
      </w:tr>
      <w:tr w14:paraId="77CC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10523B74">
            <w:pPr>
              <w:pStyle w:val="79"/>
              <w:jc w:val="center"/>
              <w:rPr>
                <w:rFonts w:hint="eastAsia"/>
                <w:sz w:val="21"/>
                <w:szCs w:val="19"/>
                <w:lang w:val="zh-CN"/>
              </w:rPr>
            </w:pPr>
            <w:r>
              <w:rPr>
                <w:rFonts w:hint="eastAsia"/>
                <w:sz w:val="21"/>
                <w:szCs w:val="19"/>
                <w:lang w:val="zh-CN"/>
              </w:rPr>
              <w:t>基本账户银行账号</w:t>
            </w:r>
          </w:p>
        </w:tc>
        <w:tc>
          <w:tcPr>
            <w:tcW w:w="2364" w:type="dxa"/>
            <w:gridSpan w:val="2"/>
            <w:noWrap w:val="0"/>
            <w:vAlign w:val="center"/>
          </w:tcPr>
          <w:p w14:paraId="4192B032">
            <w:pPr>
              <w:pStyle w:val="79"/>
              <w:jc w:val="center"/>
              <w:rPr>
                <w:rFonts w:hint="eastAsia"/>
                <w:sz w:val="21"/>
                <w:szCs w:val="19"/>
                <w:lang w:val="zh-CN"/>
              </w:rPr>
            </w:pPr>
          </w:p>
        </w:tc>
        <w:tc>
          <w:tcPr>
            <w:tcW w:w="934" w:type="dxa"/>
            <w:vMerge w:val="continue"/>
            <w:noWrap w:val="0"/>
            <w:vAlign w:val="center"/>
          </w:tcPr>
          <w:p w14:paraId="74E0675A">
            <w:pPr>
              <w:pStyle w:val="79"/>
              <w:jc w:val="center"/>
              <w:rPr>
                <w:rFonts w:hint="eastAsia"/>
                <w:sz w:val="21"/>
                <w:szCs w:val="19"/>
                <w:lang w:val="zh-CN"/>
              </w:rPr>
            </w:pPr>
          </w:p>
        </w:tc>
        <w:tc>
          <w:tcPr>
            <w:tcW w:w="1432" w:type="dxa"/>
            <w:noWrap w:val="0"/>
            <w:vAlign w:val="center"/>
          </w:tcPr>
          <w:p w14:paraId="542B2669">
            <w:pPr>
              <w:pStyle w:val="79"/>
              <w:jc w:val="center"/>
              <w:rPr>
                <w:rFonts w:hint="eastAsia"/>
                <w:sz w:val="21"/>
                <w:szCs w:val="19"/>
                <w:lang w:val="zh-CN"/>
              </w:rPr>
            </w:pPr>
            <w:r>
              <w:rPr>
                <w:rFonts w:hint="eastAsia"/>
                <w:sz w:val="21"/>
                <w:szCs w:val="19"/>
                <w:lang w:val="zh-CN"/>
              </w:rPr>
              <w:t>其他人员</w:t>
            </w:r>
          </w:p>
        </w:tc>
        <w:tc>
          <w:tcPr>
            <w:tcW w:w="2375" w:type="dxa"/>
            <w:gridSpan w:val="3"/>
            <w:noWrap w:val="0"/>
            <w:vAlign w:val="center"/>
          </w:tcPr>
          <w:p w14:paraId="74860DCA">
            <w:pPr>
              <w:pStyle w:val="79"/>
              <w:jc w:val="center"/>
              <w:rPr>
                <w:rFonts w:hint="eastAsia"/>
                <w:sz w:val="21"/>
                <w:szCs w:val="19"/>
                <w:lang w:val="zh-CN"/>
              </w:rPr>
            </w:pPr>
          </w:p>
        </w:tc>
      </w:tr>
      <w:tr w14:paraId="58B29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4" w:hRule="exact"/>
          <w:jc w:val="center"/>
        </w:trPr>
        <w:tc>
          <w:tcPr>
            <w:tcW w:w="1892" w:type="dxa"/>
            <w:noWrap w:val="0"/>
            <w:vAlign w:val="center"/>
          </w:tcPr>
          <w:p w14:paraId="3F6C29F7">
            <w:pPr>
              <w:pStyle w:val="79"/>
              <w:jc w:val="center"/>
              <w:rPr>
                <w:rFonts w:hint="eastAsia"/>
                <w:sz w:val="21"/>
                <w:szCs w:val="19"/>
                <w:lang w:val="zh-CN"/>
              </w:rPr>
            </w:pPr>
            <w:r>
              <w:rPr>
                <w:rFonts w:hint="eastAsia"/>
                <w:sz w:val="21"/>
                <w:szCs w:val="19"/>
                <w:lang w:val="zh-CN"/>
              </w:rPr>
              <w:t>经营范围</w:t>
            </w:r>
          </w:p>
        </w:tc>
        <w:tc>
          <w:tcPr>
            <w:tcW w:w="7105" w:type="dxa"/>
            <w:gridSpan w:val="7"/>
            <w:noWrap w:val="0"/>
            <w:vAlign w:val="center"/>
          </w:tcPr>
          <w:p w14:paraId="24ADE1C9">
            <w:pPr>
              <w:pStyle w:val="79"/>
              <w:rPr>
                <w:rFonts w:hint="eastAsia"/>
                <w:sz w:val="21"/>
                <w:szCs w:val="19"/>
                <w:lang w:val="zh-CN"/>
              </w:rPr>
            </w:pPr>
          </w:p>
        </w:tc>
      </w:tr>
      <w:tr w14:paraId="47C5D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05" w:hRule="exact"/>
          <w:jc w:val="center"/>
        </w:trPr>
        <w:tc>
          <w:tcPr>
            <w:tcW w:w="1892" w:type="dxa"/>
            <w:noWrap w:val="0"/>
            <w:vAlign w:val="center"/>
          </w:tcPr>
          <w:p w14:paraId="54474EB3">
            <w:pPr>
              <w:pStyle w:val="79"/>
              <w:jc w:val="center"/>
              <w:rPr>
                <w:rFonts w:hint="eastAsia"/>
                <w:sz w:val="21"/>
                <w:szCs w:val="19"/>
                <w:lang w:val="zh-CN"/>
              </w:rPr>
            </w:pPr>
            <w:r>
              <w:rPr>
                <w:rFonts w:hint="eastAsia"/>
                <w:sz w:val="21"/>
                <w:szCs w:val="19"/>
                <w:lang w:val="zh-CN"/>
              </w:rPr>
              <w:t>供应商关联企业情况</w:t>
            </w:r>
          </w:p>
        </w:tc>
        <w:tc>
          <w:tcPr>
            <w:tcW w:w="7105" w:type="dxa"/>
            <w:gridSpan w:val="7"/>
            <w:noWrap w:val="0"/>
            <w:vAlign w:val="center"/>
          </w:tcPr>
          <w:p w14:paraId="261E7327">
            <w:pPr>
              <w:pStyle w:val="79"/>
              <w:spacing w:line="360" w:lineRule="auto"/>
              <w:rPr>
                <w:rFonts w:hint="eastAsia"/>
                <w:sz w:val="21"/>
                <w:szCs w:val="19"/>
                <w:lang w:val="zh-CN"/>
              </w:rPr>
            </w:pPr>
            <w:r>
              <w:rPr>
                <w:rFonts w:hint="eastAsia"/>
                <w:sz w:val="21"/>
                <w:szCs w:val="19"/>
                <w:lang w:val="zh-CN"/>
              </w:rPr>
              <w:t>企业应提供其投资参股的关联企业情况，包括以下内容：</w:t>
            </w:r>
          </w:p>
          <w:p w14:paraId="31BE7831">
            <w:pPr>
              <w:pStyle w:val="79"/>
              <w:spacing w:line="360" w:lineRule="auto"/>
              <w:rPr>
                <w:rFonts w:hint="eastAsia"/>
                <w:b/>
                <w:bCs/>
                <w:sz w:val="21"/>
                <w:szCs w:val="19"/>
                <w:u w:val="single"/>
                <w:lang w:val="zh-CN"/>
              </w:rPr>
            </w:pPr>
            <w:r>
              <w:rPr>
                <w:rFonts w:hint="eastAsia"/>
                <w:b/>
                <w:bCs/>
                <w:sz w:val="21"/>
                <w:szCs w:val="19"/>
              </w:rPr>
              <w:t>1</w:t>
            </w:r>
            <w:r>
              <w:rPr>
                <w:rFonts w:hint="eastAsia"/>
                <w:b/>
                <w:bCs/>
                <w:sz w:val="21"/>
                <w:szCs w:val="19"/>
                <w:lang w:val="zh-CN"/>
              </w:rPr>
              <w:t>）与本单位负责人为同一人的其他单位名单：</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p w14:paraId="52826343">
            <w:pPr>
              <w:pStyle w:val="79"/>
              <w:spacing w:line="360" w:lineRule="auto"/>
              <w:rPr>
                <w:rFonts w:hint="eastAsia"/>
                <w:b/>
                <w:bCs/>
                <w:sz w:val="21"/>
                <w:szCs w:val="19"/>
                <w:u w:val="single"/>
                <w:lang w:val="zh-CN"/>
              </w:rPr>
            </w:pPr>
            <w:r>
              <w:rPr>
                <w:rFonts w:hint="eastAsia"/>
                <w:b/>
                <w:bCs/>
                <w:sz w:val="21"/>
                <w:szCs w:val="19"/>
              </w:rPr>
              <w:t>2</w:t>
            </w:r>
            <w:r>
              <w:rPr>
                <w:rFonts w:hint="eastAsia"/>
                <w:b/>
                <w:bCs/>
                <w:sz w:val="21"/>
                <w:szCs w:val="19"/>
                <w:lang w:val="zh-CN"/>
              </w:rPr>
              <w:t>）对本单位存在控股、管理关系的其他单位名单：</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p w14:paraId="4F7926E3">
            <w:pPr>
              <w:pStyle w:val="79"/>
              <w:spacing w:line="360" w:lineRule="auto"/>
              <w:rPr>
                <w:rFonts w:hint="eastAsia"/>
                <w:sz w:val="21"/>
                <w:szCs w:val="19"/>
                <w:lang w:val="zh-CN"/>
              </w:rPr>
            </w:pPr>
            <w:r>
              <w:rPr>
                <w:rFonts w:hint="eastAsia"/>
                <w:b/>
                <w:bCs/>
                <w:sz w:val="21"/>
                <w:szCs w:val="19"/>
                <w:lang w:val="zh-CN"/>
              </w:rPr>
              <w:t xml:space="preserve">3）本单位对其他单位存在控股、管理关系的名单： </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tc>
      </w:tr>
      <w:tr w14:paraId="3B724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4" w:hRule="exact"/>
          <w:jc w:val="center"/>
        </w:trPr>
        <w:tc>
          <w:tcPr>
            <w:tcW w:w="1892" w:type="dxa"/>
            <w:noWrap w:val="0"/>
            <w:vAlign w:val="center"/>
          </w:tcPr>
          <w:p w14:paraId="7D474E64">
            <w:pPr>
              <w:pStyle w:val="79"/>
              <w:ind w:left="6" w:leftChars="3"/>
              <w:jc w:val="center"/>
              <w:rPr>
                <w:rFonts w:hint="eastAsia"/>
                <w:sz w:val="21"/>
                <w:szCs w:val="21"/>
                <w:lang w:val="zh-CN"/>
              </w:rPr>
            </w:pPr>
            <w:r>
              <w:rPr>
                <w:rFonts w:hint="eastAsia"/>
                <w:sz w:val="21"/>
                <w:szCs w:val="21"/>
                <w:lang w:val="zh-CN"/>
              </w:rPr>
              <w:t>备 注</w:t>
            </w:r>
          </w:p>
        </w:tc>
        <w:tc>
          <w:tcPr>
            <w:tcW w:w="7105" w:type="dxa"/>
            <w:gridSpan w:val="7"/>
            <w:noWrap w:val="0"/>
            <w:vAlign w:val="center"/>
          </w:tcPr>
          <w:p w14:paraId="6EF05146">
            <w:pPr>
              <w:pStyle w:val="79"/>
              <w:jc w:val="center"/>
              <w:rPr>
                <w:rFonts w:hint="eastAsia"/>
                <w:szCs w:val="19"/>
                <w:lang w:val="zh-CN"/>
              </w:rPr>
            </w:pPr>
          </w:p>
        </w:tc>
      </w:tr>
    </w:tbl>
    <w:p w14:paraId="771107BE">
      <w:pPr>
        <w:spacing w:line="400" w:lineRule="exact"/>
        <w:ind w:firstLine="420"/>
        <w:rPr>
          <w:rFonts w:hint="eastAsia" w:ascii="黑体" w:hAnsi="黑体" w:eastAsia="黑体" w:cs="黑体"/>
        </w:rPr>
      </w:pPr>
      <w:r>
        <w:rPr>
          <w:rFonts w:hint="eastAsia" w:ascii="黑体" w:hAnsi="黑体" w:eastAsia="黑体" w:cs="黑体"/>
          <w:lang w:val="en-US" w:eastAsia="zh-CN"/>
        </w:rPr>
        <w:t>1、</w:t>
      </w:r>
      <w:r>
        <w:rPr>
          <w:rFonts w:hint="eastAsia" w:ascii="黑体" w:hAnsi="黑体" w:eastAsia="黑体" w:cs="黑体"/>
        </w:rPr>
        <w:t>供应商应根据供应商须知第3.5.1项和第3.5.2项的要求提供主体资格证明及相关资质证明材料。</w:t>
      </w:r>
    </w:p>
    <w:p w14:paraId="5B3C60E8">
      <w:pPr>
        <w:spacing w:line="400" w:lineRule="exact"/>
        <w:ind w:firstLine="420"/>
        <w:rPr>
          <w:rFonts w:hint="eastAsia" w:ascii="黑体" w:hAnsi="黑体" w:eastAsia="黑体" w:cs="黑体"/>
        </w:rPr>
      </w:pPr>
      <w:r>
        <w:rPr>
          <w:rFonts w:hint="eastAsia" w:ascii="黑体" w:hAnsi="黑体" w:eastAsia="黑体" w:cs="黑体"/>
          <w:lang w:val="en-US" w:eastAsia="zh-CN"/>
        </w:rPr>
        <w:t>2、</w:t>
      </w:r>
      <w:r>
        <w:rPr>
          <w:rFonts w:hint="eastAsia" w:ascii="黑体" w:hAnsi="黑体" w:eastAsia="黑体" w:cs="黑体"/>
        </w:rPr>
        <w:t>供应商还应根据供应商须知第3.5.5项的要求提供相关证明材料。</w:t>
      </w:r>
    </w:p>
    <w:p w14:paraId="01470533">
      <w:pPr>
        <w:spacing w:line="400" w:lineRule="exact"/>
        <w:ind w:firstLine="420"/>
        <w:rPr>
          <w:rFonts w:hint="eastAsia" w:ascii="黑体" w:hAnsi="黑体" w:eastAsia="黑体" w:cs="黑体"/>
        </w:rPr>
      </w:pPr>
      <w:r>
        <w:rPr>
          <w:rFonts w:hint="eastAsia" w:ascii="黑体" w:hAnsi="黑体" w:eastAsia="黑体" w:cs="黑体"/>
        </w:rPr>
        <w:t>本表后应附投标人营业执照副本、税务机关出具的一般纳税人证明、近2年（自202</w:t>
      </w:r>
      <w:r>
        <w:rPr>
          <w:rFonts w:hint="eastAsia" w:ascii="黑体" w:hAnsi="黑体" w:eastAsia="黑体" w:cs="黑体"/>
          <w:lang w:val="en-US" w:eastAsia="zh-CN"/>
        </w:rPr>
        <w:t>2</w:t>
      </w:r>
      <w:r>
        <w:rPr>
          <w:rFonts w:hint="eastAsia" w:ascii="黑体" w:hAnsi="黑体" w:eastAsia="黑体" w:cs="黑体"/>
        </w:rPr>
        <w:t>年12月1 日至今）代理商或授权生产商的第三方检测单位出具的合格的产品质量检测报告、基本账户开户许可证或开户行出具的基本存款账户信息表等材料，并按先后顺序归类。</w:t>
      </w:r>
    </w:p>
    <w:p w14:paraId="6556ACD6">
      <w:pPr>
        <w:spacing w:line="400" w:lineRule="exact"/>
        <w:ind w:firstLine="420"/>
        <w:rPr>
          <w:rFonts w:hint="eastAsia" w:ascii="黑体" w:hAnsi="黑体" w:eastAsia="黑体" w:cs="黑体"/>
        </w:rPr>
      </w:pPr>
    </w:p>
    <w:p w14:paraId="2B767C14">
      <w:pPr>
        <w:spacing w:line="400" w:lineRule="exact"/>
        <w:ind w:firstLine="420"/>
        <w:rPr>
          <w:rFonts w:ascii="宋体" w:hAnsi="宋体"/>
        </w:rPr>
      </w:pPr>
    </w:p>
    <w:p w14:paraId="59F9A12C">
      <w:pPr>
        <w:spacing w:line="400" w:lineRule="exact"/>
        <w:ind w:firstLine="420"/>
        <w:rPr>
          <w:rFonts w:ascii="宋体" w:hAnsi="宋体"/>
        </w:rPr>
      </w:pPr>
    </w:p>
    <w:p w14:paraId="0D6B2F7C">
      <w:pPr>
        <w:spacing w:line="400" w:lineRule="exact"/>
        <w:ind w:firstLine="420"/>
        <w:rPr>
          <w:rFonts w:ascii="宋体" w:hAnsi="宋体"/>
        </w:rPr>
      </w:pPr>
    </w:p>
    <w:p w14:paraId="38B2F3AF">
      <w:pPr>
        <w:spacing w:line="400" w:lineRule="exact"/>
        <w:ind w:firstLine="420"/>
        <w:rPr>
          <w:rFonts w:ascii="宋体" w:hAnsi="宋体"/>
        </w:rPr>
      </w:pPr>
    </w:p>
    <w:p w14:paraId="03F5C458">
      <w:pPr>
        <w:spacing w:line="400" w:lineRule="exact"/>
        <w:ind w:firstLine="420"/>
        <w:rPr>
          <w:rFonts w:ascii="宋体" w:hAnsi="宋体"/>
        </w:rPr>
      </w:pPr>
    </w:p>
    <w:p w14:paraId="2D2C4250"/>
    <w:p w14:paraId="3CCDCA4A">
      <w:pPr>
        <w:widowControl/>
        <w:numPr>
          <w:ilvl w:val="0"/>
          <w:numId w:val="5"/>
        </w:numPr>
        <w:spacing w:before="100" w:beforeAutospacing="1" w:after="100" w:afterAutospacing="1"/>
        <w:jc w:val="center"/>
        <w:outlineLvl w:val="2"/>
        <w:rPr>
          <w:rFonts w:ascii="宋体" w:hAnsi="宋体"/>
          <w:b/>
          <w:bCs/>
          <w:kern w:val="0"/>
          <w:sz w:val="27"/>
          <w:szCs w:val="27"/>
          <w:highlight w:val="none"/>
        </w:rPr>
      </w:pPr>
      <w:r>
        <w:rPr>
          <w:rFonts w:ascii="宋体" w:hAnsi="宋体"/>
          <w:b/>
          <w:bCs/>
          <w:kern w:val="0"/>
          <w:sz w:val="27"/>
          <w:szCs w:val="27"/>
          <w:highlight w:val="none"/>
        </w:rPr>
        <w:t>近年</w:t>
      </w:r>
      <w:r>
        <w:rPr>
          <w:rFonts w:hint="eastAsia" w:ascii="宋体" w:hAnsi="宋体"/>
          <w:b/>
          <w:bCs/>
          <w:kern w:val="0"/>
          <w:sz w:val="27"/>
          <w:szCs w:val="27"/>
          <w:highlight w:val="none"/>
          <w:lang w:val="en-US" w:eastAsia="zh-CN"/>
        </w:rPr>
        <w:t>已完</w:t>
      </w:r>
      <w:r>
        <w:rPr>
          <w:rFonts w:ascii="宋体" w:hAnsi="宋体"/>
          <w:b/>
          <w:bCs/>
          <w:kern w:val="0"/>
          <w:sz w:val="27"/>
          <w:szCs w:val="27"/>
          <w:highlight w:val="none"/>
        </w:rPr>
        <w:t>类似项目情况表</w:t>
      </w:r>
    </w:p>
    <w:p w14:paraId="0EF7C4B8">
      <w:pPr>
        <w:widowControl/>
        <w:numPr>
          <w:ilvl w:val="0"/>
          <w:numId w:val="6"/>
        </w:numPr>
        <w:spacing w:before="100" w:beforeAutospacing="1" w:after="100" w:afterAutospacing="1"/>
        <w:jc w:val="center"/>
        <w:outlineLvl w:val="2"/>
        <w:rPr>
          <w:rFonts w:hint="eastAsia" w:ascii="宋体" w:hAnsi="宋体"/>
          <w:b/>
          <w:bCs/>
          <w:kern w:val="0"/>
          <w:sz w:val="27"/>
          <w:szCs w:val="27"/>
          <w:highlight w:val="none"/>
          <w:lang w:val="en-US" w:eastAsia="zh-CN"/>
        </w:rPr>
      </w:pPr>
      <w:r>
        <w:rPr>
          <w:rFonts w:hint="eastAsia" w:ascii="宋体" w:hAnsi="宋体"/>
          <w:b/>
          <w:bCs/>
          <w:kern w:val="0"/>
          <w:sz w:val="27"/>
          <w:szCs w:val="27"/>
          <w:highlight w:val="none"/>
          <w:lang w:val="en-US" w:eastAsia="zh-CN"/>
        </w:rPr>
        <w:t>近年已完成类似项目汇总表</w:t>
      </w:r>
    </w:p>
    <w:tbl>
      <w:tblPr>
        <w:tblStyle w:val="107"/>
        <w:tblW w:w="8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2908"/>
        <w:gridCol w:w="1651"/>
        <w:gridCol w:w="1620"/>
        <w:gridCol w:w="1513"/>
      </w:tblGrid>
      <w:tr w14:paraId="6711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96" w:type="dxa"/>
            <w:vAlign w:val="top"/>
          </w:tcPr>
          <w:p w14:paraId="3B61A725">
            <w:pPr>
              <w:pStyle w:val="167"/>
              <w:spacing w:before="262" w:line="222" w:lineRule="auto"/>
              <w:ind w:left="142"/>
              <w:rPr>
                <w:highlight w:val="none"/>
              </w:rPr>
            </w:pPr>
            <w:r>
              <w:rPr>
                <w:spacing w:val="-2"/>
                <w:highlight w:val="none"/>
              </w:rPr>
              <w:t>序号</w:t>
            </w:r>
          </w:p>
        </w:tc>
        <w:tc>
          <w:tcPr>
            <w:tcW w:w="2908" w:type="dxa"/>
            <w:vAlign w:val="top"/>
          </w:tcPr>
          <w:p w14:paraId="039B9708">
            <w:pPr>
              <w:pStyle w:val="167"/>
              <w:spacing w:before="262" w:line="221" w:lineRule="auto"/>
              <w:ind w:left="1247"/>
              <w:rPr>
                <w:highlight w:val="none"/>
              </w:rPr>
            </w:pPr>
            <w:r>
              <w:rPr>
                <w:spacing w:val="-3"/>
                <w:highlight w:val="none"/>
              </w:rPr>
              <w:t>项目名称</w:t>
            </w:r>
          </w:p>
        </w:tc>
        <w:tc>
          <w:tcPr>
            <w:tcW w:w="1651" w:type="dxa"/>
            <w:vAlign w:val="top"/>
          </w:tcPr>
          <w:p w14:paraId="2BB4AA26">
            <w:pPr>
              <w:pStyle w:val="167"/>
              <w:spacing w:before="262" w:line="220" w:lineRule="auto"/>
              <w:ind w:left="408"/>
              <w:rPr>
                <w:highlight w:val="none"/>
              </w:rPr>
            </w:pPr>
            <w:r>
              <w:rPr>
                <w:spacing w:val="-2"/>
                <w:highlight w:val="none"/>
              </w:rPr>
              <w:t>材料名称</w:t>
            </w:r>
          </w:p>
        </w:tc>
        <w:tc>
          <w:tcPr>
            <w:tcW w:w="1620" w:type="dxa"/>
            <w:vAlign w:val="top"/>
          </w:tcPr>
          <w:p w14:paraId="3C7DF5E7">
            <w:pPr>
              <w:pStyle w:val="167"/>
              <w:spacing w:before="262" w:line="220" w:lineRule="auto"/>
              <w:ind w:left="183"/>
              <w:rPr>
                <w:rFonts w:hint="default" w:eastAsia="宋体"/>
                <w:highlight w:val="none"/>
                <w:lang w:val="en-US" w:eastAsia="zh-CN"/>
              </w:rPr>
            </w:pPr>
            <w:r>
              <w:rPr>
                <w:rFonts w:hint="eastAsia"/>
                <w:spacing w:val="-1"/>
                <w:highlight w:val="none"/>
                <w:lang w:val="en-US" w:eastAsia="zh-CN"/>
              </w:rPr>
              <w:t>合同签订时间</w:t>
            </w:r>
          </w:p>
        </w:tc>
        <w:tc>
          <w:tcPr>
            <w:tcW w:w="1513" w:type="dxa"/>
            <w:vAlign w:val="top"/>
          </w:tcPr>
          <w:p w14:paraId="10FB8DDE">
            <w:pPr>
              <w:pStyle w:val="167"/>
              <w:spacing w:before="125" w:line="243" w:lineRule="auto"/>
              <w:ind w:left="346" w:right="228" w:hanging="111"/>
              <w:rPr>
                <w:highlight w:val="none"/>
              </w:rPr>
            </w:pPr>
            <w:r>
              <w:rPr>
                <w:spacing w:val="-2"/>
                <w:highlight w:val="none"/>
              </w:rPr>
              <w:t>合同供货量</w:t>
            </w:r>
            <w:r>
              <w:rPr>
                <w:spacing w:val="-6"/>
                <w:highlight w:val="none"/>
              </w:rPr>
              <w:t>（吨）</w:t>
            </w:r>
          </w:p>
        </w:tc>
      </w:tr>
      <w:tr w14:paraId="2C7C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45D01678">
            <w:pPr>
              <w:rPr>
                <w:rFonts w:ascii="Arial"/>
                <w:sz w:val="21"/>
                <w:highlight w:val="green"/>
              </w:rPr>
            </w:pPr>
          </w:p>
        </w:tc>
        <w:tc>
          <w:tcPr>
            <w:tcW w:w="2908" w:type="dxa"/>
            <w:vAlign w:val="top"/>
          </w:tcPr>
          <w:p w14:paraId="73B09534">
            <w:pPr>
              <w:rPr>
                <w:rFonts w:ascii="Arial"/>
                <w:sz w:val="21"/>
                <w:highlight w:val="green"/>
              </w:rPr>
            </w:pPr>
          </w:p>
        </w:tc>
        <w:tc>
          <w:tcPr>
            <w:tcW w:w="1651" w:type="dxa"/>
            <w:vAlign w:val="top"/>
          </w:tcPr>
          <w:p w14:paraId="03D95C8B">
            <w:pPr>
              <w:rPr>
                <w:rFonts w:ascii="Arial"/>
                <w:sz w:val="21"/>
                <w:highlight w:val="green"/>
              </w:rPr>
            </w:pPr>
          </w:p>
        </w:tc>
        <w:tc>
          <w:tcPr>
            <w:tcW w:w="1620" w:type="dxa"/>
            <w:vAlign w:val="top"/>
          </w:tcPr>
          <w:p w14:paraId="090CB5F2">
            <w:pPr>
              <w:rPr>
                <w:rFonts w:ascii="Arial"/>
                <w:sz w:val="21"/>
                <w:highlight w:val="green"/>
              </w:rPr>
            </w:pPr>
          </w:p>
        </w:tc>
        <w:tc>
          <w:tcPr>
            <w:tcW w:w="1513" w:type="dxa"/>
            <w:vAlign w:val="top"/>
          </w:tcPr>
          <w:p w14:paraId="7452AB40">
            <w:pPr>
              <w:rPr>
                <w:rFonts w:ascii="Arial"/>
                <w:sz w:val="21"/>
                <w:highlight w:val="green"/>
              </w:rPr>
            </w:pPr>
          </w:p>
        </w:tc>
      </w:tr>
      <w:tr w14:paraId="697C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709F0649">
            <w:pPr>
              <w:rPr>
                <w:rFonts w:ascii="Arial"/>
                <w:sz w:val="21"/>
                <w:highlight w:val="green"/>
              </w:rPr>
            </w:pPr>
          </w:p>
        </w:tc>
        <w:tc>
          <w:tcPr>
            <w:tcW w:w="2908" w:type="dxa"/>
            <w:vAlign w:val="top"/>
          </w:tcPr>
          <w:p w14:paraId="3D40A48C">
            <w:pPr>
              <w:rPr>
                <w:rFonts w:ascii="Arial"/>
                <w:sz w:val="21"/>
                <w:highlight w:val="green"/>
              </w:rPr>
            </w:pPr>
          </w:p>
        </w:tc>
        <w:tc>
          <w:tcPr>
            <w:tcW w:w="1651" w:type="dxa"/>
            <w:vAlign w:val="top"/>
          </w:tcPr>
          <w:p w14:paraId="2A9A34E0">
            <w:pPr>
              <w:rPr>
                <w:rFonts w:ascii="Arial"/>
                <w:sz w:val="21"/>
                <w:highlight w:val="green"/>
              </w:rPr>
            </w:pPr>
          </w:p>
        </w:tc>
        <w:tc>
          <w:tcPr>
            <w:tcW w:w="1620" w:type="dxa"/>
            <w:vAlign w:val="top"/>
          </w:tcPr>
          <w:p w14:paraId="581B877B">
            <w:pPr>
              <w:rPr>
                <w:rFonts w:ascii="Arial"/>
                <w:sz w:val="21"/>
                <w:highlight w:val="green"/>
              </w:rPr>
            </w:pPr>
          </w:p>
        </w:tc>
        <w:tc>
          <w:tcPr>
            <w:tcW w:w="1513" w:type="dxa"/>
            <w:vAlign w:val="top"/>
          </w:tcPr>
          <w:p w14:paraId="6C96EDDD">
            <w:pPr>
              <w:rPr>
                <w:rFonts w:ascii="Arial"/>
                <w:sz w:val="21"/>
                <w:highlight w:val="green"/>
              </w:rPr>
            </w:pPr>
          </w:p>
        </w:tc>
      </w:tr>
      <w:tr w14:paraId="4E448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D22BCFC">
            <w:pPr>
              <w:rPr>
                <w:rFonts w:ascii="Arial"/>
                <w:sz w:val="21"/>
                <w:highlight w:val="green"/>
              </w:rPr>
            </w:pPr>
          </w:p>
        </w:tc>
        <w:tc>
          <w:tcPr>
            <w:tcW w:w="2908" w:type="dxa"/>
            <w:vAlign w:val="top"/>
          </w:tcPr>
          <w:p w14:paraId="52CA55EC">
            <w:pPr>
              <w:rPr>
                <w:rFonts w:ascii="Arial"/>
                <w:sz w:val="21"/>
                <w:highlight w:val="green"/>
              </w:rPr>
            </w:pPr>
          </w:p>
        </w:tc>
        <w:tc>
          <w:tcPr>
            <w:tcW w:w="1651" w:type="dxa"/>
            <w:vAlign w:val="top"/>
          </w:tcPr>
          <w:p w14:paraId="4A1DBB55">
            <w:pPr>
              <w:rPr>
                <w:rFonts w:ascii="Arial"/>
                <w:sz w:val="21"/>
                <w:highlight w:val="green"/>
              </w:rPr>
            </w:pPr>
          </w:p>
        </w:tc>
        <w:tc>
          <w:tcPr>
            <w:tcW w:w="1620" w:type="dxa"/>
            <w:vAlign w:val="top"/>
          </w:tcPr>
          <w:p w14:paraId="62822F5D">
            <w:pPr>
              <w:rPr>
                <w:rFonts w:ascii="Arial"/>
                <w:sz w:val="21"/>
                <w:highlight w:val="green"/>
              </w:rPr>
            </w:pPr>
          </w:p>
        </w:tc>
        <w:tc>
          <w:tcPr>
            <w:tcW w:w="1513" w:type="dxa"/>
            <w:vAlign w:val="top"/>
          </w:tcPr>
          <w:p w14:paraId="177954BD">
            <w:pPr>
              <w:rPr>
                <w:rFonts w:ascii="Arial"/>
                <w:sz w:val="21"/>
                <w:highlight w:val="green"/>
              </w:rPr>
            </w:pPr>
          </w:p>
        </w:tc>
      </w:tr>
      <w:tr w14:paraId="51E8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FE8924D">
            <w:pPr>
              <w:rPr>
                <w:rFonts w:ascii="Arial"/>
                <w:sz w:val="21"/>
                <w:highlight w:val="green"/>
              </w:rPr>
            </w:pPr>
          </w:p>
        </w:tc>
        <w:tc>
          <w:tcPr>
            <w:tcW w:w="2908" w:type="dxa"/>
            <w:vAlign w:val="top"/>
          </w:tcPr>
          <w:p w14:paraId="381F203C">
            <w:pPr>
              <w:rPr>
                <w:rFonts w:ascii="Arial"/>
                <w:sz w:val="21"/>
                <w:highlight w:val="green"/>
              </w:rPr>
            </w:pPr>
          </w:p>
        </w:tc>
        <w:tc>
          <w:tcPr>
            <w:tcW w:w="1651" w:type="dxa"/>
            <w:vAlign w:val="top"/>
          </w:tcPr>
          <w:p w14:paraId="2F0383F2">
            <w:pPr>
              <w:rPr>
                <w:rFonts w:ascii="Arial"/>
                <w:sz w:val="21"/>
                <w:highlight w:val="green"/>
              </w:rPr>
            </w:pPr>
          </w:p>
        </w:tc>
        <w:tc>
          <w:tcPr>
            <w:tcW w:w="1620" w:type="dxa"/>
            <w:vAlign w:val="top"/>
          </w:tcPr>
          <w:p w14:paraId="5364936F">
            <w:pPr>
              <w:rPr>
                <w:rFonts w:ascii="Arial"/>
                <w:sz w:val="21"/>
                <w:highlight w:val="green"/>
              </w:rPr>
            </w:pPr>
          </w:p>
        </w:tc>
        <w:tc>
          <w:tcPr>
            <w:tcW w:w="1513" w:type="dxa"/>
            <w:vAlign w:val="top"/>
          </w:tcPr>
          <w:p w14:paraId="096642F6">
            <w:pPr>
              <w:rPr>
                <w:rFonts w:ascii="Arial"/>
                <w:sz w:val="21"/>
                <w:highlight w:val="green"/>
              </w:rPr>
            </w:pPr>
          </w:p>
        </w:tc>
      </w:tr>
      <w:tr w14:paraId="40896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55EF6EC1">
            <w:pPr>
              <w:rPr>
                <w:rFonts w:ascii="Arial"/>
                <w:sz w:val="21"/>
                <w:highlight w:val="green"/>
              </w:rPr>
            </w:pPr>
          </w:p>
        </w:tc>
        <w:tc>
          <w:tcPr>
            <w:tcW w:w="2908" w:type="dxa"/>
            <w:vAlign w:val="top"/>
          </w:tcPr>
          <w:p w14:paraId="7DA414EC">
            <w:pPr>
              <w:rPr>
                <w:rFonts w:ascii="Arial"/>
                <w:sz w:val="21"/>
                <w:highlight w:val="green"/>
              </w:rPr>
            </w:pPr>
          </w:p>
        </w:tc>
        <w:tc>
          <w:tcPr>
            <w:tcW w:w="1651" w:type="dxa"/>
            <w:vAlign w:val="top"/>
          </w:tcPr>
          <w:p w14:paraId="1606EA7A">
            <w:pPr>
              <w:rPr>
                <w:rFonts w:ascii="Arial"/>
                <w:sz w:val="21"/>
                <w:highlight w:val="green"/>
              </w:rPr>
            </w:pPr>
          </w:p>
        </w:tc>
        <w:tc>
          <w:tcPr>
            <w:tcW w:w="1620" w:type="dxa"/>
            <w:vAlign w:val="top"/>
          </w:tcPr>
          <w:p w14:paraId="557E0210">
            <w:pPr>
              <w:rPr>
                <w:rFonts w:ascii="Arial"/>
                <w:sz w:val="21"/>
                <w:highlight w:val="green"/>
              </w:rPr>
            </w:pPr>
          </w:p>
        </w:tc>
        <w:tc>
          <w:tcPr>
            <w:tcW w:w="1513" w:type="dxa"/>
            <w:vAlign w:val="top"/>
          </w:tcPr>
          <w:p w14:paraId="1624F370">
            <w:pPr>
              <w:rPr>
                <w:rFonts w:ascii="Arial"/>
                <w:sz w:val="21"/>
                <w:highlight w:val="green"/>
              </w:rPr>
            </w:pPr>
          </w:p>
        </w:tc>
      </w:tr>
      <w:tr w14:paraId="0617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0C2BBAA8">
            <w:pPr>
              <w:rPr>
                <w:rFonts w:ascii="Arial"/>
                <w:sz w:val="21"/>
                <w:highlight w:val="green"/>
              </w:rPr>
            </w:pPr>
          </w:p>
        </w:tc>
        <w:tc>
          <w:tcPr>
            <w:tcW w:w="2908" w:type="dxa"/>
            <w:vAlign w:val="top"/>
          </w:tcPr>
          <w:p w14:paraId="295DEB49">
            <w:pPr>
              <w:rPr>
                <w:rFonts w:ascii="Arial"/>
                <w:sz w:val="21"/>
                <w:highlight w:val="green"/>
              </w:rPr>
            </w:pPr>
          </w:p>
        </w:tc>
        <w:tc>
          <w:tcPr>
            <w:tcW w:w="1651" w:type="dxa"/>
            <w:vAlign w:val="top"/>
          </w:tcPr>
          <w:p w14:paraId="24CAD15A">
            <w:pPr>
              <w:rPr>
                <w:rFonts w:ascii="Arial"/>
                <w:sz w:val="21"/>
                <w:highlight w:val="green"/>
              </w:rPr>
            </w:pPr>
          </w:p>
        </w:tc>
        <w:tc>
          <w:tcPr>
            <w:tcW w:w="1620" w:type="dxa"/>
            <w:vAlign w:val="top"/>
          </w:tcPr>
          <w:p w14:paraId="383F4B76">
            <w:pPr>
              <w:rPr>
                <w:rFonts w:ascii="Arial"/>
                <w:sz w:val="21"/>
                <w:highlight w:val="green"/>
              </w:rPr>
            </w:pPr>
          </w:p>
        </w:tc>
        <w:tc>
          <w:tcPr>
            <w:tcW w:w="1513" w:type="dxa"/>
            <w:vAlign w:val="top"/>
          </w:tcPr>
          <w:p w14:paraId="1138E64B">
            <w:pPr>
              <w:rPr>
                <w:rFonts w:ascii="Arial"/>
                <w:sz w:val="21"/>
                <w:highlight w:val="green"/>
              </w:rPr>
            </w:pPr>
          </w:p>
        </w:tc>
      </w:tr>
      <w:tr w14:paraId="5519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98500C7">
            <w:pPr>
              <w:rPr>
                <w:rFonts w:ascii="Arial"/>
                <w:sz w:val="21"/>
                <w:highlight w:val="green"/>
              </w:rPr>
            </w:pPr>
          </w:p>
        </w:tc>
        <w:tc>
          <w:tcPr>
            <w:tcW w:w="2908" w:type="dxa"/>
            <w:vAlign w:val="top"/>
          </w:tcPr>
          <w:p w14:paraId="27C380AE">
            <w:pPr>
              <w:rPr>
                <w:rFonts w:ascii="Arial"/>
                <w:sz w:val="21"/>
                <w:highlight w:val="green"/>
              </w:rPr>
            </w:pPr>
          </w:p>
        </w:tc>
        <w:tc>
          <w:tcPr>
            <w:tcW w:w="1651" w:type="dxa"/>
            <w:vAlign w:val="top"/>
          </w:tcPr>
          <w:p w14:paraId="3FF59B5D">
            <w:pPr>
              <w:rPr>
                <w:rFonts w:ascii="Arial"/>
                <w:sz w:val="21"/>
                <w:highlight w:val="green"/>
              </w:rPr>
            </w:pPr>
          </w:p>
        </w:tc>
        <w:tc>
          <w:tcPr>
            <w:tcW w:w="1620" w:type="dxa"/>
            <w:vAlign w:val="top"/>
          </w:tcPr>
          <w:p w14:paraId="4BD347A5">
            <w:pPr>
              <w:rPr>
                <w:rFonts w:ascii="Arial"/>
                <w:sz w:val="21"/>
                <w:highlight w:val="green"/>
              </w:rPr>
            </w:pPr>
          </w:p>
        </w:tc>
        <w:tc>
          <w:tcPr>
            <w:tcW w:w="1513" w:type="dxa"/>
            <w:vAlign w:val="top"/>
          </w:tcPr>
          <w:p w14:paraId="3FE76F08">
            <w:pPr>
              <w:rPr>
                <w:rFonts w:ascii="Arial"/>
                <w:sz w:val="21"/>
                <w:highlight w:val="green"/>
              </w:rPr>
            </w:pPr>
          </w:p>
        </w:tc>
      </w:tr>
      <w:tr w14:paraId="2076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7E192232">
            <w:pPr>
              <w:rPr>
                <w:rFonts w:ascii="Arial"/>
                <w:sz w:val="21"/>
                <w:highlight w:val="green"/>
              </w:rPr>
            </w:pPr>
          </w:p>
        </w:tc>
        <w:tc>
          <w:tcPr>
            <w:tcW w:w="2908" w:type="dxa"/>
            <w:vAlign w:val="top"/>
          </w:tcPr>
          <w:p w14:paraId="679F59AC">
            <w:pPr>
              <w:rPr>
                <w:rFonts w:ascii="Arial"/>
                <w:sz w:val="21"/>
                <w:highlight w:val="green"/>
              </w:rPr>
            </w:pPr>
          </w:p>
        </w:tc>
        <w:tc>
          <w:tcPr>
            <w:tcW w:w="1651" w:type="dxa"/>
            <w:vAlign w:val="top"/>
          </w:tcPr>
          <w:p w14:paraId="0A369FE8">
            <w:pPr>
              <w:rPr>
                <w:rFonts w:ascii="Arial"/>
                <w:sz w:val="21"/>
                <w:highlight w:val="green"/>
              </w:rPr>
            </w:pPr>
          </w:p>
        </w:tc>
        <w:tc>
          <w:tcPr>
            <w:tcW w:w="1620" w:type="dxa"/>
            <w:vAlign w:val="top"/>
          </w:tcPr>
          <w:p w14:paraId="5705FB46">
            <w:pPr>
              <w:rPr>
                <w:rFonts w:ascii="Arial"/>
                <w:sz w:val="21"/>
                <w:highlight w:val="green"/>
              </w:rPr>
            </w:pPr>
          </w:p>
        </w:tc>
        <w:tc>
          <w:tcPr>
            <w:tcW w:w="1513" w:type="dxa"/>
            <w:vAlign w:val="top"/>
          </w:tcPr>
          <w:p w14:paraId="6EAD7E6F">
            <w:pPr>
              <w:rPr>
                <w:rFonts w:ascii="Arial"/>
                <w:sz w:val="21"/>
                <w:highlight w:val="green"/>
              </w:rPr>
            </w:pPr>
          </w:p>
        </w:tc>
      </w:tr>
      <w:tr w14:paraId="044CA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643B734">
            <w:pPr>
              <w:rPr>
                <w:rFonts w:ascii="Arial"/>
                <w:sz w:val="21"/>
                <w:highlight w:val="green"/>
              </w:rPr>
            </w:pPr>
          </w:p>
        </w:tc>
        <w:tc>
          <w:tcPr>
            <w:tcW w:w="2908" w:type="dxa"/>
            <w:vAlign w:val="top"/>
          </w:tcPr>
          <w:p w14:paraId="33BDAC7A">
            <w:pPr>
              <w:rPr>
                <w:rFonts w:ascii="Arial"/>
                <w:sz w:val="21"/>
                <w:highlight w:val="green"/>
              </w:rPr>
            </w:pPr>
          </w:p>
        </w:tc>
        <w:tc>
          <w:tcPr>
            <w:tcW w:w="1651" w:type="dxa"/>
            <w:vAlign w:val="top"/>
          </w:tcPr>
          <w:p w14:paraId="4DDCC88F">
            <w:pPr>
              <w:rPr>
                <w:rFonts w:ascii="Arial"/>
                <w:sz w:val="21"/>
                <w:highlight w:val="green"/>
              </w:rPr>
            </w:pPr>
          </w:p>
        </w:tc>
        <w:tc>
          <w:tcPr>
            <w:tcW w:w="1620" w:type="dxa"/>
            <w:vAlign w:val="top"/>
          </w:tcPr>
          <w:p w14:paraId="644D5C2C">
            <w:pPr>
              <w:rPr>
                <w:rFonts w:ascii="Arial"/>
                <w:sz w:val="21"/>
                <w:highlight w:val="green"/>
              </w:rPr>
            </w:pPr>
          </w:p>
        </w:tc>
        <w:tc>
          <w:tcPr>
            <w:tcW w:w="1513" w:type="dxa"/>
            <w:vAlign w:val="top"/>
          </w:tcPr>
          <w:p w14:paraId="535EBBFE">
            <w:pPr>
              <w:rPr>
                <w:rFonts w:ascii="Arial"/>
                <w:sz w:val="21"/>
                <w:highlight w:val="green"/>
              </w:rPr>
            </w:pPr>
          </w:p>
        </w:tc>
      </w:tr>
      <w:tr w14:paraId="0AAD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12CF1833">
            <w:pPr>
              <w:rPr>
                <w:rFonts w:ascii="Arial"/>
                <w:sz w:val="21"/>
                <w:highlight w:val="green"/>
              </w:rPr>
            </w:pPr>
          </w:p>
        </w:tc>
        <w:tc>
          <w:tcPr>
            <w:tcW w:w="2908" w:type="dxa"/>
            <w:vAlign w:val="top"/>
          </w:tcPr>
          <w:p w14:paraId="51550368">
            <w:pPr>
              <w:rPr>
                <w:rFonts w:ascii="Arial"/>
                <w:sz w:val="21"/>
                <w:highlight w:val="green"/>
              </w:rPr>
            </w:pPr>
          </w:p>
        </w:tc>
        <w:tc>
          <w:tcPr>
            <w:tcW w:w="1651" w:type="dxa"/>
            <w:vAlign w:val="top"/>
          </w:tcPr>
          <w:p w14:paraId="43F0BA1A">
            <w:pPr>
              <w:rPr>
                <w:rFonts w:ascii="Arial"/>
                <w:sz w:val="21"/>
                <w:highlight w:val="green"/>
              </w:rPr>
            </w:pPr>
          </w:p>
        </w:tc>
        <w:tc>
          <w:tcPr>
            <w:tcW w:w="1620" w:type="dxa"/>
            <w:vAlign w:val="top"/>
          </w:tcPr>
          <w:p w14:paraId="4CC7172C">
            <w:pPr>
              <w:rPr>
                <w:rFonts w:ascii="Arial"/>
                <w:sz w:val="21"/>
                <w:highlight w:val="green"/>
              </w:rPr>
            </w:pPr>
          </w:p>
        </w:tc>
        <w:tc>
          <w:tcPr>
            <w:tcW w:w="1513" w:type="dxa"/>
            <w:vAlign w:val="top"/>
          </w:tcPr>
          <w:p w14:paraId="6927051B">
            <w:pPr>
              <w:rPr>
                <w:rFonts w:ascii="Arial"/>
                <w:sz w:val="21"/>
                <w:highlight w:val="green"/>
              </w:rPr>
            </w:pPr>
          </w:p>
        </w:tc>
      </w:tr>
      <w:tr w14:paraId="1B0D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4BFA7A38">
            <w:pPr>
              <w:rPr>
                <w:rFonts w:ascii="Arial"/>
                <w:sz w:val="21"/>
                <w:highlight w:val="green"/>
              </w:rPr>
            </w:pPr>
          </w:p>
        </w:tc>
        <w:tc>
          <w:tcPr>
            <w:tcW w:w="2908" w:type="dxa"/>
            <w:vAlign w:val="top"/>
          </w:tcPr>
          <w:p w14:paraId="48E8DA72">
            <w:pPr>
              <w:rPr>
                <w:rFonts w:ascii="Arial"/>
                <w:sz w:val="21"/>
                <w:highlight w:val="green"/>
              </w:rPr>
            </w:pPr>
          </w:p>
        </w:tc>
        <w:tc>
          <w:tcPr>
            <w:tcW w:w="1651" w:type="dxa"/>
            <w:vAlign w:val="top"/>
          </w:tcPr>
          <w:p w14:paraId="632E87A7">
            <w:pPr>
              <w:rPr>
                <w:rFonts w:ascii="Arial"/>
                <w:sz w:val="21"/>
                <w:highlight w:val="green"/>
              </w:rPr>
            </w:pPr>
          </w:p>
        </w:tc>
        <w:tc>
          <w:tcPr>
            <w:tcW w:w="1620" w:type="dxa"/>
            <w:vAlign w:val="top"/>
          </w:tcPr>
          <w:p w14:paraId="1475E96F">
            <w:pPr>
              <w:rPr>
                <w:rFonts w:ascii="Arial"/>
                <w:sz w:val="21"/>
                <w:highlight w:val="green"/>
              </w:rPr>
            </w:pPr>
          </w:p>
        </w:tc>
        <w:tc>
          <w:tcPr>
            <w:tcW w:w="1513" w:type="dxa"/>
            <w:vAlign w:val="top"/>
          </w:tcPr>
          <w:p w14:paraId="086CF71D">
            <w:pPr>
              <w:rPr>
                <w:rFonts w:ascii="Arial"/>
                <w:sz w:val="21"/>
                <w:highlight w:val="green"/>
              </w:rPr>
            </w:pPr>
          </w:p>
        </w:tc>
      </w:tr>
      <w:tr w14:paraId="11DF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2494DCF8">
            <w:pPr>
              <w:rPr>
                <w:rFonts w:ascii="Arial"/>
                <w:sz w:val="21"/>
                <w:highlight w:val="green"/>
              </w:rPr>
            </w:pPr>
          </w:p>
        </w:tc>
        <w:tc>
          <w:tcPr>
            <w:tcW w:w="2908" w:type="dxa"/>
            <w:vAlign w:val="top"/>
          </w:tcPr>
          <w:p w14:paraId="3261D7F8">
            <w:pPr>
              <w:rPr>
                <w:rFonts w:ascii="Arial"/>
                <w:sz w:val="21"/>
                <w:highlight w:val="green"/>
              </w:rPr>
            </w:pPr>
          </w:p>
        </w:tc>
        <w:tc>
          <w:tcPr>
            <w:tcW w:w="1651" w:type="dxa"/>
            <w:vAlign w:val="top"/>
          </w:tcPr>
          <w:p w14:paraId="13020868">
            <w:pPr>
              <w:rPr>
                <w:rFonts w:ascii="Arial"/>
                <w:sz w:val="21"/>
                <w:highlight w:val="green"/>
              </w:rPr>
            </w:pPr>
          </w:p>
        </w:tc>
        <w:tc>
          <w:tcPr>
            <w:tcW w:w="1620" w:type="dxa"/>
            <w:vAlign w:val="top"/>
          </w:tcPr>
          <w:p w14:paraId="5E9A1C8F">
            <w:pPr>
              <w:rPr>
                <w:rFonts w:ascii="Arial"/>
                <w:sz w:val="21"/>
                <w:highlight w:val="green"/>
              </w:rPr>
            </w:pPr>
          </w:p>
        </w:tc>
        <w:tc>
          <w:tcPr>
            <w:tcW w:w="1513" w:type="dxa"/>
            <w:vAlign w:val="top"/>
          </w:tcPr>
          <w:p w14:paraId="60FB5008">
            <w:pPr>
              <w:rPr>
                <w:rFonts w:ascii="Arial"/>
                <w:sz w:val="21"/>
                <w:highlight w:val="green"/>
              </w:rPr>
            </w:pPr>
          </w:p>
        </w:tc>
      </w:tr>
      <w:tr w14:paraId="023E8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AF40A9E">
            <w:pPr>
              <w:rPr>
                <w:rFonts w:ascii="Arial"/>
                <w:sz w:val="21"/>
                <w:highlight w:val="green"/>
              </w:rPr>
            </w:pPr>
          </w:p>
        </w:tc>
        <w:tc>
          <w:tcPr>
            <w:tcW w:w="2908" w:type="dxa"/>
            <w:vAlign w:val="top"/>
          </w:tcPr>
          <w:p w14:paraId="655667C5">
            <w:pPr>
              <w:rPr>
                <w:rFonts w:ascii="Arial"/>
                <w:sz w:val="21"/>
                <w:highlight w:val="green"/>
              </w:rPr>
            </w:pPr>
          </w:p>
        </w:tc>
        <w:tc>
          <w:tcPr>
            <w:tcW w:w="1651" w:type="dxa"/>
            <w:vAlign w:val="top"/>
          </w:tcPr>
          <w:p w14:paraId="4A085057">
            <w:pPr>
              <w:rPr>
                <w:rFonts w:ascii="Arial"/>
                <w:sz w:val="21"/>
                <w:highlight w:val="green"/>
              </w:rPr>
            </w:pPr>
          </w:p>
        </w:tc>
        <w:tc>
          <w:tcPr>
            <w:tcW w:w="1620" w:type="dxa"/>
            <w:vAlign w:val="top"/>
          </w:tcPr>
          <w:p w14:paraId="3928C3C6">
            <w:pPr>
              <w:rPr>
                <w:rFonts w:ascii="Arial"/>
                <w:sz w:val="21"/>
                <w:highlight w:val="green"/>
              </w:rPr>
            </w:pPr>
          </w:p>
        </w:tc>
        <w:tc>
          <w:tcPr>
            <w:tcW w:w="1513" w:type="dxa"/>
            <w:vAlign w:val="top"/>
          </w:tcPr>
          <w:p w14:paraId="5C82E5E8">
            <w:pPr>
              <w:rPr>
                <w:rFonts w:ascii="Arial"/>
                <w:sz w:val="21"/>
                <w:highlight w:val="green"/>
              </w:rPr>
            </w:pPr>
          </w:p>
        </w:tc>
      </w:tr>
      <w:tr w14:paraId="3891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FC00320">
            <w:pPr>
              <w:rPr>
                <w:rFonts w:ascii="Arial"/>
                <w:sz w:val="21"/>
                <w:highlight w:val="green"/>
              </w:rPr>
            </w:pPr>
          </w:p>
        </w:tc>
        <w:tc>
          <w:tcPr>
            <w:tcW w:w="2908" w:type="dxa"/>
            <w:vAlign w:val="top"/>
          </w:tcPr>
          <w:p w14:paraId="71257F67">
            <w:pPr>
              <w:rPr>
                <w:rFonts w:ascii="Arial"/>
                <w:sz w:val="21"/>
                <w:highlight w:val="green"/>
              </w:rPr>
            </w:pPr>
          </w:p>
        </w:tc>
        <w:tc>
          <w:tcPr>
            <w:tcW w:w="1651" w:type="dxa"/>
            <w:vAlign w:val="top"/>
          </w:tcPr>
          <w:p w14:paraId="6C0E751C">
            <w:pPr>
              <w:rPr>
                <w:rFonts w:ascii="Arial"/>
                <w:sz w:val="21"/>
                <w:highlight w:val="green"/>
              </w:rPr>
            </w:pPr>
          </w:p>
        </w:tc>
        <w:tc>
          <w:tcPr>
            <w:tcW w:w="1620" w:type="dxa"/>
            <w:vAlign w:val="top"/>
          </w:tcPr>
          <w:p w14:paraId="6FF187E4">
            <w:pPr>
              <w:rPr>
                <w:rFonts w:ascii="Arial"/>
                <w:sz w:val="21"/>
                <w:highlight w:val="green"/>
              </w:rPr>
            </w:pPr>
          </w:p>
        </w:tc>
        <w:tc>
          <w:tcPr>
            <w:tcW w:w="1513" w:type="dxa"/>
            <w:vAlign w:val="top"/>
          </w:tcPr>
          <w:p w14:paraId="2684E0D4">
            <w:pPr>
              <w:rPr>
                <w:rFonts w:ascii="Arial"/>
                <w:sz w:val="21"/>
                <w:highlight w:val="green"/>
              </w:rPr>
            </w:pPr>
          </w:p>
        </w:tc>
      </w:tr>
      <w:tr w14:paraId="61C7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5A440A7B">
            <w:pPr>
              <w:rPr>
                <w:rFonts w:ascii="Arial"/>
                <w:sz w:val="21"/>
                <w:highlight w:val="green"/>
              </w:rPr>
            </w:pPr>
          </w:p>
        </w:tc>
        <w:tc>
          <w:tcPr>
            <w:tcW w:w="2908" w:type="dxa"/>
            <w:vAlign w:val="top"/>
          </w:tcPr>
          <w:p w14:paraId="76A898AE">
            <w:pPr>
              <w:rPr>
                <w:rFonts w:ascii="Arial"/>
                <w:sz w:val="21"/>
                <w:highlight w:val="green"/>
              </w:rPr>
            </w:pPr>
          </w:p>
        </w:tc>
        <w:tc>
          <w:tcPr>
            <w:tcW w:w="1651" w:type="dxa"/>
            <w:vAlign w:val="top"/>
          </w:tcPr>
          <w:p w14:paraId="2A5D6FDA">
            <w:pPr>
              <w:rPr>
                <w:rFonts w:ascii="Arial"/>
                <w:sz w:val="21"/>
                <w:highlight w:val="green"/>
              </w:rPr>
            </w:pPr>
          </w:p>
        </w:tc>
        <w:tc>
          <w:tcPr>
            <w:tcW w:w="1620" w:type="dxa"/>
            <w:vAlign w:val="top"/>
          </w:tcPr>
          <w:p w14:paraId="03C878CE">
            <w:pPr>
              <w:rPr>
                <w:rFonts w:ascii="Arial"/>
                <w:sz w:val="21"/>
                <w:highlight w:val="green"/>
              </w:rPr>
            </w:pPr>
          </w:p>
        </w:tc>
        <w:tc>
          <w:tcPr>
            <w:tcW w:w="1513" w:type="dxa"/>
            <w:vAlign w:val="top"/>
          </w:tcPr>
          <w:p w14:paraId="4670A503">
            <w:pPr>
              <w:rPr>
                <w:rFonts w:ascii="Arial"/>
                <w:sz w:val="21"/>
                <w:highlight w:val="green"/>
              </w:rPr>
            </w:pPr>
          </w:p>
        </w:tc>
      </w:tr>
      <w:tr w14:paraId="5FB02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875" w:type="dxa"/>
            <w:gridSpan w:val="4"/>
            <w:vAlign w:val="top"/>
          </w:tcPr>
          <w:p w14:paraId="28AF61B3">
            <w:pPr>
              <w:pStyle w:val="167"/>
              <w:spacing w:before="168" w:line="219" w:lineRule="auto"/>
              <w:ind w:left="1282"/>
              <w:rPr>
                <w:sz w:val="24"/>
                <w:szCs w:val="24"/>
                <w:highlight w:val="green"/>
              </w:rPr>
            </w:pPr>
            <w:r>
              <w:rPr>
                <w:spacing w:val="-2"/>
                <w:sz w:val="24"/>
                <w:szCs w:val="24"/>
                <w:highlight w:val="none"/>
              </w:rPr>
              <w:t>近年完成的类似项目合同供货量合计（吨）</w:t>
            </w:r>
          </w:p>
        </w:tc>
        <w:tc>
          <w:tcPr>
            <w:tcW w:w="1513" w:type="dxa"/>
            <w:vAlign w:val="top"/>
          </w:tcPr>
          <w:p w14:paraId="620BA317">
            <w:pPr>
              <w:rPr>
                <w:rFonts w:ascii="Arial"/>
                <w:sz w:val="21"/>
                <w:highlight w:val="green"/>
              </w:rPr>
            </w:pPr>
          </w:p>
        </w:tc>
      </w:tr>
    </w:tbl>
    <w:p w14:paraId="7953B9A4">
      <w:pPr>
        <w:widowControl/>
        <w:numPr>
          <w:ilvl w:val="0"/>
          <w:numId w:val="0"/>
        </w:numPr>
        <w:spacing w:before="100" w:beforeAutospacing="1" w:after="100" w:afterAutospacing="1"/>
        <w:jc w:val="both"/>
        <w:outlineLvl w:val="2"/>
        <w:rPr>
          <w:rFonts w:hint="eastAsia" w:ascii="宋体" w:hAnsi="宋体"/>
          <w:b/>
          <w:bCs/>
          <w:kern w:val="0"/>
          <w:sz w:val="27"/>
          <w:szCs w:val="27"/>
          <w:highlight w:val="green"/>
          <w:lang w:val="en-US" w:eastAsia="zh-CN"/>
        </w:rPr>
      </w:pPr>
    </w:p>
    <w:p w14:paraId="7FD519CB">
      <w:pPr>
        <w:widowControl/>
        <w:numPr>
          <w:ilvl w:val="0"/>
          <w:numId w:val="0"/>
        </w:numPr>
        <w:spacing w:before="100" w:beforeAutospacing="1" w:after="100" w:afterAutospacing="1"/>
        <w:jc w:val="both"/>
        <w:outlineLvl w:val="2"/>
        <w:rPr>
          <w:rFonts w:hint="eastAsia" w:ascii="宋体" w:hAnsi="宋体"/>
          <w:b/>
          <w:bCs/>
          <w:kern w:val="0"/>
          <w:sz w:val="27"/>
          <w:szCs w:val="27"/>
          <w:highlight w:val="green"/>
          <w:lang w:val="en-US" w:eastAsia="zh-CN"/>
        </w:rPr>
      </w:pPr>
    </w:p>
    <w:p w14:paraId="1DFD4F1C">
      <w:pPr>
        <w:widowControl/>
        <w:numPr>
          <w:ilvl w:val="0"/>
          <w:numId w:val="0"/>
        </w:numPr>
        <w:spacing w:before="100" w:beforeAutospacing="1" w:after="100" w:afterAutospacing="1"/>
        <w:jc w:val="both"/>
        <w:outlineLvl w:val="2"/>
        <w:rPr>
          <w:rFonts w:hint="eastAsia" w:ascii="宋体" w:hAnsi="宋体"/>
          <w:b/>
          <w:bCs/>
          <w:kern w:val="0"/>
          <w:sz w:val="27"/>
          <w:szCs w:val="27"/>
          <w:highlight w:val="green"/>
          <w:lang w:val="en-US" w:eastAsia="zh-CN"/>
        </w:rPr>
      </w:pPr>
    </w:p>
    <w:p w14:paraId="341CCAB8">
      <w:pPr>
        <w:widowControl/>
        <w:numPr>
          <w:ilvl w:val="0"/>
          <w:numId w:val="0"/>
        </w:numPr>
        <w:spacing w:before="100" w:beforeAutospacing="1" w:after="100" w:afterAutospacing="1"/>
        <w:jc w:val="both"/>
        <w:outlineLvl w:val="2"/>
        <w:rPr>
          <w:rFonts w:hint="eastAsia" w:ascii="宋体" w:hAnsi="宋体"/>
          <w:b/>
          <w:bCs/>
          <w:kern w:val="0"/>
          <w:sz w:val="27"/>
          <w:szCs w:val="27"/>
          <w:highlight w:val="green"/>
          <w:lang w:val="en-US" w:eastAsia="zh-CN"/>
        </w:rPr>
      </w:pPr>
    </w:p>
    <w:p w14:paraId="03AA00C5">
      <w:pPr>
        <w:widowControl/>
        <w:numPr>
          <w:ilvl w:val="0"/>
          <w:numId w:val="0"/>
        </w:numPr>
        <w:spacing w:before="100" w:beforeAutospacing="1" w:after="100" w:afterAutospacing="1"/>
        <w:jc w:val="both"/>
        <w:outlineLvl w:val="2"/>
        <w:rPr>
          <w:rFonts w:hint="eastAsia" w:ascii="宋体" w:hAnsi="宋体"/>
          <w:b/>
          <w:bCs/>
          <w:kern w:val="0"/>
          <w:sz w:val="27"/>
          <w:szCs w:val="27"/>
          <w:highlight w:val="green"/>
          <w:lang w:val="en-US" w:eastAsia="zh-CN"/>
        </w:rPr>
      </w:pPr>
    </w:p>
    <w:p w14:paraId="335CE7F3">
      <w:pPr>
        <w:widowControl/>
        <w:numPr>
          <w:ilvl w:val="0"/>
          <w:numId w:val="0"/>
        </w:numPr>
        <w:spacing w:before="100" w:beforeAutospacing="1" w:after="100" w:afterAutospacing="1"/>
        <w:jc w:val="both"/>
        <w:outlineLvl w:val="2"/>
        <w:rPr>
          <w:rFonts w:hint="eastAsia" w:ascii="宋体" w:hAnsi="宋体"/>
          <w:b/>
          <w:bCs/>
          <w:kern w:val="0"/>
          <w:sz w:val="27"/>
          <w:szCs w:val="27"/>
          <w:highlight w:val="green"/>
          <w:lang w:val="en-US" w:eastAsia="zh-CN"/>
        </w:rPr>
      </w:pPr>
    </w:p>
    <w:p w14:paraId="059E370D">
      <w:pPr>
        <w:widowControl/>
        <w:numPr>
          <w:ilvl w:val="0"/>
          <w:numId w:val="6"/>
        </w:numPr>
        <w:spacing w:before="100" w:beforeAutospacing="1" w:after="100" w:afterAutospacing="1"/>
        <w:jc w:val="center"/>
        <w:outlineLvl w:val="2"/>
        <w:rPr>
          <w:rFonts w:hint="eastAsia" w:ascii="宋体" w:hAnsi="宋体"/>
          <w:b/>
          <w:bCs/>
          <w:kern w:val="0"/>
          <w:sz w:val="27"/>
          <w:szCs w:val="27"/>
          <w:highlight w:val="none"/>
          <w:lang w:val="en-US" w:eastAsia="zh-CN"/>
        </w:rPr>
      </w:pPr>
      <w:r>
        <w:rPr>
          <w:rFonts w:hint="eastAsia" w:ascii="宋体" w:hAnsi="宋体"/>
          <w:b/>
          <w:bCs/>
          <w:kern w:val="0"/>
          <w:sz w:val="27"/>
          <w:szCs w:val="27"/>
          <w:highlight w:val="none"/>
          <w:lang w:val="en-US" w:eastAsia="zh-CN"/>
        </w:rPr>
        <w:t>近年已完成类似项目明细表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7D7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5E51F013">
            <w:pPr>
              <w:topLinePunct/>
              <w:spacing w:line="440" w:lineRule="exact"/>
              <w:jc w:val="center"/>
              <w:rPr>
                <w:rFonts w:ascii="宋体" w:hAnsi="宋体"/>
                <w:szCs w:val="21"/>
                <w:highlight w:val="none"/>
              </w:rPr>
            </w:pPr>
            <w:r>
              <w:rPr>
                <w:rFonts w:ascii="宋体" w:hAnsi="宋体"/>
                <w:szCs w:val="21"/>
                <w:highlight w:val="none"/>
              </w:rPr>
              <w:t>货物名称</w:t>
            </w:r>
          </w:p>
        </w:tc>
        <w:tc>
          <w:tcPr>
            <w:tcW w:w="6253" w:type="dxa"/>
          </w:tcPr>
          <w:p w14:paraId="726B3F89">
            <w:pPr>
              <w:topLinePunct/>
              <w:spacing w:line="440" w:lineRule="exact"/>
              <w:rPr>
                <w:rFonts w:ascii="宋体" w:hAnsi="宋体"/>
                <w:highlight w:val="none"/>
              </w:rPr>
            </w:pPr>
          </w:p>
        </w:tc>
      </w:tr>
      <w:tr w14:paraId="57EB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18EAFB7D">
            <w:pPr>
              <w:topLinePunct/>
              <w:spacing w:line="440" w:lineRule="exact"/>
              <w:jc w:val="center"/>
              <w:rPr>
                <w:rFonts w:ascii="宋体" w:hAnsi="宋体"/>
                <w:szCs w:val="21"/>
                <w:highlight w:val="none"/>
              </w:rPr>
            </w:pPr>
            <w:r>
              <w:rPr>
                <w:rFonts w:ascii="宋体" w:hAnsi="宋体"/>
                <w:szCs w:val="21"/>
                <w:highlight w:val="none"/>
              </w:rPr>
              <w:t>规格和型号</w:t>
            </w:r>
          </w:p>
        </w:tc>
        <w:tc>
          <w:tcPr>
            <w:tcW w:w="6253" w:type="dxa"/>
          </w:tcPr>
          <w:p w14:paraId="0C1EA630">
            <w:pPr>
              <w:topLinePunct/>
              <w:spacing w:line="440" w:lineRule="exact"/>
              <w:rPr>
                <w:rFonts w:ascii="宋体" w:hAnsi="宋体"/>
                <w:highlight w:val="none"/>
              </w:rPr>
            </w:pPr>
          </w:p>
        </w:tc>
      </w:tr>
      <w:tr w14:paraId="6672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4875B165">
            <w:pPr>
              <w:topLinePunct/>
              <w:spacing w:line="440" w:lineRule="exact"/>
              <w:jc w:val="center"/>
              <w:rPr>
                <w:rFonts w:ascii="宋体" w:hAnsi="宋体"/>
                <w:szCs w:val="21"/>
                <w:highlight w:val="none"/>
              </w:rPr>
            </w:pPr>
            <w:r>
              <w:rPr>
                <w:rFonts w:ascii="宋体" w:hAnsi="宋体"/>
                <w:szCs w:val="21"/>
                <w:highlight w:val="none"/>
              </w:rPr>
              <w:t>项目名称</w:t>
            </w:r>
          </w:p>
        </w:tc>
        <w:tc>
          <w:tcPr>
            <w:tcW w:w="6253" w:type="dxa"/>
          </w:tcPr>
          <w:p w14:paraId="3DE31031">
            <w:pPr>
              <w:topLinePunct/>
              <w:spacing w:line="440" w:lineRule="exact"/>
              <w:rPr>
                <w:rFonts w:ascii="宋体" w:hAnsi="宋体"/>
                <w:highlight w:val="none"/>
              </w:rPr>
            </w:pPr>
          </w:p>
        </w:tc>
      </w:tr>
      <w:tr w14:paraId="1C0D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052A406A">
            <w:pPr>
              <w:topLinePunct/>
              <w:spacing w:line="440" w:lineRule="exact"/>
              <w:jc w:val="center"/>
              <w:rPr>
                <w:rFonts w:ascii="宋体" w:hAnsi="宋体"/>
                <w:szCs w:val="21"/>
                <w:highlight w:val="none"/>
              </w:rPr>
            </w:pPr>
            <w:r>
              <w:rPr>
                <w:rFonts w:ascii="宋体" w:hAnsi="宋体"/>
                <w:szCs w:val="21"/>
                <w:highlight w:val="none"/>
              </w:rPr>
              <w:t>买方名称</w:t>
            </w:r>
          </w:p>
        </w:tc>
        <w:tc>
          <w:tcPr>
            <w:tcW w:w="6253" w:type="dxa"/>
          </w:tcPr>
          <w:p w14:paraId="69A6C189">
            <w:pPr>
              <w:topLinePunct/>
              <w:spacing w:line="440" w:lineRule="exact"/>
              <w:rPr>
                <w:rFonts w:ascii="宋体" w:hAnsi="宋体"/>
                <w:highlight w:val="none"/>
              </w:rPr>
            </w:pPr>
          </w:p>
        </w:tc>
      </w:tr>
      <w:tr w14:paraId="0ABD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0C10D567">
            <w:pPr>
              <w:topLinePunct/>
              <w:spacing w:line="440" w:lineRule="exact"/>
              <w:jc w:val="center"/>
              <w:rPr>
                <w:rFonts w:ascii="宋体" w:hAnsi="宋体"/>
                <w:szCs w:val="21"/>
                <w:highlight w:val="none"/>
              </w:rPr>
            </w:pPr>
            <w:r>
              <w:rPr>
                <w:rFonts w:ascii="宋体" w:hAnsi="宋体"/>
                <w:szCs w:val="21"/>
                <w:highlight w:val="none"/>
              </w:rPr>
              <w:t>买方联系人及电话</w:t>
            </w:r>
          </w:p>
        </w:tc>
        <w:tc>
          <w:tcPr>
            <w:tcW w:w="6253" w:type="dxa"/>
          </w:tcPr>
          <w:p w14:paraId="18C2FE81">
            <w:pPr>
              <w:topLinePunct/>
              <w:spacing w:line="440" w:lineRule="exact"/>
              <w:rPr>
                <w:rFonts w:ascii="宋体" w:hAnsi="宋体"/>
                <w:highlight w:val="none"/>
              </w:rPr>
            </w:pPr>
          </w:p>
        </w:tc>
      </w:tr>
      <w:tr w14:paraId="2524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6A548ACA">
            <w:pPr>
              <w:topLinePunct/>
              <w:spacing w:line="440" w:lineRule="exact"/>
              <w:jc w:val="center"/>
              <w:rPr>
                <w:rFonts w:ascii="宋体" w:hAnsi="宋体"/>
                <w:szCs w:val="21"/>
                <w:highlight w:val="none"/>
              </w:rPr>
            </w:pPr>
            <w:r>
              <w:rPr>
                <w:rFonts w:ascii="宋体" w:hAnsi="宋体"/>
                <w:szCs w:val="21"/>
                <w:highlight w:val="none"/>
              </w:rPr>
              <w:t>合同价格</w:t>
            </w:r>
          </w:p>
        </w:tc>
        <w:tc>
          <w:tcPr>
            <w:tcW w:w="6253" w:type="dxa"/>
          </w:tcPr>
          <w:p w14:paraId="4E073C91">
            <w:pPr>
              <w:topLinePunct/>
              <w:spacing w:line="440" w:lineRule="exact"/>
              <w:rPr>
                <w:rFonts w:ascii="宋体" w:hAnsi="宋体"/>
                <w:highlight w:val="none"/>
              </w:rPr>
            </w:pPr>
          </w:p>
        </w:tc>
      </w:tr>
      <w:tr w14:paraId="548D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E6EF099">
            <w:pPr>
              <w:topLinePunct/>
              <w:spacing w:line="440" w:lineRule="exact"/>
              <w:jc w:val="center"/>
              <w:rPr>
                <w:rFonts w:ascii="宋体" w:hAnsi="宋体"/>
                <w:szCs w:val="21"/>
                <w:highlight w:val="none"/>
              </w:rPr>
            </w:pPr>
            <w:r>
              <w:rPr>
                <w:rFonts w:ascii="宋体" w:hAnsi="宋体"/>
                <w:szCs w:val="21"/>
                <w:highlight w:val="none"/>
              </w:rPr>
              <w:t>项目概况及供应商履约情况</w:t>
            </w:r>
          </w:p>
        </w:tc>
        <w:tc>
          <w:tcPr>
            <w:tcW w:w="6253" w:type="dxa"/>
          </w:tcPr>
          <w:p w14:paraId="328D49A2">
            <w:pPr>
              <w:topLinePunct/>
              <w:spacing w:line="440" w:lineRule="exact"/>
              <w:rPr>
                <w:rFonts w:ascii="宋体" w:hAnsi="宋体"/>
                <w:highlight w:val="none"/>
              </w:rPr>
            </w:pPr>
          </w:p>
          <w:p w14:paraId="7AB03E8A">
            <w:pPr>
              <w:topLinePunct/>
              <w:spacing w:line="440" w:lineRule="exact"/>
              <w:rPr>
                <w:rFonts w:ascii="宋体" w:hAnsi="宋体"/>
                <w:highlight w:val="none"/>
              </w:rPr>
            </w:pPr>
          </w:p>
          <w:p w14:paraId="0F129B3E">
            <w:pPr>
              <w:topLinePunct/>
              <w:spacing w:line="440" w:lineRule="exact"/>
              <w:rPr>
                <w:rFonts w:ascii="宋体" w:hAnsi="宋体"/>
                <w:highlight w:val="none"/>
              </w:rPr>
            </w:pPr>
          </w:p>
          <w:p w14:paraId="56474ACB">
            <w:pPr>
              <w:topLinePunct/>
              <w:spacing w:line="440" w:lineRule="exact"/>
              <w:rPr>
                <w:rFonts w:ascii="宋体" w:hAnsi="宋体"/>
                <w:highlight w:val="none"/>
              </w:rPr>
            </w:pPr>
          </w:p>
          <w:p w14:paraId="47FFA0B4">
            <w:pPr>
              <w:topLinePunct/>
              <w:spacing w:line="440" w:lineRule="exact"/>
              <w:rPr>
                <w:rFonts w:ascii="宋体" w:hAnsi="宋体"/>
                <w:highlight w:val="none"/>
              </w:rPr>
            </w:pPr>
          </w:p>
          <w:p w14:paraId="6089B119">
            <w:pPr>
              <w:topLinePunct/>
              <w:spacing w:line="440" w:lineRule="exact"/>
              <w:rPr>
                <w:rFonts w:ascii="宋体" w:hAnsi="宋体"/>
                <w:highlight w:val="none"/>
              </w:rPr>
            </w:pPr>
          </w:p>
          <w:p w14:paraId="4D624B38">
            <w:pPr>
              <w:topLinePunct/>
              <w:spacing w:line="440" w:lineRule="exact"/>
              <w:rPr>
                <w:rFonts w:ascii="宋体" w:hAnsi="宋体"/>
                <w:highlight w:val="none"/>
              </w:rPr>
            </w:pPr>
          </w:p>
        </w:tc>
      </w:tr>
      <w:tr w14:paraId="42C6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61FC88C1">
            <w:pPr>
              <w:topLinePunct/>
              <w:spacing w:line="440" w:lineRule="exact"/>
              <w:jc w:val="center"/>
              <w:rPr>
                <w:rFonts w:ascii="宋体" w:hAnsi="宋体"/>
                <w:szCs w:val="21"/>
                <w:highlight w:val="none"/>
              </w:rPr>
            </w:pPr>
            <w:r>
              <w:rPr>
                <w:rFonts w:ascii="宋体" w:hAnsi="宋体"/>
                <w:szCs w:val="21"/>
                <w:highlight w:val="none"/>
              </w:rPr>
              <w:t>备注</w:t>
            </w:r>
          </w:p>
        </w:tc>
        <w:tc>
          <w:tcPr>
            <w:tcW w:w="6253" w:type="dxa"/>
          </w:tcPr>
          <w:p w14:paraId="74B996D1">
            <w:pPr>
              <w:topLinePunct/>
              <w:spacing w:line="440" w:lineRule="exact"/>
              <w:rPr>
                <w:rFonts w:ascii="宋体" w:hAnsi="宋体"/>
                <w:highlight w:val="none"/>
              </w:rPr>
            </w:pPr>
          </w:p>
        </w:tc>
      </w:tr>
    </w:tbl>
    <w:p w14:paraId="72F26F6A">
      <w:pPr>
        <w:pStyle w:val="20"/>
        <w:numPr>
          <w:ilvl w:val="0"/>
          <w:numId w:val="0"/>
        </w:numPr>
        <w:ind w:firstLine="420" w:firstLineChars="200"/>
        <w:rPr>
          <w:rFonts w:ascii="宋体" w:hAnsi="宋体" w:eastAsia="宋体" w:cs="Times New Roman"/>
          <w:kern w:val="2"/>
          <w:sz w:val="21"/>
          <w:szCs w:val="24"/>
          <w:highlight w:val="none"/>
          <w:lang w:val="en-US" w:eastAsia="zh-CN" w:bidi="ar-SA"/>
        </w:rPr>
      </w:pPr>
    </w:p>
    <w:p w14:paraId="2B10D552">
      <w:pPr>
        <w:pStyle w:val="20"/>
        <w:numPr>
          <w:ilvl w:val="0"/>
          <w:numId w:val="0"/>
        </w:numPr>
        <w:ind w:firstLine="420" w:firstLineChars="200"/>
        <w:rPr>
          <w:rFonts w:ascii="宋体" w:hAnsi="宋体" w:eastAsia="宋体" w:cs="Times New Roman"/>
          <w:kern w:val="2"/>
          <w:sz w:val="21"/>
          <w:szCs w:val="24"/>
          <w:highlight w:val="none"/>
          <w:lang w:val="en-US" w:eastAsia="zh-CN" w:bidi="ar-SA"/>
        </w:rPr>
      </w:pPr>
      <w:bookmarkStart w:id="567" w:name="_Toc7198_WPSOffice_Level1"/>
      <w:bookmarkStart w:id="568" w:name="_Toc118805950"/>
      <w:bookmarkStart w:id="569" w:name="_Toc149140296"/>
      <w:bookmarkStart w:id="570" w:name="_Toc118805573"/>
      <w:bookmarkStart w:id="571" w:name="_Toc118805196"/>
      <w:bookmarkStart w:id="572" w:name="_Toc118806321"/>
      <w:bookmarkStart w:id="573" w:name="_Toc5468"/>
      <w:bookmarkStart w:id="574" w:name="_Toc137648499"/>
      <w:bookmarkStart w:id="575" w:name="_Toc4755"/>
      <w:bookmarkStart w:id="576" w:name="_Toc11388"/>
      <w:bookmarkStart w:id="577" w:name="_Toc4543"/>
      <w:bookmarkStart w:id="578" w:name="_Toc15614"/>
      <w:bookmarkStart w:id="579" w:name="_Toc4743"/>
      <w:bookmarkStart w:id="580" w:name="_Hlk138879422"/>
      <w:r>
        <w:rPr>
          <w:rFonts w:ascii="宋体" w:hAnsi="宋体" w:eastAsia="宋体" w:cs="Times New Roman"/>
          <w:kern w:val="2"/>
          <w:sz w:val="21"/>
          <w:szCs w:val="24"/>
          <w:highlight w:val="none"/>
          <w:lang w:val="en-US" w:eastAsia="zh-CN" w:bidi="ar-SA"/>
        </w:rPr>
        <w:t>注：1、每张表格只填写 1 个项目，并标明序号。</w:t>
      </w:r>
    </w:p>
    <w:p w14:paraId="3957922A">
      <w:pPr>
        <w:pStyle w:val="20"/>
        <w:numPr>
          <w:ilvl w:val="0"/>
          <w:numId w:val="7"/>
        </w:numPr>
        <w:ind w:firstLine="840" w:firstLineChars="400"/>
        <w:rPr>
          <w:rFonts w:ascii="宋体" w:hAnsi="宋体" w:eastAsia="宋体" w:cs="Times New Roman"/>
          <w:kern w:val="2"/>
          <w:sz w:val="21"/>
          <w:szCs w:val="24"/>
          <w:highlight w:val="none"/>
          <w:lang w:val="en-US" w:eastAsia="zh-CN" w:bidi="ar-SA"/>
        </w:rPr>
      </w:pPr>
      <w:r>
        <w:rPr>
          <w:rFonts w:ascii="宋体" w:hAnsi="宋体" w:eastAsia="宋体" w:cs="Times New Roman"/>
          <w:kern w:val="2"/>
          <w:sz w:val="21"/>
          <w:szCs w:val="24"/>
          <w:highlight w:val="none"/>
          <w:lang w:val="en-US" w:eastAsia="zh-CN" w:bidi="ar-SA"/>
        </w:rPr>
        <w:t>供应商应根据供应商须知第3.5.4项的要求在本表后附相关证明材料。</w:t>
      </w:r>
    </w:p>
    <w:p w14:paraId="682D0365">
      <w:pPr>
        <w:pStyle w:val="20"/>
        <w:numPr>
          <w:ilvl w:val="0"/>
          <w:numId w:val="7"/>
        </w:numPr>
        <w:ind w:firstLine="840" w:firstLineChars="400"/>
        <w:rPr>
          <w:rFonts w:hint="default" w:ascii="宋体" w:hAnsi="宋体" w:eastAsia="宋体" w:cs="Times New Roman"/>
          <w:kern w:val="2"/>
          <w:sz w:val="21"/>
          <w:szCs w:val="24"/>
          <w:highlight w:val="none"/>
          <w:lang w:val="en-US" w:eastAsia="zh-CN" w:bidi="ar-SA"/>
        </w:rPr>
      </w:pPr>
      <w:r>
        <w:rPr>
          <w:rFonts w:hint="eastAsia" w:hAnsi="宋体" w:cs="Times New Roman"/>
          <w:kern w:val="2"/>
          <w:sz w:val="21"/>
          <w:szCs w:val="24"/>
          <w:highlight w:val="none"/>
          <w:lang w:val="en-US" w:eastAsia="zh-CN" w:bidi="ar-SA"/>
        </w:rPr>
        <w:t>如投标人为代理经销商，授权生产商业绩视同代理经销商的业绩。</w:t>
      </w:r>
    </w:p>
    <w:p w14:paraId="6441F08E">
      <w:pPr>
        <w:rPr>
          <w:rFonts w:hint="eastAsia" w:hAnsi="宋体" w:cs="Times New Roman"/>
          <w:kern w:val="2"/>
          <w:sz w:val="21"/>
          <w:szCs w:val="24"/>
          <w:highlight w:val="none"/>
          <w:lang w:val="en-US" w:eastAsia="zh-CN" w:bidi="ar-SA"/>
        </w:rPr>
      </w:pPr>
    </w:p>
    <w:p w14:paraId="4D42F3A9">
      <w:pPr>
        <w:rPr>
          <w:rFonts w:hint="eastAsia" w:hAnsi="宋体" w:cs="Times New Roman"/>
          <w:kern w:val="2"/>
          <w:sz w:val="21"/>
          <w:szCs w:val="24"/>
          <w:highlight w:val="none"/>
          <w:lang w:val="en-US" w:eastAsia="zh-CN" w:bidi="ar-SA"/>
        </w:rPr>
      </w:pPr>
    </w:p>
    <w:p w14:paraId="2159E0AA">
      <w:pPr>
        <w:rPr>
          <w:rFonts w:hint="eastAsia" w:hAnsi="宋体" w:cs="Times New Roman"/>
          <w:kern w:val="2"/>
          <w:sz w:val="21"/>
          <w:szCs w:val="24"/>
          <w:highlight w:val="none"/>
          <w:lang w:val="en-US" w:eastAsia="zh-CN" w:bidi="ar-SA"/>
        </w:rPr>
      </w:pPr>
    </w:p>
    <w:p w14:paraId="12304ADF">
      <w:pPr>
        <w:rPr>
          <w:rFonts w:hint="eastAsia" w:hAnsi="宋体" w:cs="Times New Roman"/>
          <w:kern w:val="2"/>
          <w:sz w:val="21"/>
          <w:szCs w:val="24"/>
          <w:highlight w:val="none"/>
          <w:lang w:val="en-US" w:eastAsia="zh-CN" w:bidi="ar-SA"/>
        </w:rPr>
      </w:pPr>
    </w:p>
    <w:p w14:paraId="3D9B7996">
      <w:pPr>
        <w:rPr>
          <w:rFonts w:hint="eastAsia" w:hAnsi="宋体" w:cs="Times New Roman"/>
          <w:kern w:val="2"/>
          <w:sz w:val="21"/>
          <w:szCs w:val="24"/>
          <w:highlight w:val="none"/>
          <w:lang w:val="en-US" w:eastAsia="zh-CN" w:bidi="ar-SA"/>
        </w:rPr>
      </w:pPr>
    </w:p>
    <w:p w14:paraId="1C2EA0B6">
      <w:pPr>
        <w:rPr>
          <w:rFonts w:hint="eastAsia" w:hAnsi="宋体" w:cs="Times New Roman"/>
          <w:kern w:val="2"/>
          <w:sz w:val="21"/>
          <w:szCs w:val="24"/>
          <w:highlight w:val="none"/>
          <w:lang w:val="en-US" w:eastAsia="zh-CN" w:bidi="ar-SA"/>
        </w:rPr>
      </w:pPr>
    </w:p>
    <w:p w14:paraId="07C5130E">
      <w:pPr>
        <w:rPr>
          <w:rFonts w:hint="eastAsia" w:hAnsi="宋体" w:cs="Times New Roman"/>
          <w:kern w:val="2"/>
          <w:sz w:val="21"/>
          <w:szCs w:val="24"/>
          <w:highlight w:val="none"/>
          <w:lang w:val="en-US" w:eastAsia="zh-CN" w:bidi="ar-SA"/>
        </w:rPr>
      </w:pPr>
    </w:p>
    <w:p w14:paraId="7479B725">
      <w:pPr>
        <w:rPr>
          <w:rFonts w:hint="eastAsia" w:hAnsi="宋体" w:cs="Times New Roman"/>
          <w:kern w:val="2"/>
          <w:sz w:val="21"/>
          <w:szCs w:val="24"/>
          <w:highlight w:val="none"/>
          <w:lang w:val="en-US" w:eastAsia="zh-CN" w:bidi="ar-SA"/>
        </w:rPr>
      </w:pPr>
    </w:p>
    <w:p w14:paraId="0807D62E">
      <w:pPr>
        <w:rPr>
          <w:rFonts w:hint="eastAsia" w:hAnsi="宋体" w:cs="Times New Roman"/>
          <w:kern w:val="2"/>
          <w:sz w:val="21"/>
          <w:szCs w:val="24"/>
          <w:highlight w:val="none"/>
          <w:lang w:val="en-US" w:eastAsia="zh-CN" w:bidi="ar-SA"/>
        </w:rPr>
      </w:pPr>
    </w:p>
    <w:p w14:paraId="61FF86B1">
      <w:pPr>
        <w:rPr>
          <w:rFonts w:hint="eastAsia" w:hAnsi="宋体" w:cs="Times New Roman"/>
          <w:kern w:val="2"/>
          <w:sz w:val="21"/>
          <w:szCs w:val="24"/>
          <w:highlight w:val="none"/>
          <w:lang w:val="en-US" w:eastAsia="zh-CN" w:bidi="ar-SA"/>
        </w:rPr>
      </w:pPr>
    </w:p>
    <w:p w14:paraId="6F81244A">
      <w:pPr>
        <w:rPr>
          <w:rFonts w:hint="eastAsia" w:hAnsi="宋体" w:cs="Times New Roman"/>
          <w:kern w:val="2"/>
          <w:sz w:val="21"/>
          <w:szCs w:val="24"/>
          <w:highlight w:val="none"/>
          <w:lang w:val="en-US" w:eastAsia="zh-CN" w:bidi="ar-SA"/>
        </w:rPr>
      </w:pPr>
    </w:p>
    <w:p w14:paraId="3446E555">
      <w:pPr>
        <w:rPr>
          <w:rFonts w:hint="eastAsia" w:hAnsi="宋体" w:cs="Times New Roman"/>
          <w:kern w:val="2"/>
          <w:sz w:val="21"/>
          <w:szCs w:val="24"/>
          <w:highlight w:val="none"/>
          <w:lang w:val="en-US" w:eastAsia="zh-CN" w:bidi="ar-SA"/>
        </w:rPr>
      </w:pPr>
    </w:p>
    <w:p w14:paraId="02A88A87">
      <w:pPr>
        <w:rPr>
          <w:rFonts w:hint="eastAsia" w:hAnsi="宋体" w:cs="Times New Roman"/>
          <w:kern w:val="2"/>
          <w:sz w:val="21"/>
          <w:szCs w:val="24"/>
          <w:highlight w:val="none"/>
          <w:lang w:val="en-US" w:eastAsia="zh-CN" w:bidi="ar-SA"/>
        </w:rPr>
      </w:pPr>
    </w:p>
    <w:p w14:paraId="68CB5967">
      <w:pPr>
        <w:rPr>
          <w:rFonts w:hint="eastAsia" w:hAnsi="宋体" w:cs="Times New Roman"/>
          <w:kern w:val="2"/>
          <w:sz w:val="21"/>
          <w:szCs w:val="24"/>
          <w:highlight w:val="none"/>
          <w:lang w:val="en-US" w:eastAsia="zh-CN" w:bidi="ar-SA"/>
        </w:rPr>
      </w:pPr>
    </w:p>
    <w:p w14:paraId="154CF3F6">
      <w:pPr>
        <w:rPr>
          <w:rFonts w:hint="eastAsia" w:hAnsi="宋体" w:cs="Times New Roman"/>
          <w:kern w:val="2"/>
          <w:sz w:val="21"/>
          <w:szCs w:val="24"/>
          <w:highlight w:val="none"/>
          <w:lang w:val="en-US" w:eastAsia="zh-CN" w:bidi="ar-SA"/>
        </w:rPr>
      </w:pPr>
    </w:p>
    <w:p w14:paraId="1B74321E">
      <w:pPr>
        <w:rPr>
          <w:rFonts w:hint="eastAsia" w:hAnsi="宋体" w:cs="Times New Roman"/>
          <w:kern w:val="2"/>
          <w:sz w:val="21"/>
          <w:szCs w:val="24"/>
          <w:highlight w:val="none"/>
          <w:lang w:val="en-US" w:eastAsia="zh-CN" w:bidi="ar-SA"/>
        </w:rPr>
      </w:pPr>
    </w:p>
    <w:p w14:paraId="266E1069">
      <w:pPr>
        <w:rPr>
          <w:rFonts w:hint="eastAsia" w:hAnsi="宋体" w:cs="Times New Roman"/>
          <w:kern w:val="2"/>
          <w:sz w:val="21"/>
          <w:szCs w:val="24"/>
          <w:highlight w:val="none"/>
          <w:lang w:val="en-US" w:eastAsia="zh-CN" w:bidi="ar-SA"/>
        </w:rPr>
      </w:pPr>
    </w:p>
    <w:p w14:paraId="57BD0154">
      <w:pPr>
        <w:rPr>
          <w:rFonts w:hint="eastAsia" w:hAnsi="宋体" w:cs="Times New Roman"/>
          <w:kern w:val="2"/>
          <w:sz w:val="21"/>
          <w:szCs w:val="24"/>
          <w:highlight w:val="none"/>
          <w:lang w:val="en-US" w:eastAsia="zh-CN" w:bidi="ar-SA"/>
        </w:rPr>
      </w:pPr>
    </w:p>
    <w:p w14:paraId="1B991E63">
      <w:pPr>
        <w:rPr>
          <w:rFonts w:hint="eastAsia" w:hAnsi="宋体" w:cs="Times New Roman"/>
          <w:kern w:val="2"/>
          <w:sz w:val="21"/>
          <w:szCs w:val="24"/>
          <w:highlight w:val="none"/>
          <w:lang w:val="en-US" w:eastAsia="zh-CN" w:bidi="ar-SA"/>
        </w:rPr>
      </w:pPr>
    </w:p>
    <w:p w14:paraId="596FECB8">
      <w:pPr>
        <w:rPr>
          <w:rFonts w:hint="eastAsia" w:hAnsi="宋体" w:cs="Times New Roman"/>
          <w:kern w:val="2"/>
          <w:sz w:val="21"/>
          <w:szCs w:val="24"/>
          <w:highlight w:val="none"/>
          <w:lang w:val="en-US" w:eastAsia="zh-CN" w:bidi="ar-SA"/>
        </w:rPr>
      </w:pPr>
    </w:p>
    <w:p w14:paraId="20E75A68">
      <w:pPr>
        <w:rPr>
          <w:rFonts w:hint="eastAsia" w:hAnsi="宋体" w:cs="Times New Roman"/>
          <w:kern w:val="2"/>
          <w:sz w:val="21"/>
          <w:szCs w:val="24"/>
          <w:highlight w:val="none"/>
          <w:lang w:val="en-US" w:eastAsia="zh-CN" w:bidi="ar-SA"/>
        </w:rPr>
      </w:pPr>
    </w:p>
    <w:p w14:paraId="192D98EF">
      <w:pPr>
        <w:rPr>
          <w:rFonts w:hint="eastAsia" w:hAnsi="宋体" w:cs="Times New Roman"/>
          <w:kern w:val="2"/>
          <w:sz w:val="21"/>
          <w:szCs w:val="24"/>
          <w:highlight w:val="none"/>
          <w:lang w:val="en-US" w:eastAsia="zh-CN" w:bidi="ar-SA"/>
        </w:rPr>
      </w:pPr>
    </w:p>
    <w:p w14:paraId="545C51BD">
      <w:pPr>
        <w:rPr>
          <w:rFonts w:hint="eastAsia" w:hAnsi="宋体" w:cs="Times New Roman"/>
          <w:kern w:val="2"/>
          <w:sz w:val="21"/>
          <w:szCs w:val="24"/>
          <w:highlight w:val="none"/>
          <w:lang w:val="en-US" w:eastAsia="zh-CN" w:bidi="ar-SA"/>
        </w:rPr>
      </w:pPr>
    </w:p>
    <w:p w14:paraId="686A36C2">
      <w:pPr>
        <w:rPr>
          <w:rFonts w:hint="eastAsia" w:hAnsi="宋体" w:cs="Times New Roman"/>
          <w:kern w:val="2"/>
          <w:sz w:val="21"/>
          <w:szCs w:val="24"/>
          <w:highlight w:val="none"/>
          <w:lang w:val="en-US" w:eastAsia="zh-CN" w:bidi="ar-SA"/>
        </w:rPr>
      </w:pPr>
    </w:p>
    <w:p w14:paraId="3A342721">
      <w:pPr>
        <w:spacing w:line="220" w:lineRule="auto"/>
        <w:rPr>
          <w:rFonts w:ascii="宋体" w:hAnsi="宋体" w:eastAsia="宋体" w:cs="宋体"/>
          <w:sz w:val="21"/>
          <w:szCs w:val="21"/>
        </w:rPr>
        <w:sectPr>
          <w:footerReference r:id="rId7" w:type="default"/>
          <w:pgSz w:w="11905" w:h="16839"/>
          <w:pgMar w:top="400" w:right="1081" w:bottom="1174" w:left="1079" w:header="0" w:footer="973" w:gutter="0"/>
          <w:cols w:space="720" w:num="1"/>
        </w:sectPr>
      </w:pPr>
    </w:p>
    <w:p w14:paraId="405CF061">
      <w:pPr>
        <w:keepNext w:val="0"/>
        <w:keepLines/>
        <w:pageBreakBefore w:val="0"/>
        <w:kinsoku/>
        <w:wordWrap/>
        <w:overflowPunct/>
        <w:topLinePunct w:val="0"/>
        <w:autoSpaceDE/>
        <w:autoSpaceDN/>
        <w:bidi w:val="0"/>
        <w:adjustRightInd/>
        <w:snapToGrid/>
        <w:spacing w:before="260" w:after="260" w:line="400" w:lineRule="exact"/>
        <w:jc w:val="center"/>
        <w:textAlignment w:val="auto"/>
        <w:outlineLvl w:val="1"/>
        <w:rPr>
          <w:rFonts w:ascii="宋体" w:hAnsi="宋体"/>
          <w:b/>
          <w:sz w:val="32"/>
          <w:szCs w:val="20"/>
        </w:rPr>
      </w:pPr>
      <w:r>
        <w:rPr>
          <w:rFonts w:hint="eastAsia" w:ascii="宋体" w:hAnsi="宋体"/>
          <w:b/>
          <w:sz w:val="32"/>
          <w:szCs w:val="20"/>
        </w:rPr>
        <w:t>七</w:t>
      </w:r>
      <w:r>
        <w:rPr>
          <w:rFonts w:ascii="宋体" w:hAnsi="宋体"/>
          <w:b/>
          <w:sz w:val="32"/>
          <w:szCs w:val="20"/>
        </w:rPr>
        <w:t>、响应方案</w:t>
      </w:r>
      <w:bookmarkEnd w:id="567"/>
      <w:bookmarkEnd w:id="568"/>
      <w:bookmarkEnd w:id="569"/>
      <w:bookmarkEnd w:id="570"/>
      <w:bookmarkEnd w:id="571"/>
      <w:bookmarkEnd w:id="572"/>
      <w:bookmarkEnd w:id="573"/>
      <w:bookmarkEnd w:id="574"/>
      <w:bookmarkEnd w:id="575"/>
      <w:bookmarkEnd w:id="576"/>
      <w:bookmarkEnd w:id="577"/>
      <w:bookmarkEnd w:id="578"/>
      <w:bookmarkEnd w:id="579"/>
    </w:p>
    <w:bookmarkEnd w:id="580"/>
    <w:p w14:paraId="13412D6C">
      <w:pPr>
        <w:keepNext w:val="0"/>
        <w:pageBreakBefore w:val="0"/>
        <w:kinsoku/>
        <w:wordWrap/>
        <w:overflowPunct/>
        <w:topLinePunct w:val="0"/>
        <w:autoSpaceDE/>
        <w:autoSpaceDN/>
        <w:bidi w:val="0"/>
        <w:adjustRightInd/>
        <w:snapToGrid/>
        <w:spacing w:line="360" w:lineRule="auto"/>
        <w:ind w:firstLine="420"/>
        <w:jc w:val="left"/>
        <w:textAlignment w:val="auto"/>
        <w:rPr>
          <w:rFonts w:ascii="Calibri" w:hAnsi="Calibri"/>
          <w:szCs w:val="21"/>
        </w:rPr>
      </w:pPr>
      <w:r>
        <w:rPr>
          <w:rFonts w:ascii="Calibri" w:hAnsi="Calibri"/>
          <w:szCs w:val="21"/>
        </w:rPr>
        <w:t>响应方案需包括评审办法技术评分标准所列评审因素，一般包括（但不限于）下列内容：</w:t>
      </w:r>
    </w:p>
    <w:p w14:paraId="20E76284">
      <w:pPr>
        <w:keepNext w:val="0"/>
        <w:pageBreakBefore w:val="0"/>
        <w:kinsoku/>
        <w:wordWrap/>
        <w:overflowPunct/>
        <w:topLinePunct w:val="0"/>
        <w:autoSpaceDE/>
        <w:autoSpaceDN/>
        <w:bidi w:val="0"/>
        <w:adjustRightInd/>
        <w:snapToGrid/>
        <w:spacing w:line="360" w:lineRule="auto"/>
        <w:ind w:firstLine="420"/>
        <w:jc w:val="left"/>
        <w:textAlignment w:val="auto"/>
        <w:rPr>
          <w:rFonts w:ascii="Calibri" w:hAnsi="Calibri"/>
          <w:szCs w:val="21"/>
        </w:rPr>
      </w:pPr>
      <w:r>
        <w:rPr>
          <w:rFonts w:hint="eastAsia" w:ascii="Calibri" w:hAnsi="Calibri"/>
          <w:szCs w:val="21"/>
        </w:rPr>
        <w:t>1.</w:t>
      </w:r>
      <w:r>
        <w:rPr>
          <w:rFonts w:hint="eastAsia"/>
          <w:spacing w:val="4"/>
          <w:szCs w:val="21"/>
        </w:rPr>
        <w:t>供货</w:t>
      </w:r>
      <w:r>
        <w:rPr>
          <w:spacing w:val="4"/>
          <w:szCs w:val="21"/>
        </w:rPr>
        <w:t>方案及</w:t>
      </w:r>
      <w:r>
        <w:rPr>
          <w:rFonts w:hint="eastAsia"/>
          <w:spacing w:val="4"/>
          <w:szCs w:val="21"/>
        </w:rPr>
        <w:t>供货</w:t>
      </w:r>
      <w:r>
        <w:rPr>
          <w:spacing w:val="4"/>
          <w:szCs w:val="21"/>
        </w:rPr>
        <w:t>过程控制措施</w:t>
      </w:r>
    </w:p>
    <w:p w14:paraId="6FC639DC">
      <w:pPr>
        <w:keepNext w:val="0"/>
        <w:pageBreakBefore w:val="0"/>
        <w:kinsoku/>
        <w:wordWrap/>
        <w:overflowPunct/>
        <w:topLinePunct w:val="0"/>
        <w:autoSpaceDE/>
        <w:autoSpaceDN/>
        <w:bidi w:val="0"/>
        <w:adjustRightInd/>
        <w:snapToGrid/>
        <w:spacing w:line="360" w:lineRule="auto"/>
        <w:ind w:firstLine="420"/>
        <w:jc w:val="left"/>
        <w:textAlignment w:val="auto"/>
        <w:rPr>
          <w:rFonts w:ascii="Calibri" w:hAnsi="Calibri"/>
          <w:szCs w:val="21"/>
        </w:rPr>
      </w:pPr>
      <w:r>
        <w:rPr>
          <w:rFonts w:hint="eastAsia" w:ascii="Calibri" w:hAnsi="Calibri"/>
          <w:szCs w:val="21"/>
        </w:rPr>
        <w:t>2.</w:t>
      </w:r>
      <w:r>
        <w:rPr>
          <w:spacing w:val="4"/>
          <w:szCs w:val="21"/>
        </w:rPr>
        <w:t>质量控制体系</w:t>
      </w:r>
    </w:p>
    <w:p w14:paraId="7989B199">
      <w:pPr>
        <w:keepNext w:val="0"/>
        <w:pageBreakBefore w:val="0"/>
        <w:kinsoku/>
        <w:wordWrap/>
        <w:overflowPunct/>
        <w:topLinePunct w:val="0"/>
        <w:autoSpaceDE/>
        <w:autoSpaceDN/>
        <w:bidi w:val="0"/>
        <w:adjustRightInd/>
        <w:snapToGrid/>
        <w:spacing w:line="360" w:lineRule="auto"/>
        <w:ind w:firstLine="420"/>
        <w:jc w:val="left"/>
        <w:textAlignment w:val="auto"/>
        <w:rPr>
          <w:rFonts w:ascii="Calibri" w:hAnsi="Calibri"/>
          <w:szCs w:val="21"/>
        </w:rPr>
      </w:pPr>
      <w:r>
        <w:rPr>
          <w:rFonts w:hint="eastAsia" w:ascii="Calibri" w:hAnsi="Calibri"/>
          <w:szCs w:val="21"/>
        </w:rPr>
        <w:t>3.</w:t>
      </w:r>
      <w:r>
        <w:rPr>
          <w:spacing w:val="4"/>
          <w:szCs w:val="21"/>
        </w:rPr>
        <w:t>交货进度保证措施</w:t>
      </w:r>
    </w:p>
    <w:p w14:paraId="4E5BC882">
      <w:pPr>
        <w:keepNext w:val="0"/>
        <w:pageBreakBefore w:val="0"/>
        <w:kinsoku/>
        <w:wordWrap/>
        <w:overflowPunct/>
        <w:topLinePunct w:val="0"/>
        <w:autoSpaceDE/>
        <w:autoSpaceDN/>
        <w:bidi w:val="0"/>
        <w:adjustRightInd/>
        <w:snapToGrid/>
        <w:spacing w:line="360" w:lineRule="auto"/>
        <w:ind w:firstLine="420"/>
        <w:jc w:val="left"/>
        <w:textAlignment w:val="auto"/>
        <w:rPr>
          <w:rFonts w:ascii="Calibri" w:hAnsi="Calibri"/>
          <w:szCs w:val="21"/>
        </w:rPr>
      </w:pPr>
      <w:r>
        <w:rPr>
          <w:rFonts w:hint="eastAsia" w:ascii="Calibri" w:hAnsi="Calibri"/>
          <w:szCs w:val="21"/>
        </w:rPr>
        <w:t>4.</w:t>
      </w:r>
      <w:r>
        <w:rPr>
          <w:rFonts w:ascii="Calibri" w:hAnsi="Calibri"/>
          <w:szCs w:val="21"/>
        </w:rPr>
        <w:t>售后服务承诺</w:t>
      </w:r>
    </w:p>
    <w:p w14:paraId="35FB934A">
      <w:pPr>
        <w:keepNext w:val="0"/>
        <w:pageBreakBefore w:val="0"/>
        <w:widowControl/>
        <w:kinsoku/>
        <w:wordWrap/>
        <w:overflowPunct/>
        <w:topLinePunct w:val="0"/>
        <w:autoSpaceDE/>
        <w:autoSpaceDN/>
        <w:bidi w:val="0"/>
        <w:adjustRightInd/>
        <w:snapToGrid/>
        <w:jc w:val="left"/>
        <w:textAlignment w:val="auto"/>
        <w:rPr>
          <w:rFonts w:ascii="宋体" w:hAnsi="宋体"/>
          <w:b/>
          <w:szCs w:val="20"/>
        </w:rPr>
      </w:pPr>
      <w:bookmarkStart w:id="581" w:name="_Toc20421"/>
      <w:bookmarkStart w:id="582" w:name="_Toc10624"/>
      <w:bookmarkStart w:id="583" w:name="_Toc25068_WPSOffice_Level1"/>
      <w:bookmarkStart w:id="584" w:name="_Toc23765"/>
      <w:bookmarkStart w:id="585" w:name="_Toc23008"/>
      <w:r>
        <w:rPr>
          <w:rFonts w:ascii="宋体" w:hAnsi="宋体"/>
        </w:rPr>
        <w:br w:type="page"/>
      </w:r>
    </w:p>
    <w:bookmarkEnd w:id="581"/>
    <w:bookmarkEnd w:id="582"/>
    <w:bookmarkEnd w:id="583"/>
    <w:bookmarkEnd w:id="584"/>
    <w:bookmarkEnd w:id="585"/>
    <w:p w14:paraId="0BF81547">
      <w:pPr>
        <w:keepNext/>
        <w:keepLines/>
        <w:spacing w:before="260" w:after="260" w:line="400" w:lineRule="exact"/>
        <w:jc w:val="center"/>
        <w:outlineLvl w:val="1"/>
        <w:rPr>
          <w:rFonts w:ascii="宋体" w:hAnsi="宋体"/>
          <w:b/>
          <w:sz w:val="32"/>
          <w:szCs w:val="20"/>
        </w:rPr>
      </w:pPr>
      <w:bookmarkStart w:id="586" w:name="_Toc138604723"/>
      <w:bookmarkStart w:id="587" w:name="_Toc149140301"/>
      <w:r>
        <w:rPr>
          <w:rFonts w:hint="eastAsia" w:ascii="宋体" w:hAnsi="宋体"/>
          <w:b/>
          <w:sz w:val="32"/>
          <w:szCs w:val="20"/>
        </w:rPr>
        <w:t>八</w:t>
      </w:r>
      <w:r>
        <w:rPr>
          <w:rFonts w:ascii="宋体" w:hAnsi="宋体"/>
          <w:b/>
          <w:sz w:val="32"/>
          <w:szCs w:val="20"/>
        </w:rPr>
        <w:t>、承诺函</w:t>
      </w:r>
      <w:bookmarkEnd w:id="586"/>
      <w:bookmarkEnd w:id="587"/>
    </w:p>
    <w:p w14:paraId="52A75851">
      <w:pPr>
        <w:spacing w:line="400" w:lineRule="exact"/>
        <w:rPr>
          <w:rFonts w:ascii="宋体" w:hAnsi="宋体"/>
          <w:szCs w:val="21"/>
        </w:rPr>
      </w:pPr>
      <w:bookmarkStart w:id="588" w:name="_Toc21812"/>
      <w:bookmarkStart w:id="589" w:name="_Toc4960"/>
      <w:bookmarkStart w:id="590" w:name="_Toc26620"/>
      <w:bookmarkStart w:id="591" w:name="_Toc118805925"/>
      <w:bookmarkStart w:id="592" w:name="_Toc22218"/>
      <w:bookmarkStart w:id="593" w:name="_Toc11483"/>
      <w:bookmarkStart w:id="594" w:name="_Toc118805548"/>
      <w:bookmarkStart w:id="595" w:name="_Toc4203"/>
      <w:bookmarkStart w:id="596" w:name="_Toc3029_WPSOffice_Level1"/>
      <w:bookmarkStart w:id="597" w:name="_Toc118805171"/>
      <w:bookmarkStart w:id="598" w:name="_Toc118806296"/>
      <w:r>
        <w:rPr>
          <w:rFonts w:ascii="宋体" w:hAnsi="宋体"/>
          <w:szCs w:val="21"/>
        </w:rPr>
        <w:t>单位名称：</w:t>
      </w:r>
      <w:r>
        <w:rPr>
          <w:rFonts w:ascii="宋体" w:hAnsi="宋体"/>
          <w:szCs w:val="21"/>
          <w:u w:val="single"/>
        </w:rPr>
        <w:t xml:space="preserve">               </w:t>
      </w:r>
      <w:r>
        <w:rPr>
          <w:rFonts w:hint="eastAsia" w:ascii="宋体" w:hAnsi="宋体"/>
          <w:szCs w:val="21"/>
          <w:u w:val="single"/>
        </w:rPr>
        <w:t>（采购人名称）</w:t>
      </w:r>
    </w:p>
    <w:p w14:paraId="0FD8413E">
      <w:pPr>
        <w:spacing w:line="400" w:lineRule="exact"/>
        <w:ind w:firstLine="420"/>
        <w:rPr>
          <w:rFonts w:ascii="宋体" w:hAnsi="宋体"/>
          <w:szCs w:val="21"/>
        </w:rPr>
      </w:pPr>
      <w:r>
        <w:rPr>
          <w:szCs w:val="21"/>
        </w:rPr>
        <w:t>1</w:t>
      </w:r>
      <w:r>
        <w:rPr>
          <w:rFonts w:ascii="宋体" w:hAnsi="宋体"/>
          <w:szCs w:val="21"/>
        </w:rPr>
        <w:t>.根据你方</w:t>
      </w:r>
      <w:r>
        <w:rPr>
          <w:rFonts w:ascii="宋体" w:hAnsi="宋体"/>
          <w:szCs w:val="21"/>
          <w:u w:val="single"/>
        </w:rPr>
        <w:t xml:space="preserve">            </w:t>
      </w:r>
      <w:r>
        <w:rPr>
          <w:rFonts w:ascii="宋体" w:hAnsi="宋体"/>
          <w:szCs w:val="21"/>
        </w:rPr>
        <w:t>（项目名称）采购文件的全部内容，经研究上述采购文件的供应商须知、合同主要条款及其他有关内容后，郑重承诺：我方能够响应采购人的要求，我们将按照采购文件中的采购人要求及合同约定，提供本次采购的全部工作。</w:t>
      </w:r>
    </w:p>
    <w:p w14:paraId="63AFC8D3">
      <w:pPr>
        <w:spacing w:line="400" w:lineRule="exact"/>
        <w:ind w:firstLine="420"/>
        <w:rPr>
          <w:rFonts w:ascii="宋体" w:hAnsi="宋体"/>
          <w:szCs w:val="21"/>
        </w:rPr>
      </w:pPr>
      <w:r>
        <w:rPr>
          <w:szCs w:val="21"/>
        </w:rPr>
        <w:t>2</w:t>
      </w:r>
      <w:r>
        <w:rPr>
          <w:rFonts w:ascii="宋体" w:hAnsi="宋体"/>
          <w:szCs w:val="21"/>
        </w:rPr>
        <w:t>.我方的响应文件包括下列内容：</w:t>
      </w:r>
    </w:p>
    <w:p w14:paraId="0B527F83">
      <w:pPr>
        <w:spacing w:line="400" w:lineRule="exact"/>
        <w:ind w:firstLine="420"/>
        <w:rPr>
          <w:rFonts w:ascii="宋体" w:hAnsi="宋体"/>
          <w:szCs w:val="21"/>
        </w:rPr>
      </w:pPr>
      <w:r>
        <w:rPr>
          <w:rFonts w:ascii="宋体" w:hAnsi="宋体"/>
        </w:rPr>
        <w:t>（</w:t>
      </w:r>
      <w:r>
        <w:t>1</w:t>
      </w:r>
      <w:r>
        <w:rPr>
          <w:rFonts w:ascii="宋体" w:hAnsi="宋体"/>
        </w:rPr>
        <w:t>）</w:t>
      </w:r>
      <w:r>
        <w:rPr>
          <w:rFonts w:ascii="宋体" w:hAnsi="宋体"/>
          <w:szCs w:val="21"/>
        </w:rPr>
        <w:t>响应函；</w:t>
      </w:r>
    </w:p>
    <w:p w14:paraId="48FEF5F0">
      <w:pPr>
        <w:spacing w:line="400" w:lineRule="exact"/>
        <w:ind w:firstLine="420"/>
        <w:rPr>
          <w:rFonts w:ascii="宋体" w:hAnsi="宋体"/>
          <w:szCs w:val="21"/>
        </w:rPr>
      </w:pPr>
      <w:r>
        <w:rPr>
          <w:rFonts w:ascii="宋体" w:hAnsi="宋体"/>
        </w:rPr>
        <w:t>（</w:t>
      </w:r>
      <w:r>
        <w:t>2</w:t>
      </w:r>
      <w:r>
        <w:rPr>
          <w:rFonts w:ascii="宋体" w:hAnsi="宋体"/>
        </w:rPr>
        <w:t>）</w:t>
      </w:r>
      <w:bookmarkStart w:id="599" w:name="_Hlk138879484"/>
      <w:r>
        <w:rPr>
          <w:rFonts w:ascii="宋体" w:hAnsi="宋体"/>
          <w:szCs w:val="21"/>
        </w:rPr>
        <w:t>授权委托书；</w:t>
      </w:r>
      <w:bookmarkEnd w:id="599"/>
    </w:p>
    <w:p w14:paraId="17736EB4">
      <w:pPr>
        <w:spacing w:line="400" w:lineRule="exact"/>
        <w:ind w:firstLine="405"/>
        <w:rPr>
          <w:rFonts w:ascii="宋体" w:hAnsi="宋体"/>
        </w:rPr>
      </w:pPr>
      <w:r>
        <w:rPr>
          <w:rFonts w:ascii="宋体" w:hAnsi="宋体"/>
        </w:rPr>
        <w:t>（</w:t>
      </w:r>
      <w:r>
        <w:t>3</w:t>
      </w:r>
      <w:r>
        <w:rPr>
          <w:rFonts w:ascii="宋体" w:hAnsi="宋体"/>
        </w:rPr>
        <w:t>）联合体协议书（如有）；</w:t>
      </w:r>
    </w:p>
    <w:p w14:paraId="40A0A5F5">
      <w:pPr>
        <w:spacing w:line="400" w:lineRule="exact"/>
        <w:ind w:firstLine="405"/>
        <w:rPr>
          <w:rFonts w:ascii="宋体" w:hAnsi="宋体"/>
        </w:rPr>
      </w:pPr>
      <w:r>
        <w:rPr>
          <w:rFonts w:ascii="宋体" w:hAnsi="宋体"/>
        </w:rPr>
        <w:t>（</w:t>
      </w:r>
      <w:r>
        <w:t>4</w:t>
      </w:r>
      <w:r>
        <w:rPr>
          <w:rFonts w:ascii="宋体" w:hAnsi="宋体"/>
        </w:rPr>
        <w:t>）响应保证金（如有）；</w:t>
      </w:r>
    </w:p>
    <w:p w14:paraId="7AFC92CE">
      <w:pPr>
        <w:spacing w:line="400" w:lineRule="exact"/>
        <w:ind w:firstLine="405"/>
        <w:rPr>
          <w:rFonts w:ascii="宋体" w:hAnsi="宋体"/>
        </w:rPr>
      </w:pPr>
      <w:r>
        <w:rPr>
          <w:rFonts w:ascii="宋体" w:hAnsi="宋体"/>
        </w:rPr>
        <w:t>（</w:t>
      </w:r>
      <w:r>
        <w:t>5</w:t>
      </w:r>
      <w:r>
        <w:rPr>
          <w:rFonts w:ascii="宋体" w:hAnsi="宋体"/>
        </w:rPr>
        <w:t>）商务和技术偏差表；</w:t>
      </w:r>
    </w:p>
    <w:p w14:paraId="0755D302">
      <w:pPr>
        <w:spacing w:line="400" w:lineRule="exact"/>
        <w:ind w:firstLine="405"/>
        <w:rPr>
          <w:rFonts w:ascii="宋体" w:hAnsi="宋体"/>
        </w:rPr>
      </w:pPr>
      <w:r>
        <w:rPr>
          <w:rFonts w:ascii="宋体" w:hAnsi="宋体"/>
        </w:rPr>
        <w:t>（</w:t>
      </w:r>
      <w:r>
        <w:t>6</w:t>
      </w:r>
      <w:r>
        <w:rPr>
          <w:rFonts w:ascii="宋体" w:hAnsi="宋体"/>
        </w:rPr>
        <w:t>）报价表；</w:t>
      </w:r>
    </w:p>
    <w:p w14:paraId="4775F409">
      <w:pPr>
        <w:spacing w:line="400" w:lineRule="exact"/>
        <w:ind w:firstLine="405"/>
        <w:rPr>
          <w:rFonts w:ascii="宋体" w:hAnsi="宋体"/>
        </w:rPr>
      </w:pPr>
      <w:r>
        <w:rPr>
          <w:rFonts w:ascii="宋体" w:hAnsi="宋体"/>
        </w:rPr>
        <w:t>（</w:t>
      </w:r>
      <w:r>
        <w:t>7</w:t>
      </w:r>
      <w:r>
        <w:rPr>
          <w:rFonts w:ascii="宋体" w:hAnsi="宋体"/>
        </w:rPr>
        <w:t>）资格审查资料；</w:t>
      </w:r>
    </w:p>
    <w:p w14:paraId="457372EB">
      <w:pPr>
        <w:spacing w:line="400" w:lineRule="exact"/>
        <w:ind w:firstLine="405"/>
        <w:rPr>
          <w:rFonts w:ascii="宋体" w:hAnsi="宋体"/>
        </w:rPr>
      </w:pPr>
      <w:r>
        <w:rPr>
          <w:rFonts w:ascii="宋体" w:hAnsi="宋体"/>
        </w:rPr>
        <w:t>（</w:t>
      </w:r>
      <w:r>
        <w:t>8</w:t>
      </w:r>
      <w:r>
        <w:rPr>
          <w:rFonts w:ascii="宋体" w:hAnsi="宋体"/>
        </w:rPr>
        <w:t>）响应方案；</w:t>
      </w:r>
    </w:p>
    <w:p w14:paraId="338092CE">
      <w:pPr>
        <w:spacing w:line="400" w:lineRule="exact"/>
        <w:ind w:firstLine="405"/>
        <w:rPr>
          <w:rFonts w:ascii="宋体" w:hAnsi="宋体"/>
        </w:rPr>
      </w:pPr>
      <w:r>
        <w:rPr>
          <w:rFonts w:ascii="宋体" w:hAnsi="宋体"/>
        </w:rPr>
        <w:t>（</w:t>
      </w:r>
      <w:r>
        <w:t>9</w:t>
      </w:r>
      <w:r>
        <w:rPr>
          <w:rFonts w:ascii="宋体" w:hAnsi="宋体"/>
        </w:rPr>
        <w:t>）承诺函</w:t>
      </w:r>
    </w:p>
    <w:p w14:paraId="4861D932">
      <w:pPr>
        <w:spacing w:line="400" w:lineRule="exact"/>
        <w:ind w:firstLine="630" w:firstLineChars="300"/>
        <w:rPr>
          <w:rFonts w:ascii="宋体" w:hAnsi="宋体"/>
        </w:rPr>
      </w:pPr>
      <w:bookmarkStart w:id="600" w:name="_Hlk138879476"/>
      <w:r>
        <w:rPr>
          <w:rFonts w:ascii="宋体" w:hAnsi="宋体"/>
        </w:rPr>
        <w:t>………..</w:t>
      </w:r>
    </w:p>
    <w:bookmarkEnd w:id="600"/>
    <w:p w14:paraId="7ADE61E0">
      <w:pPr>
        <w:spacing w:line="400" w:lineRule="exact"/>
        <w:ind w:firstLine="420"/>
        <w:rPr>
          <w:rFonts w:ascii="宋体" w:hAnsi="宋体"/>
          <w:szCs w:val="21"/>
        </w:rPr>
      </w:pPr>
      <w:r>
        <w:rPr>
          <w:rFonts w:ascii="宋体" w:hAnsi="宋体"/>
          <w:szCs w:val="21"/>
        </w:rPr>
        <w:t>响应文件的上述组成部分如存在内容不一致的，以响应函为准。</w:t>
      </w:r>
    </w:p>
    <w:p w14:paraId="053E5275">
      <w:pPr>
        <w:spacing w:line="400" w:lineRule="exact"/>
        <w:ind w:firstLine="420"/>
        <w:rPr>
          <w:rFonts w:ascii="宋体" w:hAnsi="宋体"/>
          <w:szCs w:val="21"/>
        </w:rPr>
      </w:pPr>
      <w:r>
        <w:rPr>
          <w:szCs w:val="21"/>
        </w:rPr>
        <w:t>3</w:t>
      </w:r>
      <w:r>
        <w:rPr>
          <w:rFonts w:ascii="宋体" w:hAnsi="宋体"/>
          <w:szCs w:val="21"/>
        </w:rPr>
        <w:t>.我方承诺除商务和技术偏差表列出的偏差外，我方响应采购文件的全部要求。</w:t>
      </w:r>
    </w:p>
    <w:p w14:paraId="0941ABB9">
      <w:pPr>
        <w:spacing w:line="400" w:lineRule="exact"/>
        <w:ind w:firstLine="420"/>
        <w:rPr>
          <w:rFonts w:ascii="宋体" w:hAnsi="宋体"/>
          <w:szCs w:val="21"/>
        </w:rPr>
      </w:pPr>
      <w:r>
        <w:rPr>
          <w:szCs w:val="21"/>
        </w:rPr>
        <w:t>4</w:t>
      </w:r>
      <w:r>
        <w:rPr>
          <w:rFonts w:ascii="宋体" w:hAnsi="宋体"/>
          <w:szCs w:val="21"/>
        </w:rPr>
        <w:t>.我方承诺在采购文件规定的响应文件有效期内不撤销响应文件。</w:t>
      </w:r>
    </w:p>
    <w:p w14:paraId="5FBB522C">
      <w:pPr>
        <w:spacing w:line="400" w:lineRule="exact"/>
        <w:ind w:firstLine="420"/>
        <w:rPr>
          <w:rFonts w:ascii="宋体" w:hAnsi="宋体"/>
          <w:szCs w:val="21"/>
        </w:rPr>
      </w:pPr>
      <w:r>
        <w:rPr>
          <w:szCs w:val="21"/>
        </w:rPr>
        <w:t>5</w:t>
      </w:r>
      <w:r>
        <w:rPr>
          <w:rFonts w:ascii="宋体" w:hAnsi="宋体"/>
          <w:szCs w:val="21"/>
        </w:rPr>
        <w:t>如我方成交，我方承诺：</w:t>
      </w:r>
    </w:p>
    <w:p w14:paraId="27C45BA6">
      <w:pPr>
        <w:spacing w:line="400" w:lineRule="exact"/>
        <w:ind w:firstLine="420"/>
        <w:rPr>
          <w:rFonts w:ascii="宋体" w:hAnsi="宋体"/>
          <w:szCs w:val="21"/>
        </w:rPr>
      </w:pPr>
      <w:bookmarkStart w:id="601" w:name="_Hlk138879512"/>
      <w:r>
        <w:rPr>
          <w:rFonts w:ascii="宋体" w:hAnsi="宋体"/>
        </w:rPr>
        <w:t>（</w:t>
      </w:r>
      <w:r>
        <w:t>1</w:t>
      </w:r>
      <w:r>
        <w:rPr>
          <w:rFonts w:ascii="宋体" w:hAnsi="宋体"/>
        </w:rPr>
        <w:t>）</w:t>
      </w:r>
      <w:bookmarkEnd w:id="601"/>
      <w:r>
        <w:rPr>
          <w:rFonts w:ascii="宋体" w:hAnsi="宋体"/>
          <w:szCs w:val="21"/>
        </w:rPr>
        <w:t>在收</w:t>
      </w:r>
      <w:r>
        <w:rPr>
          <w:rFonts w:hint="eastAsia" w:ascii="宋体" w:hAnsi="宋体"/>
          <w:szCs w:val="21"/>
        </w:rPr>
        <w:t>到</w:t>
      </w:r>
      <w:r>
        <w:rPr>
          <w:rFonts w:ascii="宋体" w:hAnsi="宋体"/>
          <w:szCs w:val="21"/>
        </w:rPr>
        <w:t>成交（入围）通知书后，在规定的期限内与你方签订框架协议；</w:t>
      </w:r>
    </w:p>
    <w:p w14:paraId="27B4DBE2">
      <w:pPr>
        <w:spacing w:line="400" w:lineRule="exact"/>
        <w:ind w:firstLine="420"/>
        <w:rPr>
          <w:rFonts w:ascii="宋体" w:hAnsi="宋体"/>
          <w:szCs w:val="21"/>
        </w:rPr>
      </w:pPr>
      <w:bookmarkStart w:id="602" w:name="_Hlk138879517"/>
      <w:r>
        <w:rPr>
          <w:rFonts w:ascii="宋体" w:hAnsi="宋体"/>
        </w:rPr>
        <w:t>（</w:t>
      </w:r>
      <w:r>
        <w:t>2</w:t>
      </w:r>
      <w:r>
        <w:rPr>
          <w:rFonts w:ascii="宋体" w:hAnsi="宋体"/>
        </w:rPr>
        <w:t>）</w:t>
      </w:r>
      <w:bookmarkEnd w:id="602"/>
      <w:r>
        <w:rPr>
          <w:rFonts w:ascii="宋体" w:hAnsi="宋体"/>
          <w:szCs w:val="21"/>
        </w:rPr>
        <w:t>在签订框架协议时不向你方提出附加条件；</w:t>
      </w:r>
    </w:p>
    <w:p w14:paraId="062AE678">
      <w:pPr>
        <w:spacing w:line="400" w:lineRule="exact"/>
        <w:ind w:firstLine="405"/>
        <w:rPr>
          <w:rFonts w:ascii="宋体" w:hAnsi="宋体"/>
        </w:rPr>
      </w:pPr>
      <w:bookmarkStart w:id="603" w:name="_Hlk138879522"/>
      <w:r>
        <w:rPr>
          <w:rFonts w:ascii="宋体" w:hAnsi="宋体"/>
        </w:rPr>
        <w:t>（</w:t>
      </w:r>
      <w:r>
        <w:t>3</w:t>
      </w:r>
      <w:r>
        <w:rPr>
          <w:rFonts w:ascii="宋体" w:hAnsi="宋体"/>
        </w:rPr>
        <w:t>）</w:t>
      </w:r>
      <w:bookmarkEnd w:id="603"/>
      <w:r>
        <w:rPr>
          <w:rFonts w:ascii="宋体" w:hAnsi="宋体"/>
        </w:rPr>
        <w:t>按照采购文件要求递交履约保证金；</w:t>
      </w:r>
    </w:p>
    <w:p w14:paraId="137519C1">
      <w:pPr>
        <w:spacing w:line="400" w:lineRule="exact"/>
        <w:ind w:firstLine="420"/>
        <w:rPr>
          <w:rFonts w:ascii="宋体" w:hAnsi="宋体"/>
          <w:szCs w:val="21"/>
        </w:rPr>
      </w:pPr>
      <w:r>
        <w:rPr>
          <w:rFonts w:ascii="宋体" w:hAnsi="宋体"/>
        </w:rPr>
        <w:t>（</w:t>
      </w:r>
      <w:r>
        <w:t>4</w:t>
      </w:r>
      <w:r>
        <w:rPr>
          <w:rFonts w:ascii="宋体" w:hAnsi="宋体"/>
        </w:rPr>
        <w:t>）在合同约定的期限内完成合同规定的全部义务。</w:t>
      </w:r>
    </w:p>
    <w:p w14:paraId="595D2264">
      <w:pPr>
        <w:spacing w:line="400" w:lineRule="exact"/>
        <w:ind w:firstLine="420"/>
        <w:rPr>
          <w:rFonts w:ascii="宋体" w:hAnsi="宋体"/>
          <w:szCs w:val="21"/>
        </w:rPr>
      </w:pPr>
      <w:r>
        <w:rPr>
          <w:szCs w:val="21"/>
        </w:rPr>
        <w:t>6</w:t>
      </w:r>
      <w:r>
        <w:rPr>
          <w:rFonts w:ascii="宋体" w:hAnsi="宋体"/>
          <w:szCs w:val="21"/>
        </w:rPr>
        <w:t>.我方在此声明，所递交的响应文件及有关资料内容完整、真实和准确，</w:t>
      </w:r>
      <w:bookmarkStart w:id="604" w:name="_Hlk138879733"/>
      <w:r>
        <w:rPr>
          <w:rFonts w:ascii="宋体" w:hAnsi="宋体"/>
          <w:szCs w:val="21"/>
        </w:rPr>
        <w:t>满足第一章</w:t>
      </w:r>
      <w:bookmarkStart w:id="605" w:name="_Hlk138879617"/>
      <w:r>
        <w:rPr>
          <w:rFonts w:ascii="宋体" w:hAnsi="宋体"/>
          <w:szCs w:val="21"/>
        </w:rPr>
        <w:t>“</w:t>
      </w:r>
      <w:bookmarkEnd w:id="605"/>
      <w:r>
        <w:rPr>
          <w:rFonts w:ascii="宋体" w:hAnsi="宋体"/>
          <w:szCs w:val="21"/>
        </w:rPr>
        <w:t>框架协议采购公告”第</w:t>
      </w:r>
      <w:r>
        <w:rPr>
          <w:szCs w:val="21"/>
        </w:rPr>
        <w:t>3</w:t>
      </w:r>
      <w:r>
        <w:rPr>
          <w:rFonts w:ascii="宋体" w:hAnsi="宋体"/>
          <w:szCs w:val="21"/>
        </w:rPr>
        <w:t>.</w:t>
      </w:r>
      <w:r>
        <w:rPr>
          <w:szCs w:val="21"/>
        </w:rPr>
        <w:t>1</w:t>
      </w:r>
      <w:r>
        <w:rPr>
          <w:rFonts w:ascii="宋体" w:hAnsi="宋体"/>
          <w:szCs w:val="21"/>
        </w:rPr>
        <w:t>款规定的信誉要求且不存在该章第</w:t>
      </w:r>
      <w:r>
        <w:rPr>
          <w:szCs w:val="21"/>
        </w:rPr>
        <w:t>3</w:t>
      </w:r>
      <w:r>
        <w:rPr>
          <w:rFonts w:ascii="宋体" w:hAnsi="宋体"/>
          <w:szCs w:val="21"/>
        </w:rPr>
        <w:t>.</w:t>
      </w:r>
      <w:r>
        <w:rPr>
          <w:szCs w:val="21"/>
        </w:rPr>
        <w:t>2</w:t>
      </w:r>
      <w:r>
        <w:rPr>
          <w:rFonts w:ascii="宋体" w:hAnsi="宋体"/>
          <w:szCs w:val="21"/>
        </w:rPr>
        <w:t>款中规定的供应商不得存在的情形。</w:t>
      </w:r>
    </w:p>
    <w:bookmarkEnd w:id="604"/>
    <w:p w14:paraId="11EC5849">
      <w:pPr>
        <w:spacing w:line="400" w:lineRule="exact"/>
        <w:ind w:firstLine="420"/>
        <w:rPr>
          <w:rFonts w:ascii="宋体" w:hAnsi="宋体"/>
          <w:szCs w:val="21"/>
        </w:rPr>
      </w:pPr>
      <w:r>
        <w:rPr>
          <w:szCs w:val="21"/>
        </w:rPr>
        <w:t>7</w:t>
      </w:r>
      <w:r>
        <w:rPr>
          <w:rFonts w:ascii="宋体" w:hAnsi="宋体"/>
          <w:szCs w:val="21"/>
        </w:rPr>
        <w:t>.在合同正式签署生效之前，本承诺函连同你方的成交（入围）通知书将构成我们双方之间共同遵守的文件，对双方具有约束力。</w:t>
      </w:r>
    </w:p>
    <w:p w14:paraId="28E1DC16">
      <w:pPr>
        <w:spacing w:line="400" w:lineRule="exact"/>
        <w:ind w:firstLine="420"/>
        <w:rPr>
          <w:rFonts w:ascii="宋体" w:hAnsi="宋体"/>
          <w:szCs w:val="21"/>
        </w:rPr>
      </w:pPr>
      <w:r>
        <w:rPr>
          <w:rFonts w:hint="eastAsia"/>
          <w:szCs w:val="21"/>
        </w:rPr>
        <w:t>8</w:t>
      </w:r>
      <w:r>
        <w:rPr>
          <w:rFonts w:ascii="宋体" w:hAnsi="宋体"/>
          <w:szCs w:val="21"/>
        </w:rPr>
        <w:t>.</w:t>
      </w:r>
      <w:r>
        <w:rPr>
          <w:rFonts w:ascii="宋体" w:hAnsi="宋体"/>
          <w:szCs w:val="21"/>
          <w:u w:val="single"/>
        </w:rPr>
        <w:t xml:space="preserve">                </w:t>
      </w:r>
      <w:r>
        <w:rPr>
          <w:rFonts w:ascii="宋体" w:hAnsi="宋体"/>
          <w:szCs w:val="21"/>
        </w:rPr>
        <w:t>（其他补充说明）</w:t>
      </w:r>
    </w:p>
    <w:bookmarkEnd w:id="588"/>
    <w:bookmarkEnd w:id="589"/>
    <w:bookmarkEnd w:id="590"/>
    <w:bookmarkEnd w:id="591"/>
    <w:bookmarkEnd w:id="592"/>
    <w:bookmarkEnd w:id="593"/>
    <w:bookmarkEnd w:id="594"/>
    <w:bookmarkEnd w:id="595"/>
    <w:bookmarkEnd w:id="596"/>
    <w:bookmarkEnd w:id="597"/>
    <w:bookmarkEnd w:id="598"/>
    <w:p w14:paraId="41D5A3A4">
      <w:pPr>
        <w:jc w:val="left"/>
        <w:rPr>
          <w:rFonts w:ascii="宋体" w:hAnsi="宋体"/>
        </w:rPr>
      </w:pPr>
    </w:p>
    <w:p w14:paraId="29139309">
      <w:pPr>
        <w:rPr>
          <w:rFonts w:ascii="宋体" w:hAnsi="宋体"/>
          <w:b/>
          <w:szCs w:val="20"/>
        </w:rPr>
      </w:pPr>
      <w:bookmarkStart w:id="606" w:name="_Toc118805578"/>
      <w:bookmarkStart w:id="607" w:name="_Toc118806326"/>
      <w:bookmarkStart w:id="608" w:name="_Toc118805201"/>
      <w:bookmarkStart w:id="609" w:name="_Toc118805955"/>
      <w:bookmarkStart w:id="610" w:name="_Toc29227"/>
      <w:bookmarkStart w:id="611" w:name="_Toc18544"/>
      <w:bookmarkStart w:id="612" w:name="_Toc138604724"/>
      <w:r>
        <w:rPr>
          <w:rFonts w:ascii="宋体" w:hAnsi="宋体"/>
          <w:b/>
          <w:szCs w:val="20"/>
        </w:rPr>
        <w:br w:type="page"/>
      </w:r>
    </w:p>
    <w:p w14:paraId="7A7C99C5">
      <w:pPr>
        <w:keepNext/>
        <w:keepLines/>
        <w:spacing w:before="260" w:after="260" w:line="400" w:lineRule="exact"/>
        <w:jc w:val="center"/>
        <w:outlineLvl w:val="1"/>
        <w:rPr>
          <w:rFonts w:hint="default" w:ascii="宋体" w:hAnsi="宋体" w:eastAsia="宋体"/>
          <w:b/>
          <w:sz w:val="32"/>
          <w:szCs w:val="20"/>
          <w:highlight w:val="none"/>
          <w:lang w:val="en-US" w:eastAsia="zh-CN"/>
        </w:rPr>
      </w:pPr>
      <w:bookmarkStart w:id="613" w:name="_Toc149140302"/>
      <w:r>
        <w:rPr>
          <w:rFonts w:hint="eastAsia" w:ascii="宋体" w:hAnsi="宋体"/>
          <w:b/>
          <w:sz w:val="32"/>
          <w:szCs w:val="20"/>
          <w:highlight w:val="none"/>
        </w:rPr>
        <w:t>九</w:t>
      </w:r>
      <w:r>
        <w:rPr>
          <w:rFonts w:ascii="宋体" w:hAnsi="宋体"/>
          <w:b/>
          <w:sz w:val="32"/>
          <w:szCs w:val="20"/>
          <w:highlight w:val="none"/>
        </w:rPr>
        <w:t>、</w:t>
      </w:r>
      <w:bookmarkEnd w:id="606"/>
      <w:bookmarkEnd w:id="607"/>
      <w:bookmarkEnd w:id="608"/>
      <w:bookmarkEnd w:id="609"/>
      <w:bookmarkEnd w:id="610"/>
      <w:bookmarkEnd w:id="611"/>
      <w:bookmarkEnd w:id="612"/>
      <w:bookmarkEnd w:id="613"/>
      <w:r>
        <w:rPr>
          <w:rFonts w:hint="eastAsia" w:ascii="宋体" w:hAnsi="宋体"/>
          <w:b/>
          <w:sz w:val="32"/>
          <w:szCs w:val="20"/>
          <w:highlight w:val="none"/>
          <w:lang w:val="en-US" w:eastAsia="zh-CN"/>
        </w:rPr>
        <w:t>资金授信承诺书</w:t>
      </w:r>
    </w:p>
    <w:p w14:paraId="4E54B6B8">
      <w:pPr>
        <w:pStyle w:val="15"/>
        <w:spacing w:before="80" w:line="360" w:lineRule="auto"/>
        <w:rPr>
          <w:rFonts w:ascii="宋体" w:hAnsi="宋体" w:cs="宋体"/>
          <w:sz w:val="21"/>
          <w:szCs w:val="21"/>
          <w:highlight w:val="none"/>
        </w:rPr>
      </w:pPr>
      <w:r>
        <w:rPr>
          <w:rFonts w:hint="eastAsia" w:ascii="宋体" w:hAnsi="宋体" w:cs="宋体"/>
          <w:sz w:val="21"/>
          <w:szCs w:val="21"/>
          <w:highlight w:val="none"/>
        </w:rPr>
        <w:t>致：</w:t>
      </w:r>
      <w:r>
        <w:rPr>
          <w:rFonts w:hint="eastAsia" w:ascii="宋体" w:hAnsi="宋体" w:cs="宋体"/>
          <w:sz w:val="21"/>
          <w:szCs w:val="21"/>
          <w:highlight w:val="none"/>
          <w:u w:val="single"/>
        </w:rPr>
        <w:t>河北交投绿色建材有限公司</w:t>
      </w:r>
    </w:p>
    <w:p w14:paraId="5736126B">
      <w:pPr>
        <w:spacing w:before="71" w:line="360" w:lineRule="auto"/>
        <w:ind w:left="0" w:leftChars="0" w:firstLine="420" w:firstLineChars="200"/>
        <w:rPr>
          <w:rFonts w:ascii="宋体" w:hAnsi="宋体" w:cs="宋体"/>
          <w:sz w:val="21"/>
          <w:szCs w:val="21"/>
          <w:highlight w:val="none"/>
        </w:rPr>
      </w:pPr>
      <w:r>
        <w:rPr>
          <w:rFonts w:hint="eastAsia" w:ascii="宋体" w:hAnsi="宋体" w:cs="宋体"/>
          <w:sz w:val="21"/>
          <w:szCs w:val="21"/>
          <w:highlight w:val="none"/>
        </w:rPr>
        <w:t>我方参与了</w:t>
      </w:r>
      <w:r>
        <w:rPr>
          <w:rFonts w:hint="eastAsia" w:ascii="宋体" w:hAnsi="宋体"/>
          <w:szCs w:val="21"/>
          <w:u w:val="single"/>
          <w:lang w:eastAsia="zh-CN"/>
        </w:rPr>
        <w:t>河北交投绿色建材有限公司2026-2027年度经营生产用原材料供应商入库（补充入库）二次</w:t>
      </w:r>
      <w:r>
        <w:rPr>
          <w:rFonts w:hint="eastAsia" w:ascii="宋体" w:hAnsi="宋体" w:cs="宋体"/>
          <w:sz w:val="21"/>
          <w:szCs w:val="21"/>
          <w:highlight w:val="none"/>
        </w:rPr>
        <w:t>的</w:t>
      </w:r>
      <w:r>
        <w:rPr>
          <w:rFonts w:hint="eastAsia" w:ascii="宋体" w:hAnsi="宋体" w:cs="宋体"/>
          <w:sz w:val="21"/>
          <w:szCs w:val="21"/>
          <w:highlight w:val="none"/>
          <w:lang w:val="en-US" w:eastAsia="zh-CN"/>
        </w:rPr>
        <w:t>采购</w:t>
      </w:r>
      <w:r>
        <w:rPr>
          <w:rFonts w:hint="eastAsia" w:ascii="宋体" w:hAnsi="宋体" w:cs="宋体"/>
          <w:sz w:val="21"/>
          <w:szCs w:val="21"/>
          <w:highlight w:val="none"/>
        </w:rPr>
        <w:t>，并按照</w:t>
      </w:r>
      <w:r>
        <w:rPr>
          <w:rFonts w:hint="eastAsia" w:ascii="宋体" w:hAnsi="宋体" w:cs="宋体"/>
          <w:sz w:val="21"/>
          <w:szCs w:val="21"/>
          <w:highlight w:val="none"/>
          <w:lang w:eastAsia="zh-CN"/>
        </w:rPr>
        <w:t>采购</w:t>
      </w:r>
      <w:r>
        <w:rPr>
          <w:rFonts w:hint="eastAsia" w:ascii="宋体" w:hAnsi="宋体" w:cs="宋体"/>
          <w:sz w:val="21"/>
          <w:szCs w:val="21"/>
          <w:highlight w:val="none"/>
        </w:rPr>
        <w:t>文件的要求提交了</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文件，我方在此郑重承诺如下：</w:t>
      </w:r>
    </w:p>
    <w:p w14:paraId="001394F6">
      <w:pPr>
        <w:pStyle w:val="15"/>
        <w:tabs>
          <w:tab w:val="left" w:pos="5457"/>
        </w:tabs>
        <w:spacing w:line="360" w:lineRule="auto"/>
        <w:ind w:left="0" w:leftChars="0" w:right="314" w:firstLine="420" w:firstLineChars="0"/>
        <w:rPr>
          <w:rFonts w:ascii="宋体" w:hAnsi="宋体" w:cs="宋体"/>
          <w:sz w:val="21"/>
          <w:szCs w:val="21"/>
          <w:highlight w:val="none"/>
        </w:rPr>
      </w:pPr>
      <w:r>
        <w:rPr>
          <w:rFonts w:hint="eastAsia" w:ascii="宋体" w:hAnsi="宋体" w:cs="宋体"/>
          <w:sz w:val="21"/>
          <w:szCs w:val="21"/>
          <w:highlight w:val="none"/>
        </w:rPr>
        <w:t>一、我司承诺为</w:t>
      </w:r>
      <w:r>
        <w:rPr>
          <w:rFonts w:hint="eastAsia" w:cs="宋体"/>
          <w:sz w:val="21"/>
          <w:szCs w:val="21"/>
          <w:highlight w:val="none"/>
          <w:lang w:eastAsia="zh-CN"/>
        </w:rPr>
        <w:t>采购</w:t>
      </w:r>
      <w:r>
        <w:rPr>
          <w:rFonts w:hint="eastAsia" w:ascii="宋体" w:hAnsi="宋体" w:cs="宋体"/>
          <w:sz w:val="21"/>
          <w:szCs w:val="21"/>
          <w:highlight w:val="none"/>
        </w:rPr>
        <w:t>人提供一流的服务、产品质量、供货保障及付款、结算方式等优惠条款，在合同期限内无息给予</w:t>
      </w:r>
      <w:r>
        <w:rPr>
          <w:rFonts w:hint="eastAsia" w:cs="宋体"/>
          <w:sz w:val="21"/>
          <w:szCs w:val="21"/>
          <w:highlight w:val="none"/>
          <w:lang w:eastAsia="zh-CN"/>
        </w:rPr>
        <w:t>采购</w:t>
      </w:r>
      <w:r>
        <w:rPr>
          <w:rFonts w:hint="eastAsia" w:ascii="宋体" w:hAnsi="宋体" w:cs="宋体"/>
          <w:sz w:val="21"/>
          <w:szCs w:val="21"/>
          <w:highlight w:val="none"/>
        </w:rPr>
        <w:t>人资金授信金额人民</w:t>
      </w:r>
      <w:r>
        <w:rPr>
          <w:rFonts w:hint="eastAsia" w:ascii="宋体" w:hAnsi="宋体" w:cs="宋体"/>
          <w:spacing w:val="-15"/>
          <w:sz w:val="21"/>
          <w:szCs w:val="21"/>
          <w:highlight w:val="none"/>
        </w:rPr>
        <w:t>币</w:t>
      </w:r>
      <w:r>
        <w:rPr>
          <w:rFonts w:hint="eastAsia" w:ascii="宋体" w:hAnsi="宋体" w:cs="宋体"/>
          <w:sz w:val="21"/>
          <w:szCs w:val="21"/>
          <w:highlight w:val="none"/>
          <w:u w:val="single"/>
        </w:rPr>
        <w:t>【</w:t>
      </w:r>
      <w:r>
        <w:rPr>
          <w:rFonts w:hint="eastAsia" w:ascii="宋体" w:hAnsi="宋体" w:cs="宋体"/>
          <w:sz w:val="21"/>
          <w:szCs w:val="21"/>
          <w:highlight w:val="none"/>
          <w:u w:val="single"/>
        </w:rPr>
        <w:tab/>
      </w:r>
      <w:r>
        <w:rPr>
          <w:rFonts w:hint="eastAsia" w:ascii="宋体" w:hAnsi="宋体" w:cs="宋体"/>
          <w:spacing w:val="-15"/>
          <w:sz w:val="21"/>
          <w:szCs w:val="21"/>
          <w:highlight w:val="none"/>
          <w:u w:val="single"/>
        </w:rPr>
        <w:t>】</w:t>
      </w:r>
      <w:r>
        <w:rPr>
          <w:rFonts w:hint="eastAsia" w:ascii="宋体" w:hAnsi="宋体" w:cs="宋体"/>
          <w:sz w:val="21"/>
          <w:szCs w:val="21"/>
          <w:highlight w:val="none"/>
        </w:rPr>
        <w:t>万元</w:t>
      </w:r>
      <w:r>
        <w:rPr>
          <w:rFonts w:hint="eastAsia" w:ascii="宋体" w:hAnsi="宋体" w:cs="宋体"/>
          <w:spacing w:val="-15"/>
          <w:sz w:val="21"/>
          <w:szCs w:val="21"/>
          <w:highlight w:val="none"/>
        </w:rPr>
        <w:t>，</w:t>
      </w:r>
      <w:r>
        <w:rPr>
          <w:rFonts w:hint="eastAsia" w:ascii="宋体" w:hAnsi="宋体" w:cs="宋体"/>
          <w:sz w:val="21"/>
          <w:szCs w:val="21"/>
          <w:highlight w:val="none"/>
        </w:rPr>
        <w:t>在此资金授信金额内</w:t>
      </w:r>
      <w:r>
        <w:rPr>
          <w:rFonts w:hint="eastAsia" w:ascii="宋体" w:hAnsi="宋体" w:cs="宋体"/>
          <w:spacing w:val="-15"/>
          <w:sz w:val="21"/>
          <w:szCs w:val="21"/>
          <w:highlight w:val="none"/>
        </w:rPr>
        <w:t>，</w:t>
      </w:r>
      <w:r>
        <w:rPr>
          <w:rFonts w:hint="eastAsia" w:cs="宋体"/>
          <w:sz w:val="21"/>
          <w:szCs w:val="21"/>
          <w:highlight w:val="none"/>
          <w:lang w:eastAsia="zh-CN"/>
        </w:rPr>
        <w:t>采购</w:t>
      </w:r>
      <w:r>
        <w:rPr>
          <w:rFonts w:hint="eastAsia" w:ascii="宋体" w:hAnsi="宋体" w:cs="宋体"/>
          <w:sz w:val="21"/>
          <w:szCs w:val="21"/>
          <w:highlight w:val="none"/>
        </w:rPr>
        <w:t>人</w:t>
      </w:r>
      <w:r>
        <w:rPr>
          <w:rFonts w:hint="eastAsia" w:ascii="宋体" w:hAnsi="宋体" w:cs="宋体"/>
          <w:spacing w:val="-15"/>
          <w:sz w:val="21"/>
          <w:szCs w:val="21"/>
          <w:highlight w:val="none"/>
        </w:rPr>
        <w:t>可</w:t>
      </w:r>
      <w:r>
        <w:rPr>
          <w:rFonts w:hint="eastAsia" w:ascii="宋体" w:hAnsi="宋体" w:cs="宋体"/>
          <w:sz w:val="21"/>
          <w:szCs w:val="21"/>
          <w:highlight w:val="none"/>
        </w:rPr>
        <w:t>根据自身资金情况，酌情支付货款。</w:t>
      </w:r>
    </w:p>
    <w:p w14:paraId="61E11C88">
      <w:pPr>
        <w:pStyle w:val="15"/>
        <w:spacing w:line="360" w:lineRule="auto"/>
        <w:ind w:left="0" w:leftChars="0" w:right="105" w:firstLine="420" w:firstLineChars="0"/>
        <w:rPr>
          <w:rFonts w:ascii="宋体" w:hAnsi="宋体" w:cs="宋体"/>
          <w:sz w:val="21"/>
          <w:szCs w:val="21"/>
          <w:highlight w:val="none"/>
        </w:rPr>
      </w:pPr>
      <w:r>
        <w:rPr>
          <w:rFonts w:hint="eastAsia" w:ascii="宋体" w:hAnsi="宋体" w:cs="宋体"/>
          <w:sz w:val="21"/>
          <w:szCs w:val="21"/>
          <w:highlight w:val="none"/>
        </w:rPr>
        <w:t>二、</w:t>
      </w:r>
      <w:r>
        <w:rPr>
          <w:rFonts w:hint="eastAsia" w:cs="宋体"/>
          <w:sz w:val="21"/>
          <w:szCs w:val="21"/>
          <w:highlight w:val="none"/>
          <w:lang w:eastAsia="zh-CN"/>
        </w:rPr>
        <w:t>采购</w:t>
      </w:r>
      <w:r>
        <w:rPr>
          <w:rFonts w:hint="eastAsia" w:ascii="宋体" w:hAnsi="宋体" w:cs="宋体"/>
          <w:sz w:val="21"/>
          <w:szCs w:val="21"/>
          <w:highlight w:val="none"/>
        </w:rPr>
        <w:t>人有权根据自身生产经营情况，随时无条件调整本</w:t>
      </w:r>
      <w:r>
        <w:rPr>
          <w:rFonts w:hint="eastAsia" w:cs="宋体"/>
          <w:sz w:val="21"/>
          <w:szCs w:val="21"/>
          <w:highlight w:val="none"/>
          <w:lang w:eastAsia="zh-CN"/>
        </w:rPr>
        <w:t>采购</w:t>
      </w:r>
      <w:r>
        <w:rPr>
          <w:rFonts w:hint="eastAsia" w:ascii="宋体" w:hAnsi="宋体" w:cs="宋体"/>
          <w:sz w:val="21"/>
          <w:szCs w:val="21"/>
          <w:highlight w:val="none"/>
        </w:rPr>
        <w:t>文件中的</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暂估采购量，</w:t>
      </w:r>
      <w:r>
        <w:rPr>
          <w:rFonts w:hint="eastAsia" w:ascii="宋体" w:hAnsi="宋体" w:cs="宋体"/>
          <w:spacing w:val="-1"/>
          <w:sz w:val="21"/>
          <w:szCs w:val="21"/>
          <w:highlight w:val="none"/>
        </w:rPr>
        <w:t>以满足</w:t>
      </w:r>
      <w:r>
        <w:rPr>
          <w:rFonts w:hint="eastAsia" w:cs="宋体"/>
          <w:spacing w:val="-1"/>
          <w:sz w:val="21"/>
          <w:szCs w:val="21"/>
          <w:highlight w:val="none"/>
          <w:lang w:eastAsia="zh-CN"/>
        </w:rPr>
        <w:t>采购</w:t>
      </w:r>
      <w:r>
        <w:rPr>
          <w:rFonts w:hint="eastAsia" w:ascii="宋体" w:hAnsi="宋体" w:cs="宋体"/>
          <w:spacing w:val="-1"/>
          <w:sz w:val="21"/>
          <w:szCs w:val="21"/>
          <w:highlight w:val="none"/>
        </w:rPr>
        <w:t>人实际使用情况，我公司予以理解，不会以此作为向</w:t>
      </w:r>
      <w:r>
        <w:rPr>
          <w:rFonts w:hint="eastAsia" w:cs="宋体"/>
          <w:spacing w:val="-1"/>
          <w:sz w:val="21"/>
          <w:szCs w:val="21"/>
          <w:highlight w:val="none"/>
          <w:lang w:eastAsia="zh-CN"/>
        </w:rPr>
        <w:t>采购</w:t>
      </w:r>
      <w:r>
        <w:rPr>
          <w:rFonts w:hint="eastAsia" w:ascii="宋体" w:hAnsi="宋体" w:cs="宋体"/>
          <w:spacing w:val="-1"/>
          <w:sz w:val="21"/>
          <w:szCs w:val="21"/>
          <w:highlight w:val="none"/>
        </w:rPr>
        <w:t>人进行索赔或要求补偿的理由，</w:t>
      </w:r>
      <w:r>
        <w:rPr>
          <w:rFonts w:hint="eastAsia" w:ascii="宋体" w:hAnsi="宋体" w:cs="宋体"/>
          <w:sz w:val="21"/>
          <w:szCs w:val="21"/>
          <w:highlight w:val="none"/>
        </w:rPr>
        <w:t>我公司承诺按照</w:t>
      </w:r>
      <w:r>
        <w:rPr>
          <w:rFonts w:hint="eastAsia" w:cs="宋体"/>
          <w:sz w:val="21"/>
          <w:szCs w:val="21"/>
          <w:highlight w:val="none"/>
          <w:lang w:eastAsia="zh-CN"/>
        </w:rPr>
        <w:t>采购</w:t>
      </w:r>
      <w:r>
        <w:rPr>
          <w:rFonts w:hint="eastAsia" w:ascii="宋体" w:hAnsi="宋体" w:cs="宋体"/>
          <w:sz w:val="21"/>
          <w:szCs w:val="21"/>
          <w:highlight w:val="none"/>
        </w:rPr>
        <w:t>人实际采购需求，满足</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交货期和质量要求。</w:t>
      </w:r>
    </w:p>
    <w:p w14:paraId="486EA1EE">
      <w:pPr>
        <w:pStyle w:val="15"/>
        <w:spacing w:line="360" w:lineRule="auto"/>
        <w:ind w:left="0" w:leftChars="0" w:right="315" w:firstLine="420" w:firstLineChars="0"/>
        <w:rPr>
          <w:rFonts w:ascii="宋体" w:hAnsi="宋体" w:cs="宋体"/>
          <w:sz w:val="21"/>
          <w:szCs w:val="21"/>
          <w:highlight w:val="none"/>
        </w:rPr>
      </w:pPr>
      <w:r>
        <w:rPr>
          <w:rFonts w:hint="eastAsia" w:ascii="宋体" w:hAnsi="宋体" w:cs="宋体"/>
          <w:sz w:val="21"/>
          <w:szCs w:val="21"/>
          <w:highlight w:val="none"/>
        </w:rPr>
        <w:t>三、我司在</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之前，对本</w:t>
      </w:r>
      <w:r>
        <w:rPr>
          <w:rFonts w:hint="eastAsia" w:cs="宋体"/>
          <w:sz w:val="21"/>
          <w:szCs w:val="21"/>
          <w:highlight w:val="none"/>
          <w:lang w:eastAsia="zh-CN"/>
        </w:rPr>
        <w:t>采购</w:t>
      </w:r>
      <w:r>
        <w:rPr>
          <w:rFonts w:hint="eastAsia" w:ascii="宋体" w:hAnsi="宋体" w:cs="宋体"/>
          <w:sz w:val="21"/>
          <w:szCs w:val="21"/>
          <w:highlight w:val="none"/>
        </w:rPr>
        <w:t>项目的一切情况如</w:t>
      </w:r>
      <w:r>
        <w:rPr>
          <w:rFonts w:hint="eastAsia" w:cs="宋体"/>
          <w:sz w:val="21"/>
          <w:szCs w:val="21"/>
          <w:highlight w:val="none"/>
          <w:lang w:eastAsia="zh-CN"/>
        </w:rPr>
        <w:t>采购</w:t>
      </w:r>
      <w:r>
        <w:rPr>
          <w:rFonts w:hint="eastAsia" w:ascii="宋体" w:hAnsi="宋体" w:cs="宋体"/>
          <w:sz w:val="21"/>
          <w:szCs w:val="21"/>
          <w:highlight w:val="none"/>
        </w:rPr>
        <w:t>内容、</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的质量标准、付款条件及资金授信要求等，均已详细研究、全面了解；保证</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文件正确无误，如有错误由我司自身负责。</w:t>
      </w:r>
    </w:p>
    <w:p w14:paraId="0659FBE4">
      <w:pPr>
        <w:pStyle w:val="15"/>
        <w:spacing w:line="360" w:lineRule="auto"/>
        <w:ind w:left="0" w:leftChars="0" w:right="315" w:firstLine="420" w:firstLineChars="0"/>
        <w:rPr>
          <w:rFonts w:ascii="宋体" w:hAnsi="宋体" w:cs="宋体"/>
          <w:sz w:val="21"/>
          <w:szCs w:val="21"/>
          <w:highlight w:val="none"/>
        </w:rPr>
      </w:pPr>
      <w:r>
        <w:rPr>
          <w:rFonts w:hint="eastAsia" w:ascii="宋体" w:hAnsi="宋体" w:cs="宋体"/>
          <w:sz w:val="21"/>
          <w:szCs w:val="21"/>
          <w:highlight w:val="none"/>
        </w:rPr>
        <w:t>四、一旦</w:t>
      </w:r>
      <w:r>
        <w:rPr>
          <w:rFonts w:hint="eastAsia" w:ascii="宋体" w:hAnsi="宋体" w:cs="宋体"/>
          <w:sz w:val="21"/>
          <w:szCs w:val="21"/>
          <w:highlight w:val="none"/>
          <w:lang w:val="en-US" w:eastAsia="zh-CN"/>
        </w:rPr>
        <w:t>入围</w:t>
      </w:r>
      <w:r>
        <w:rPr>
          <w:rFonts w:hint="eastAsia" w:ascii="宋体" w:hAnsi="宋体" w:cs="宋体"/>
          <w:sz w:val="21"/>
          <w:szCs w:val="21"/>
          <w:highlight w:val="none"/>
        </w:rPr>
        <w:t>我公司会按承诺及</w:t>
      </w:r>
      <w:r>
        <w:rPr>
          <w:rFonts w:hint="eastAsia" w:cs="宋体"/>
          <w:sz w:val="21"/>
          <w:szCs w:val="21"/>
          <w:highlight w:val="none"/>
          <w:lang w:eastAsia="zh-CN"/>
        </w:rPr>
        <w:t>采购</w:t>
      </w:r>
      <w:r>
        <w:rPr>
          <w:rFonts w:hint="eastAsia" w:ascii="宋体" w:hAnsi="宋体" w:cs="宋体"/>
          <w:sz w:val="21"/>
          <w:szCs w:val="21"/>
          <w:highlight w:val="none"/>
        </w:rPr>
        <w:t>人及</w:t>
      </w:r>
      <w:r>
        <w:rPr>
          <w:rFonts w:hint="eastAsia" w:cs="宋体"/>
          <w:sz w:val="21"/>
          <w:szCs w:val="21"/>
          <w:highlight w:val="none"/>
          <w:lang w:eastAsia="zh-CN"/>
        </w:rPr>
        <w:t>采购</w:t>
      </w:r>
      <w:r>
        <w:rPr>
          <w:rFonts w:hint="eastAsia" w:ascii="宋体" w:hAnsi="宋体" w:cs="宋体"/>
          <w:sz w:val="21"/>
          <w:szCs w:val="21"/>
          <w:highlight w:val="none"/>
        </w:rPr>
        <w:t>人的要求和合同范本的主要原则签署合同，并按合同的规定履行各项职责，承担各种违约责任。</w:t>
      </w:r>
    </w:p>
    <w:p w14:paraId="0FEEEA17">
      <w:pPr>
        <w:pStyle w:val="15"/>
        <w:spacing w:before="1" w:line="360" w:lineRule="auto"/>
        <w:ind w:left="0" w:leftChars="0" w:right="315" w:firstLine="404" w:firstLineChars="0"/>
        <w:rPr>
          <w:rFonts w:ascii="宋体" w:hAnsi="宋体" w:cs="宋体"/>
          <w:sz w:val="21"/>
          <w:szCs w:val="21"/>
          <w:highlight w:val="none"/>
        </w:rPr>
      </w:pPr>
      <w:r>
        <w:rPr>
          <w:rFonts w:hint="eastAsia" w:ascii="宋体" w:hAnsi="宋体" w:cs="宋体"/>
          <w:sz w:val="21"/>
          <w:szCs w:val="21"/>
          <w:highlight w:val="none"/>
        </w:rPr>
        <w:t>五、若我司未能兑现相关承诺，我司自愿承担因此产生的一切后果，</w:t>
      </w:r>
      <w:r>
        <w:rPr>
          <w:rFonts w:hint="eastAsia" w:cs="宋体"/>
          <w:sz w:val="21"/>
          <w:szCs w:val="21"/>
          <w:highlight w:val="none"/>
          <w:lang w:eastAsia="zh-CN"/>
        </w:rPr>
        <w:t>采购</w:t>
      </w:r>
      <w:r>
        <w:rPr>
          <w:rFonts w:hint="eastAsia" w:ascii="宋体" w:hAnsi="宋体" w:cs="宋体"/>
          <w:sz w:val="21"/>
          <w:szCs w:val="21"/>
          <w:highlight w:val="none"/>
        </w:rPr>
        <w:t>人有权直接取消我司作为合格供方的资格，并将我司列入</w:t>
      </w: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失信黑名单，</w:t>
      </w:r>
      <w:r>
        <w:rPr>
          <w:rFonts w:hint="eastAsia" w:ascii="宋体" w:hAnsi="宋体" w:cs="宋体"/>
          <w:b w:val="0"/>
          <w:bCs/>
          <w:sz w:val="21"/>
          <w:szCs w:val="21"/>
          <w:highlight w:val="none"/>
        </w:rPr>
        <w:t>3</w:t>
      </w:r>
      <w:r>
        <w:rPr>
          <w:rFonts w:hint="eastAsia" w:ascii="宋体" w:hAnsi="宋体" w:cs="宋体"/>
          <w:sz w:val="21"/>
          <w:szCs w:val="21"/>
          <w:highlight w:val="none"/>
        </w:rPr>
        <w:t>年内不得参与</w:t>
      </w:r>
      <w:r>
        <w:rPr>
          <w:rFonts w:hint="eastAsia" w:cs="宋体"/>
          <w:sz w:val="21"/>
          <w:szCs w:val="21"/>
          <w:highlight w:val="none"/>
          <w:lang w:eastAsia="zh-CN"/>
        </w:rPr>
        <w:t>采购</w:t>
      </w:r>
      <w:r>
        <w:rPr>
          <w:rFonts w:hint="eastAsia" w:ascii="宋体" w:hAnsi="宋体" w:cs="宋体"/>
          <w:sz w:val="21"/>
          <w:szCs w:val="21"/>
          <w:highlight w:val="none"/>
        </w:rPr>
        <w:t>人举行的任何</w:t>
      </w:r>
      <w:r>
        <w:rPr>
          <w:rFonts w:hint="eastAsia" w:ascii="宋体" w:hAnsi="宋体" w:cs="宋体"/>
          <w:sz w:val="21"/>
          <w:szCs w:val="21"/>
          <w:highlight w:val="none"/>
          <w:lang w:val="en-US" w:eastAsia="zh-CN"/>
        </w:rPr>
        <w:t>招标</w:t>
      </w:r>
      <w:r>
        <w:rPr>
          <w:rFonts w:hint="eastAsia" w:ascii="宋体" w:hAnsi="宋体" w:cs="宋体"/>
          <w:b/>
          <w:sz w:val="21"/>
          <w:szCs w:val="21"/>
          <w:highlight w:val="none"/>
        </w:rPr>
        <w:t>/</w:t>
      </w:r>
      <w:r>
        <w:rPr>
          <w:rFonts w:hint="eastAsia" w:cs="宋体"/>
          <w:sz w:val="21"/>
          <w:szCs w:val="21"/>
          <w:highlight w:val="none"/>
          <w:lang w:eastAsia="zh-CN"/>
        </w:rPr>
        <w:t>采购</w:t>
      </w:r>
      <w:r>
        <w:rPr>
          <w:rFonts w:hint="eastAsia" w:ascii="宋体" w:hAnsi="宋体" w:cs="宋体"/>
          <w:sz w:val="21"/>
          <w:szCs w:val="21"/>
          <w:highlight w:val="none"/>
        </w:rPr>
        <w:t>活动。同时，</w:t>
      </w:r>
      <w:r>
        <w:rPr>
          <w:rFonts w:hint="eastAsia" w:cs="宋体"/>
          <w:sz w:val="21"/>
          <w:szCs w:val="21"/>
          <w:highlight w:val="none"/>
          <w:lang w:eastAsia="zh-CN"/>
        </w:rPr>
        <w:t>采购</w:t>
      </w:r>
      <w:r>
        <w:rPr>
          <w:rFonts w:hint="eastAsia" w:ascii="宋体" w:hAnsi="宋体" w:cs="宋体"/>
          <w:sz w:val="21"/>
          <w:szCs w:val="21"/>
          <w:highlight w:val="none"/>
        </w:rPr>
        <w:t>人保留追究法律责任的权利。</w:t>
      </w:r>
    </w:p>
    <w:p w14:paraId="41C219DF">
      <w:pPr>
        <w:ind w:left="0" w:leftChars="0" w:firstLine="420" w:firstLineChars="0"/>
        <w:jc w:val="left"/>
        <w:rPr>
          <w:rFonts w:ascii="宋体" w:hAnsi="宋体" w:cs="宋体"/>
          <w:b/>
          <w:sz w:val="21"/>
          <w:szCs w:val="21"/>
          <w:highlight w:val="none"/>
        </w:rPr>
      </w:pPr>
      <w:r>
        <w:rPr>
          <w:rFonts w:hint="eastAsia" w:ascii="宋体" w:hAnsi="宋体" w:cs="宋体"/>
          <w:b/>
          <w:sz w:val="21"/>
          <w:szCs w:val="21"/>
          <w:highlight w:val="none"/>
        </w:rPr>
        <w:t>备注：</w:t>
      </w:r>
    </w:p>
    <w:p w14:paraId="6143EAB6">
      <w:pPr>
        <w:ind w:left="0" w:leftChars="0" w:firstLine="420" w:firstLineChars="0"/>
        <w:jc w:val="left"/>
        <w:rPr>
          <w:rFonts w:hint="eastAsia" w:ascii="宋体" w:hAnsi="宋体" w:eastAsia="宋体" w:cs="宋体"/>
          <w:b/>
          <w:bCs/>
          <w:kern w:val="0"/>
          <w:sz w:val="21"/>
          <w:szCs w:val="21"/>
          <w:highlight w:val="none"/>
          <w:lang w:val="en-US" w:eastAsia="en-US" w:bidi="ar-SA"/>
        </w:rPr>
      </w:pPr>
      <w:r>
        <w:rPr>
          <w:rFonts w:hint="eastAsia" w:ascii="宋体" w:hAnsi="宋体" w:eastAsia="宋体" w:cs="宋体"/>
          <w:b/>
          <w:bCs/>
          <w:kern w:val="0"/>
          <w:sz w:val="21"/>
          <w:szCs w:val="21"/>
          <w:highlight w:val="none"/>
          <w:lang w:val="en-US" w:eastAsia="en-US" w:bidi="ar-SA"/>
        </w:rPr>
        <w:t>（1）本承诺书自行承诺部分作为评标的重要必要依据，承诺一经做出不得改变，如果改变则视为</w:t>
      </w:r>
      <w:r>
        <w:rPr>
          <w:rFonts w:hint="eastAsia" w:ascii="宋体" w:hAnsi="宋体" w:eastAsia="宋体" w:cs="宋体"/>
          <w:b/>
          <w:bCs/>
          <w:kern w:val="0"/>
          <w:sz w:val="21"/>
          <w:szCs w:val="21"/>
          <w:highlight w:val="none"/>
          <w:lang w:val="en-US" w:eastAsia="zh-CN" w:bidi="ar-SA"/>
        </w:rPr>
        <w:t>响应</w:t>
      </w:r>
      <w:r>
        <w:rPr>
          <w:rFonts w:hint="eastAsia" w:ascii="宋体" w:hAnsi="宋体" w:eastAsia="宋体" w:cs="宋体"/>
          <w:b/>
          <w:bCs/>
          <w:kern w:val="0"/>
          <w:sz w:val="21"/>
          <w:szCs w:val="21"/>
          <w:highlight w:val="none"/>
          <w:lang w:val="en-US" w:eastAsia="en-US" w:bidi="ar-SA"/>
        </w:rPr>
        <w:t>无效。</w:t>
      </w:r>
      <w:r>
        <w:rPr>
          <w:rFonts w:hint="eastAsia" w:ascii="宋体" w:hAnsi="宋体" w:eastAsia="宋体" w:cs="宋体"/>
          <w:b/>
          <w:bCs/>
          <w:kern w:val="0"/>
          <w:sz w:val="21"/>
          <w:szCs w:val="21"/>
          <w:highlight w:val="none"/>
          <w:lang w:val="en-US" w:eastAsia="zh-CN" w:bidi="ar-SA"/>
        </w:rPr>
        <w:t>采购</w:t>
      </w:r>
      <w:r>
        <w:rPr>
          <w:rFonts w:hint="eastAsia" w:ascii="宋体" w:hAnsi="宋体" w:eastAsia="宋体" w:cs="宋体"/>
          <w:b/>
          <w:bCs/>
          <w:kern w:val="0"/>
          <w:sz w:val="21"/>
          <w:szCs w:val="21"/>
          <w:highlight w:val="none"/>
          <w:lang w:val="en-US" w:eastAsia="en-US" w:bidi="ar-SA"/>
        </w:rPr>
        <w:t>人要求承诺部分作为</w:t>
      </w:r>
      <w:r>
        <w:rPr>
          <w:rFonts w:hint="eastAsia" w:ascii="宋体" w:hAnsi="宋体" w:eastAsia="宋体" w:cs="宋体"/>
          <w:b/>
          <w:bCs/>
          <w:kern w:val="0"/>
          <w:sz w:val="21"/>
          <w:szCs w:val="21"/>
          <w:highlight w:val="none"/>
          <w:lang w:val="en-US" w:eastAsia="zh-CN" w:bidi="ar-SA"/>
        </w:rPr>
        <w:t>响应</w:t>
      </w:r>
      <w:r>
        <w:rPr>
          <w:rFonts w:hint="eastAsia" w:ascii="宋体" w:hAnsi="宋体" w:eastAsia="宋体" w:cs="宋体"/>
          <w:b/>
          <w:bCs/>
          <w:kern w:val="0"/>
          <w:sz w:val="21"/>
          <w:szCs w:val="21"/>
          <w:highlight w:val="none"/>
          <w:lang w:val="en-US" w:eastAsia="en-US" w:bidi="ar-SA"/>
        </w:rPr>
        <w:t>和</w:t>
      </w:r>
      <w:r>
        <w:rPr>
          <w:rFonts w:hint="eastAsia" w:ascii="宋体" w:hAnsi="宋体" w:eastAsia="宋体" w:cs="宋体"/>
          <w:b/>
          <w:bCs/>
          <w:kern w:val="0"/>
          <w:sz w:val="21"/>
          <w:szCs w:val="21"/>
          <w:highlight w:val="none"/>
          <w:lang w:val="en-US" w:eastAsia="zh-CN" w:bidi="ar-SA"/>
        </w:rPr>
        <w:t>入围</w:t>
      </w:r>
      <w:r>
        <w:rPr>
          <w:rFonts w:hint="eastAsia" w:ascii="宋体" w:hAnsi="宋体" w:eastAsia="宋体" w:cs="宋体"/>
          <w:b/>
          <w:bCs/>
          <w:kern w:val="0"/>
          <w:sz w:val="21"/>
          <w:szCs w:val="21"/>
          <w:highlight w:val="none"/>
          <w:lang w:val="en-US" w:eastAsia="en-US" w:bidi="ar-SA"/>
        </w:rPr>
        <w:t>的先决条件。</w:t>
      </w:r>
    </w:p>
    <w:p w14:paraId="7B4542A9">
      <w:pPr>
        <w:spacing w:before="72"/>
        <w:ind w:left="0" w:leftChars="0" w:firstLine="420" w:firstLineChars="0"/>
        <w:jc w:val="left"/>
        <w:rPr>
          <w:rFonts w:hint="eastAsia" w:ascii="宋体" w:hAnsi="宋体" w:eastAsia="宋体" w:cs="宋体"/>
          <w:b/>
          <w:bCs/>
          <w:kern w:val="0"/>
          <w:sz w:val="21"/>
          <w:szCs w:val="21"/>
          <w:highlight w:val="none"/>
          <w:lang w:val="en-US" w:eastAsia="en-US" w:bidi="ar-SA"/>
        </w:rPr>
      </w:pPr>
      <w:r>
        <w:rPr>
          <w:rFonts w:hint="eastAsia" w:ascii="宋体" w:hAnsi="宋体" w:eastAsia="宋体" w:cs="宋体"/>
          <w:b/>
          <w:bCs/>
          <w:kern w:val="0"/>
          <w:sz w:val="21"/>
          <w:szCs w:val="21"/>
          <w:highlight w:val="none"/>
          <w:lang w:val="en-US" w:eastAsia="en-US" w:bidi="ar-SA"/>
        </w:rPr>
        <w:t>（2）我公司在本承诺书后附资金授信能力证明等支撑材料，并对材料的真实性负责。</w:t>
      </w:r>
    </w:p>
    <w:p w14:paraId="4958BE38">
      <w:pPr>
        <w:pStyle w:val="15"/>
        <w:ind w:firstLine="2940" w:firstLineChars="1400"/>
        <w:rPr>
          <w:rFonts w:hint="eastAsia" w:ascii="宋体" w:hAnsi="宋体" w:cs="宋体"/>
          <w:sz w:val="21"/>
          <w:szCs w:val="21"/>
          <w:highlight w:val="none"/>
        </w:rPr>
      </w:pPr>
    </w:p>
    <w:p w14:paraId="199DAF02">
      <w:pPr>
        <w:pStyle w:val="15"/>
        <w:ind w:firstLine="2940" w:firstLineChars="1400"/>
        <w:rPr>
          <w:rFonts w:hint="eastAsia" w:ascii="宋体" w:hAnsi="宋体" w:cs="宋体"/>
          <w:sz w:val="21"/>
          <w:szCs w:val="21"/>
          <w:highlight w:val="none"/>
        </w:rPr>
      </w:pPr>
    </w:p>
    <w:p w14:paraId="07A19B12">
      <w:pPr>
        <w:pStyle w:val="15"/>
        <w:ind w:firstLine="2940" w:firstLineChars="1400"/>
        <w:rPr>
          <w:rFonts w:hint="eastAsia" w:ascii="宋体" w:hAnsi="宋体" w:cs="宋体"/>
          <w:sz w:val="21"/>
          <w:szCs w:val="21"/>
          <w:highlight w:val="none"/>
        </w:rPr>
      </w:pPr>
    </w:p>
    <w:p w14:paraId="44A82363">
      <w:pPr>
        <w:pStyle w:val="15"/>
        <w:ind w:firstLine="2940" w:firstLineChars="1400"/>
        <w:jc w:val="center"/>
        <w:rPr>
          <w:rFonts w:hint="eastAsia" w:ascii="宋体" w:hAnsi="宋体" w:cs="宋体"/>
          <w:sz w:val="21"/>
          <w:szCs w:val="21"/>
          <w:highlight w:val="none"/>
        </w:rPr>
      </w:pPr>
      <w:r>
        <w:rPr>
          <w:rFonts w:hint="eastAsia" w:cs="宋体"/>
          <w:sz w:val="21"/>
          <w:szCs w:val="21"/>
          <w:highlight w:val="none"/>
          <w:lang w:val="en-US" w:eastAsia="zh-CN"/>
        </w:rPr>
        <w:t xml:space="preserve">               供应商</w:t>
      </w:r>
      <w:r>
        <w:rPr>
          <w:rFonts w:hint="eastAsia" w:ascii="宋体" w:hAnsi="宋体" w:cs="宋体"/>
          <w:sz w:val="21"/>
          <w:szCs w:val="21"/>
          <w:highlight w:val="none"/>
        </w:rPr>
        <w:t>：</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（盖单位章）</w:t>
      </w:r>
    </w:p>
    <w:p w14:paraId="2290180F">
      <w:pPr>
        <w:pStyle w:val="49"/>
        <w:jc w:val="right"/>
        <w:rPr>
          <w:sz w:val="21"/>
          <w:szCs w:val="21"/>
          <w:highlight w:val="none"/>
        </w:rPr>
      </w:pPr>
    </w:p>
    <w:p w14:paraId="3DAA5661">
      <w:pPr>
        <w:pStyle w:val="15"/>
        <w:tabs>
          <w:tab w:val="left" w:pos="4946"/>
          <w:tab w:val="left" w:pos="5471"/>
          <w:tab w:val="left" w:pos="6101"/>
        </w:tabs>
        <w:ind w:right="60" w:rightChars="0" w:firstLine="4620" w:firstLineChars="2200"/>
        <w:jc w:val="both"/>
        <w:rPr>
          <w:spacing w:val="-18"/>
          <w:sz w:val="21"/>
          <w:szCs w:val="21"/>
          <w:highlight w:val="none"/>
        </w:rPr>
      </w:pPr>
      <w:r>
        <w:rPr>
          <w:rFonts w:hint="eastAsia" w:ascii="宋体" w:hAnsi="宋体" w:cs="宋体"/>
          <w:sz w:val="21"/>
          <w:szCs w:val="21"/>
          <w:highlight w:val="none"/>
        </w:rPr>
        <w:t>法定代表人或其授权人：</w:t>
      </w:r>
      <w:r>
        <w:rPr>
          <w:rFonts w:hint="eastAsia" w:ascii="宋体" w:hAnsi="宋体" w:cs="宋体"/>
          <w:sz w:val="21"/>
          <w:szCs w:val="21"/>
          <w:highlight w:val="none"/>
          <w:u w:val="single"/>
          <w:lang w:val="en-US" w:eastAsia="zh-CN"/>
        </w:rPr>
        <w:t xml:space="preserve">     </w:t>
      </w:r>
      <w:r>
        <w:rPr>
          <w:sz w:val="21"/>
          <w:szCs w:val="21"/>
          <w:highlight w:val="none"/>
        </w:rPr>
        <w:t>（签字</w:t>
      </w:r>
      <w:r>
        <w:rPr>
          <w:spacing w:val="-18"/>
          <w:sz w:val="21"/>
          <w:szCs w:val="21"/>
          <w:highlight w:val="none"/>
        </w:rPr>
        <w:t>）</w:t>
      </w:r>
    </w:p>
    <w:p w14:paraId="3928A965">
      <w:pPr>
        <w:pStyle w:val="49"/>
        <w:jc w:val="right"/>
        <w:rPr>
          <w:sz w:val="21"/>
          <w:szCs w:val="21"/>
          <w:highlight w:val="none"/>
        </w:rPr>
      </w:pPr>
    </w:p>
    <w:p w14:paraId="46D80FEF">
      <w:pPr>
        <w:pStyle w:val="15"/>
        <w:tabs>
          <w:tab w:val="left" w:pos="4946"/>
          <w:tab w:val="left" w:pos="5471"/>
          <w:tab w:val="left" w:pos="6101"/>
        </w:tabs>
        <w:ind w:right="60" w:rightChars="0" w:firstLine="4620" w:firstLineChars="2200"/>
        <w:jc w:val="both"/>
        <w:rPr>
          <w:sz w:val="21"/>
          <w:szCs w:val="21"/>
          <w:highlight w:val="none"/>
        </w:rPr>
      </w:pPr>
      <w:r>
        <w:rPr>
          <w:sz w:val="21"/>
          <w:szCs w:val="21"/>
          <w:highlight w:val="none"/>
        </w:rPr>
        <w:t>日期：</w:t>
      </w:r>
      <w:r>
        <w:rPr>
          <w:rFonts w:hint="eastAsia"/>
          <w:sz w:val="21"/>
          <w:szCs w:val="21"/>
          <w:highlight w:val="none"/>
          <w:lang w:val="en-US" w:eastAsia="zh-CN"/>
        </w:rPr>
        <w:t xml:space="preserve">   </w:t>
      </w:r>
      <w:r>
        <w:rPr>
          <w:sz w:val="21"/>
          <w:szCs w:val="21"/>
          <w:highlight w:val="none"/>
        </w:rPr>
        <w:t>年</w:t>
      </w:r>
      <w:r>
        <w:rPr>
          <w:rFonts w:hint="eastAsia"/>
          <w:sz w:val="21"/>
          <w:szCs w:val="21"/>
          <w:highlight w:val="none"/>
          <w:lang w:val="en-US" w:eastAsia="zh-CN"/>
        </w:rPr>
        <w:t xml:space="preserve">   </w:t>
      </w:r>
      <w:r>
        <w:rPr>
          <w:sz w:val="21"/>
          <w:szCs w:val="21"/>
          <w:highlight w:val="none"/>
        </w:rPr>
        <w:t>月</w:t>
      </w:r>
      <w:r>
        <w:rPr>
          <w:rFonts w:hint="eastAsia"/>
          <w:sz w:val="21"/>
          <w:szCs w:val="21"/>
          <w:highlight w:val="none"/>
          <w:lang w:val="en-US" w:eastAsia="zh-CN"/>
        </w:rPr>
        <w:t xml:space="preserve">    </w:t>
      </w:r>
      <w:r>
        <w:rPr>
          <w:sz w:val="21"/>
          <w:szCs w:val="21"/>
          <w:highlight w:val="none"/>
        </w:rPr>
        <w:t>日</w:t>
      </w:r>
    </w:p>
    <w:p w14:paraId="27023B59">
      <w:pPr>
        <w:pStyle w:val="49"/>
        <w:rPr>
          <w:sz w:val="21"/>
          <w:szCs w:val="21"/>
          <w:highlight w:val="none"/>
        </w:rPr>
      </w:pPr>
    </w:p>
    <w:p w14:paraId="0376C3E8">
      <w:pPr>
        <w:pStyle w:val="49"/>
        <w:rPr>
          <w:sz w:val="21"/>
          <w:szCs w:val="21"/>
          <w:highlight w:val="none"/>
        </w:rPr>
      </w:pPr>
    </w:p>
    <w:p w14:paraId="58EEE68F">
      <w:pPr>
        <w:pStyle w:val="49"/>
        <w:rPr>
          <w:sz w:val="21"/>
          <w:szCs w:val="21"/>
          <w:highlight w:val="none"/>
        </w:rPr>
      </w:pPr>
    </w:p>
    <w:p w14:paraId="65BA1184">
      <w:pPr>
        <w:pStyle w:val="49"/>
        <w:rPr>
          <w:sz w:val="21"/>
          <w:szCs w:val="21"/>
          <w:highlight w:val="none"/>
        </w:rPr>
      </w:pPr>
    </w:p>
    <w:p w14:paraId="73B04943">
      <w:pPr>
        <w:keepNext/>
        <w:keepLines/>
        <w:spacing w:before="260" w:after="260" w:line="400" w:lineRule="exact"/>
        <w:jc w:val="center"/>
        <w:outlineLvl w:val="1"/>
        <w:rPr>
          <w:rFonts w:hint="default" w:ascii="宋体" w:hAnsi="宋体" w:eastAsia="宋体"/>
          <w:b/>
          <w:sz w:val="32"/>
          <w:szCs w:val="20"/>
          <w:lang w:val="en-US" w:eastAsia="zh-CN"/>
        </w:rPr>
      </w:pPr>
      <w:r>
        <w:rPr>
          <w:rFonts w:hint="eastAsia" w:ascii="宋体" w:hAnsi="宋体"/>
          <w:b/>
          <w:sz w:val="32"/>
          <w:szCs w:val="20"/>
          <w:lang w:val="en-US" w:eastAsia="zh-CN"/>
        </w:rPr>
        <w:t>十</w:t>
      </w:r>
      <w:r>
        <w:rPr>
          <w:rFonts w:ascii="宋体" w:hAnsi="宋体"/>
          <w:b/>
          <w:sz w:val="32"/>
          <w:szCs w:val="20"/>
        </w:rPr>
        <w:t>、</w:t>
      </w:r>
      <w:r>
        <w:rPr>
          <w:rFonts w:hint="eastAsia" w:ascii="宋体" w:hAnsi="宋体"/>
          <w:b/>
          <w:sz w:val="32"/>
          <w:szCs w:val="20"/>
          <w:lang w:val="en-US" w:eastAsia="zh-CN"/>
        </w:rPr>
        <w:t>质量承诺书</w:t>
      </w:r>
    </w:p>
    <w:p w14:paraId="64C15277">
      <w:pPr>
        <w:pStyle w:val="20"/>
        <w:rPr>
          <w:rFonts w:hint="eastAsia"/>
          <w:sz w:val="21"/>
          <w:szCs w:val="21"/>
        </w:rPr>
      </w:pPr>
    </w:p>
    <w:p w14:paraId="4B226048">
      <w:pPr>
        <w:pStyle w:val="15"/>
        <w:tabs>
          <w:tab w:val="left" w:pos="5457"/>
        </w:tabs>
        <w:spacing w:line="360" w:lineRule="auto"/>
        <w:ind w:right="314"/>
        <w:rPr>
          <w:rFonts w:hint="eastAsia" w:ascii="宋体" w:hAnsi="宋体" w:eastAsia="宋体" w:cs="宋体"/>
          <w:sz w:val="21"/>
          <w:szCs w:val="21"/>
        </w:rPr>
      </w:pPr>
      <w:r>
        <w:rPr>
          <w:rFonts w:hint="eastAsia" w:ascii="宋体" w:hAnsi="宋体" w:eastAsia="宋体" w:cs="宋体"/>
          <w:sz w:val="21"/>
          <w:szCs w:val="21"/>
        </w:rPr>
        <w:t>河北交投绿色建材有限公司：</w:t>
      </w:r>
    </w:p>
    <w:p w14:paraId="578B1397">
      <w:pPr>
        <w:pStyle w:val="15"/>
        <w:tabs>
          <w:tab w:val="left" w:pos="5457"/>
        </w:tabs>
        <w:spacing w:line="360" w:lineRule="auto"/>
        <w:ind w:left="0" w:leftChars="0" w:right="314" w:firstLine="420" w:firstLineChars="0"/>
        <w:rPr>
          <w:rFonts w:hint="eastAsia" w:ascii="宋体" w:hAnsi="宋体" w:eastAsia="宋体" w:cs="宋体"/>
          <w:sz w:val="21"/>
          <w:szCs w:val="21"/>
        </w:rPr>
      </w:pPr>
      <w:r>
        <w:rPr>
          <w:rFonts w:hint="eastAsia" w:ascii="宋体" w:hAnsi="宋体" w:eastAsia="宋体" w:cs="宋体"/>
          <w:sz w:val="21"/>
          <w:szCs w:val="21"/>
        </w:rPr>
        <w:t>我公司自愿参加贵公司组织的河北交投绿色建材有限公司2026-2027年度经营生产用原材料供应商入库（补充入库）二次</w:t>
      </w:r>
      <w:r>
        <w:rPr>
          <w:rFonts w:hint="eastAsia" w:ascii="宋体" w:hAnsi="宋体" w:eastAsia="宋体" w:cs="宋体"/>
          <w:sz w:val="21"/>
          <w:szCs w:val="21"/>
          <w:lang w:val="en-US" w:eastAsia="zh-CN"/>
        </w:rPr>
        <w:t>采购</w:t>
      </w:r>
      <w:r>
        <w:rPr>
          <w:rFonts w:hint="eastAsia" w:ascii="宋体" w:hAnsi="宋体" w:eastAsia="宋体" w:cs="宋体"/>
          <w:sz w:val="21"/>
          <w:szCs w:val="21"/>
        </w:rPr>
        <w:t>，我公司已知悉贵公司《</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文件》的各项规定，现承诺：</w:t>
      </w:r>
    </w:p>
    <w:p w14:paraId="2D20CAFC">
      <w:pPr>
        <w:pStyle w:val="15"/>
        <w:tabs>
          <w:tab w:val="left" w:pos="5457"/>
        </w:tabs>
        <w:spacing w:line="360" w:lineRule="auto"/>
        <w:ind w:left="0" w:leftChars="0" w:right="314" w:firstLine="367" w:firstLineChars="175"/>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我司提供的</w:t>
      </w:r>
      <w:r>
        <w:rPr>
          <w:rFonts w:hint="eastAsia" w:ascii="宋体" w:hAnsi="宋体" w:eastAsia="宋体" w:cs="宋体"/>
          <w:sz w:val="21"/>
          <w:szCs w:val="21"/>
          <w:lang w:val="en-US" w:eastAsia="zh-CN"/>
        </w:rPr>
        <w:t>产品</w:t>
      </w:r>
      <w:r>
        <w:rPr>
          <w:rFonts w:hint="eastAsia" w:ascii="宋体" w:hAnsi="宋体" w:eastAsia="宋体" w:cs="宋体"/>
          <w:sz w:val="21"/>
          <w:szCs w:val="21"/>
        </w:rPr>
        <w:t>生产厂家相关资质文件真实有效。</w:t>
      </w:r>
    </w:p>
    <w:p w14:paraId="539DCEBA">
      <w:pPr>
        <w:pStyle w:val="15"/>
        <w:tabs>
          <w:tab w:val="left" w:pos="5457"/>
        </w:tabs>
        <w:spacing w:line="360" w:lineRule="auto"/>
        <w:ind w:left="0" w:leftChars="0" w:right="314" w:firstLine="367" w:firstLineChars="175"/>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若我司</w:t>
      </w:r>
      <w:r>
        <w:rPr>
          <w:rFonts w:hint="eastAsia" w:ascii="宋体" w:hAnsi="宋体" w:eastAsia="宋体" w:cs="宋体"/>
          <w:sz w:val="21"/>
          <w:szCs w:val="21"/>
          <w:lang w:val="en-US" w:eastAsia="zh-CN"/>
        </w:rPr>
        <w:t>入围</w:t>
      </w:r>
      <w:r>
        <w:rPr>
          <w:rFonts w:hint="eastAsia" w:ascii="宋体" w:hAnsi="宋体" w:eastAsia="宋体" w:cs="宋体"/>
          <w:sz w:val="21"/>
          <w:szCs w:val="21"/>
        </w:rPr>
        <w:t>，严格按照《</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文件》的相关规定提供符合质量要求的</w:t>
      </w:r>
      <w:r>
        <w:rPr>
          <w:rFonts w:hint="eastAsia" w:ascii="宋体" w:hAnsi="宋体" w:eastAsia="宋体" w:cs="宋体"/>
          <w:sz w:val="21"/>
          <w:szCs w:val="21"/>
          <w:lang w:val="en-US" w:eastAsia="zh-CN"/>
        </w:rPr>
        <w:t>产品</w:t>
      </w:r>
      <w:r>
        <w:rPr>
          <w:rFonts w:hint="eastAsia" w:ascii="宋体" w:hAnsi="宋体" w:eastAsia="宋体" w:cs="宋体"/>
          <w:sz w:val="21"/>
          <w:szCs w:val="21"/>
        </w:rPr>
        <w:t>样品。</w:t>
      </w:r>
    </w:p>
    <w:p w14:paraId="173FA8E1">
      <w:pPr>
        <w:pStyle w:val="15"/>
        <w:tabs>
          <w:tab w:val="left" w:pos="5457"/>
        </w:tabs>
        <w:spacing w:line="360" w:lineRule="auto"/>
        <w:ind w:left="0" w:leftChars="0" w:right="314" w:firstLine="367" w:firstLineChars="175"/>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若我司</w:t>
      </w:r>
      <w:r>
        <w:rPr>
          <w:rFonts w:hint="eastAsia" w:ascii="宋体" w:hAnsi="宋体" w:eastAsia="宋体" w:cs="宋体"/>
          <w:sz w:val="21"/>
          <w:szCs w:val="21"/>
          <w:lang w:val="en-US" w:eastAsia="zh-CN"/>
        </w:rPr>
        <w:t>入围</w:t>
      </w:r>
      <w:r>
        <w:rPr>
          <w:rFonts w:hint="eastAsia" w:ascii="宋体" w:hAnsi="宋体" w:eastAsia="宋体" w:cs="宋体"/>
          <w:sz w:val="21"/>
          <w:szCs w:val="21"/>
        </w:rPr>
        <w:t>并签订合同，严格按照《</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文件》的相关规定供应符合质量要求的</w:t>
      </w:r>
      <w:r>
        <w:rPr>
          <w:rFonts w:hint="eastAsia" w:ascii="宋体" w:hAnsi="宋体" w:eastAsia="宋体" w:cs="宋体"/>
          <w:sz w:val="21"/>
          <w:szCs w:val="21"/>
          <w:lang w:val="en-US" w:eastAsia="zh-CN"/>
        </w:rPr>
        <w:t>产品</w:t>
      </w:r>
      <w:r>
        <w:rPr>
          <w:rFonts w:hint="eastAsia" w:ascii="宋体" w:hAnsi="宋体" w:eastAsia="宋体" w:cs="宋体"/>
          <w:sz w:val="21"/>
          <w:szCs w:val="21"/>
        </w:rPr>
        <w:t>，并遵从</w:t>
      </w:r>
      <w:r>
        <w:rPr>
          <w:rFonts w:hint="eastAsia" w:ascii="宋体" w:hAnsi="宋体" w:eastAsia="宋体" w:cs="宋体"/>
          <w:sz w:val="21"/>
          <w:szCs w:val="21"/>
          <w:lang w:val="en-US" w:eastAsia="zh-CN"/>
        </w:rPr>
        <w:t>采购</w:t>
      </w:r>
      <w:r>
        <w:rPr>
          <w:rFonts w:hint="eastAsia" w:ascii="宋体" w:hAnsi="宋体" w:eastAsia="宋体" w:cs="宋体"/>
          <w:sz w:val="21"/>
          <w:szCs w:val="21"/>
        </w:rPr>
        <w:t>人关于</w:t>
      </w:r>
      <w:r>
        <w:rPr>
          <w:rFonts w:hint="eastAsia" w:ascii="宋体" w:hAnsi="宋体" w:eastAsia="宋体" w:cs="宋体"/>
          <w:sz w:val="21"/>
          <w:szCs w:val="21"/>
          <w:lang w:val="en-US" w:eastAsia="zh-CN"/>
        </w:rPr>
        <w:t>产品</w:t>
      </w:r>
      <w:r>
        <w:rPr>
          <w:rFonts w:hint="eastAsia" w:ascii="宋体" w:hAnsi="宋体" w:eastAsia="宋体" w:cs="宋体"/>
          <w:sz w:val="21"/>
          <w:szCs w:val="21"/>
        </w:rPr>
        <w:t>质量的相关要求，如出现质量问题，我司承担给</w:t>
      </w:r>
      <w:r>
        <w:rPr>
          <w:rFonts w:hint="eastAsia" w:ascii="宋体" w:hAnsi="宋体" w:eastAsia="宋体" w:cs="宋体"/>
          <w:sz w:val="21"/>
          <w:szCs w:val="21"/>
          <w:lang w:val="en-US" w:eastAsia="zh-CN"/>
        </w:rPr>
        <w:t>采购</w:t>
      </w:r>
      <w:r>
        <w:rPr>
          <w:rFonts w:hint="eastAsia" w:ascii="宋体" w:hAnsi="宋体" w:eastAsia="宋体" w:cs="宋体"/>
          <w:sz w:val="21"/>
          <w:szCs w:val="21"/>
        </w:rPr>
        <w:t>人造成的一切损失</w:t>
      </w:r>
      <w:r>
        <w:rPr>
          <w:rFonts w:hint="eastAsia" w:ascii="宋体" w:hAnsi="宋体" w:eastAsia="宋体" w:cs="宋体"/>
          <w:sz w:val="21"/>
          <w:szCs w:val="21"/>
          <w:lang w:eastAsia="zh-CN"/>
        </w:rPr>
        <w:t>。</w:t>
      </w:r>
    </w:p>
    <w:p w14:paraId="4794855B">
      <w:pPr>
        <w:pStyle w:val="15"/>
        <w:tabs>
          <w:tab w:val="left" w:pos="5457"/>
        </w:tabs>
        <w:spacing w:line="360" w:lineRule="auto"/>
        <w:ind w:left="0" w:leftChars="0" w:right="314" w:firstLine="420" w:firstLineChars="0"/>
        <w:rPr>
          <w:rFonts w:hint="eastAsia" w:ascii="宋体" w:hAnsi="宋体" w:eastAsia="宋体" w:cs="宋体"/>
          <w:sz w:val="21"/>
          <w:szCs w:val="21"/>
        </w:rPr>
      </w:pPr>
      <w:r>
        <w:rPr>
          <w:rFonts w:hint="eastAsia" w:ascii="宋体" w:hAnsi="宋体" w:eastAsia="宋体" w:cs="宋体"/>
          <w:sz w:val="21"/>
          <w:szCs w:val="21"/>
        </w:rPr>
        <w:t>以上内容如有虚假，我方承认提供虚假信息骗取入围资格，愿意承担因此产生的一切后果，</w:t>
      </w:r>
      <w:r>
        <w:rPr>
          <w:rFonts w:hint="eastAsia" w:ascii="宋体" w:hAnsi="宋体" w:eastAsia="宋体" w:cs="宋体"/>
          <w:sz w:val="21"/>
          <w:szCs w:val="21"/>
          <w:lang w:val="en-US" w:eastAsia="zh-CN"/>
        </w:rPr>
        <w:t>采购</w:t>
      </w:r>
      <w:r>
        <w:rPr>
          <w:rFonts w:hint="eastAsia" w:ascii="宋体" w:hAnsi="宋体" w:eastAsia="宋体" w:cs="宋体"/>
          <w:sz w:val="21"/>
          <w:szCs w:val="21"/>
        </w:rPr>
        <w:t>人有权直接取消我司作为合格供方的资格，并列入供应商失信黑名单，3年内不得参与</w:t>
      </w:r>
      <w:r>
        <w:rPr>
          <w:rFonts w:hint="eastAsia" w:ascii="宋体" w:hAnsi="宋体" w:eastAsia="宋体" w:cs="宋体"/>
          <w:sz w:val="21"/>
          <w:szCs w:val="21"/>
          <w:lang w:val="en-US" w:eastAsia="zh-CN"/>
        </w:rPr>
        <w:t>采购</w:t>
      </w:r>
      <w:r>
        <w:rPr>
          <w:rFonts w:hint="eastAsia" w:ascii="宋体" w:hAnsi="宋体" w:eastAsia="宋体" w:cs="宋体"/>
          <w:sz w:val="21"/>
          <w:szCs w:val="21"/>
        </w:rPr>
        <w:t>人举行的任何招标</w:t>
      </w:r>
      <w:r>
        <w:rPr>
          <w:rFonts w:hint="eastAsia" w:ascii="宋体" w:hAnsi="宋体" w:eastAsia="宋体" w:cs="宋体"/>
          <w:sz w:val="21"/>
          <w:szCs w:val="21"/>
          <w:lang w:val="en-US" w:eastAsia="zh-CN"/>
        </w:rPr>
        <w:t>采购</w:t>
      </w:r>
      <w:r>
        <w:rPr>
          <w:rFonts w:hint="eastAsia" w:ascii="宋体" w:hAnsi="宋体" w:eastAsia="宋体" w:cs="宋体"/>
          <w:sz w:val="21"/>
          <w:szCs w:val="21"/>
        </w:rPr>
        <w:t>活动。同时，</w:t>
      </w:r>
      <w:r>
        <w:rPr>
          <w:rFonts w:hint="eastAsia" w:ascii="宋体" w:hAnsi="宋体" w:eastAsia="宋体" w:cs="宋体"/>
          <w:sz w:val="21"/>
          <w:szCs w:val="21"/>
          <w:lang w:val="en-US" w:eastAsia="zh-CN"/>
        </w:rPr>
        <w:t>采购</w:t>
      </w:r>
      <w:r>
        <w:rPr>
          <w:rFonts w:hint="eastAsia" w:ascii="宋体" w:hAnsi="宋体" w:eastAsia="宋体" w:cs="宋体"/>
          <w:sz w:val="21"/>
          <w:szCs w:val="21"/>
        </w:rPr>
        <w:t>人保留追究法律责任的权利。</w:t>
      </w:r>
    </w:p>
    <w:p w14:paraId="14FC3918">
      <w:pPr>
        <w:pStyle w:val="15"/>
        <w:tabs>
          <w:tab w:val="left" w:pos="5457"/>
        </w:tabs>
        <w:spacing w:line="360" w:lineRule="auto"/>
        <w:ind w:left="0" w:leftChars="0" w:right="314" w:firstLine="420" w:firstLineChars="0"/>
        <w:rPr>
          <w:rFonts w:hint="eastAsia" w:ascii="宋体" w:hAnsi="宋体" w:eastAsia="宋体" w:cs="宋体"/>
          <w:sz w:val="21"/>
          <w:szCs w:val="21"/>
        </w:rPr>
      </w:pPr>
    </w:p>
    <w:p w14:paraId="792889F0">
      <w:pPr>
        <w:pStyle w:val="15"/>
        <w:tabs>
          <w:tab w:val="left" w:pos="5457"/>
        </w:tabs>
        <w:spacing w:line="360" w:lineRule="auto"/>
        <w:ind w:right="314" w:firstLine="3360" w:firstLineChars="1600"/>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（全称、盖章）</w:t>
      </w:r>
    </w:p>
    <w:p w14:paraId="6CF07069">
      <w:pPr>
        <w:pStyle w:val="15"/>
        <w:tabs>
          <w:tab w:val="left" w:pos="5457"/>
        </w:tabs>
        <w:spacing w:line="360" w:lineRule="auto"/>
        <w:ind w:right="314"/>
        <w:rPr>
          <w:rFonts w:hint="eastAsia" w:ascii="宋体" w:hAnsi="宋体" w:eastAsia="宋体" w:cs="宋体"/>
          <w:sz w:val="21"/>
          <w:szCs w:val="21"/>
        </w:rPr>
      </w:pPr>
    </w:p>
    <w:p w14:paraId="0A09479E">
      <w:pPr>
        <w:pStyle w:val="15"/>
        <w:tabs>
          <w:tab w:val="left" w:pos="5457"/>
        </w:tabs>
        <w:spacing w:line="360" w:lineRule="auto"/>
        <w:ind w:right="314" w:firstLine="3360" w:firstLineChars="1600"/>
        <w:rPr>
          <w:rFonts w:hint="eastAsia" w:ascii="宋体" w:hAnsi="宋体" w:eastAsia="宋体" w:cs="宋体"/>
          <w:sz w:val="21"/>
          <w:szCs w:val="21"/>
        </w:rPr>
      </w:pPr>
      <w:r>
        <w:rPr>
          <w:rFonts w:hint="eastAsia" w:ascii="宋体" w:hAnsi="宋体" w:eastAsia="宋体" w:cs="宋体"/>
          <w:sz w:val="21"/>
          <w:szCs w:val="21"/>
        </w:rPr>
        <w:t>法定代表人或其授权的代理人：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（签字）</w:t>
      </w:r>
    </w:p>
    <w:p w14:paraId="6416D381">
      <w:pPr>
        <w:pStyle w:val="15"/>
        <w:tabs>
          <w:tab w:val="left" w:pos="5457"/>
        </w:tabs>
        <w:spacing w:line="360" w:lineRule="auto"/>
        <w:ind w:left="0" w:leftChars="0" w:right="314" w:firstLine="420" w:firstLineChars="0"/>
        <w:rPr>
          <w:rFonts w:hint="eastAsia" w:ascii="宋体" w:hAnsi="宋体" w:eastAsia="宋体" w:cs="宋体"/>
          <w:sz w:val="21"/>
          <w:szCs w:val="21"/>
        </w:rPr>
      </w:pPr>
    </w:p>
    <w:p w14:paraId="5988E59E">
      <w:pPr>
        <w:pStyle w:val="15"/>
        <w:tabs>
          <w:tab w:val="left" w:pos="5457"/>
        </w:tabs>
        <w:spacing w:line="360" w:lineRule="auto"/>
        <w:ind w:left="0" w:leftChars="0" w:right="314" w:firstLine="3360" w:firstLineChars="1600"/>
        <w:rPr>
          <w:rFonts w:hint="eastAsia" w:ascii="宋体" w:hAnsi="宋体" w:eastAsia="宋体" w:cs="宋体"/>
          <w:sz w:val="21"/>
          <w:szCs w:val="21"/>
        </w:rPr>
      </w:pPr>
      <w:r>
        <w:rPr>
          <w:rFonts w:hint="eastAsia" w:ascii="宋体" w:hAnsi="宋体" w:eastAsia="宋体" w:cs="宋体"/>
          <w:sz w:val="21"/>
          <w:szCs w:val="21"/>
        </w:rPr>
        <w:t>日 期：202</w:t>
      </w:r>
      <w:r>
        <w:rPr>
          <w:rFonts w:hint="eastAsia" w:cs="宋体"/>
          <w:sz w:val="21"/>
          <w:szCs w:val="21"/>
          <w:lang w:val="en-US" w:eastAsia="zh-CN"/>
        </w:rPr>
        <w:t>5</w:t>
      </w:r>
      <w:r>
        <w:rPr>
          <w:rFonts w:hint="eastAsia" w:ascii="宋体" w:hAnsi="宋体" w:eastAsia="宋体" w:cs="宋体"/>
          <w:sz w:val="21"/>
          <w:szCs w:val="21"/>
        </w:rPr>
        <w:t xml:space="preserve"> 年</w:t>
      </w:r>
      <w:r>
        <w:rPr>
          <w:rFonts w:hint="eastAsia" w:ascii="宋体" w:hAnsi="宋体" w:eastAsia="宋体" w:cs="宋体"/>
          <w:sz w:val="21"/>
          <w:szCs w:val="21"/>
        </w:rPr>
        <w:tab/>
      </w:r>
      <w:r>
        <w:rPr>
          <w:rFonts w:hint="eastAsia" w:ascii="宋体" w:hAnsi="宋体" w:eastAsia="宋体" w:cs="宋体"/>
          <w:sz w:val="21"/>
          <w:szCs w:val="21"/>
        </w:rPr>
        <w:t>月</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2083990A">
      <w:pPr>
        <w:rPr>
          <w:rFonts w:ascii="宋体" w:hAnsi="宋体"/>
        </w:rPr>
      </w:pPr>
    </w:p>
    <w:p w14:paraId="04984136">
      <w:pPr>
        <w:pStyle w:val="20"/>
      </w:pPr>
    </w:p>
    <w:p w14:paraId="50D3C000"/>
    <w:p w14:paraId="32C3699D">
      <w:pPr>
        <w:pStyle w:val="20"/>
      </w:pPr>
    </w:p>
    <w:p w14:paraId="373B251E"/>
    <w:p w14:paraId="29A9BA90">
      <w:pPr>
        <w:pStyle w:val="20"/>
      </w:pPr>
    </w:p>
    <w:p w14:paraId="0F6F308D"/>
    <w:p w14:paraId="498EAF36">
      <w:pPr>
        <w:pStyle w:val="20"/>
      </w:pPr>
    </w:p>
    <w:p w14:paraId="4A58BCF8"/>
    <w:p w14:paraId="78638F99">
      <w:pPr>
        <w:pStyle w:val="20"/>
      </w:pPr>
    </w:p>
    <w:p w14:paraId="58B6D5A0"/>
    <w:p w14:paraId="0F762D3F">
      <w:pPr>
        <w:pStyle w:val="20"/>
      </w:pPr>
    </w:p>
    <w:p w14:paraId="6EBA47A1"/>
    <w:p w14:paraId="521B629A">
      <w:pPr>
        <w:spacing w:line="360" w:lineRule="auto"/>
        <w:jc w:val="center"/>
        <w:rPr>
          <w:rFonts w:hint="eastAsia" w:ascii="宋体" w:hAnsi="宋体"/>
          <w:sz w:val="24"/>
          <w:highlight w:val="none"/>
        </w:rPr>
      </w:pPr>
    </w:p>
    <w:p w14:paraId="227A78E6">
      <w:pPr>
        <w:keepNext/>
        <w:keepLines/>
        <w:spacing w:before="260" w:after="260" w:line="400" w:lineRule="exact"/>
        <w:jc w:val="center"/>
        <w:outlineLvl w:val="1"/>
        <w:rPr>
          <w:rFonts w:hint="default" w:ascii="宋体" w:hAnsi="宋体" w:eastAsia="宋体"/>
          <w:b/>
          <w:sz w:val="32"/>
          <w:szCs w:val="20"/>
          <w:lang w:val="en-US" w:eastAsia="zh-CN"/>
        </w:rPr>
      </w:pPr>
      <w:r>
        <w:rPr>
          <w:rFonts w:hint="eastAsia" w:ascii="宋体" w:hAnsi="宋体"/>
          <w:b/>
          <w:sz w:val="32"/>
          <w:szCs w:val="20"/>
          <w:lang w:val="en-US" w:eastAsia="zh-CN"/>
        </w:rPr>
        <w:t>十一</w:t>
      </w:r>
      <w:r>
        <w:rPr>
          <w:rFonts w:ascii="宋体" w:hAnsi="宋体"/>
          <w:b/>
          <w:sz w:val="32"/>
          <w:szCs w:val="20"/>
        </w:rPr>
        <w:t>、</w:t>
      </w:r>
      <w:r>
        <w:rPr>
          <w:rFonts w:hint="eastAsia" w:ascii="宋体" w:hAnsi="宋体"/>
          <w:b/>
          <w:sz w:val="32"/>
          <w:szCs w:val="20"/>
          <w:lang w:val="en-US" w:eastAsia="zh-CN"/>
        </w:rPr>
        <w:t>生产商或经销权或代理权证明资料</w:t>
      </w:r>
    </w:p>
    <w:p w14:paraId="5EF85D4A">
      <w:pPr>
        <w:rPr>
          <w:rFonts w:hint="eastAsia" w:hAnsi="宋体" w:cs="Times New Roman"/>
          <w:kern w:val="2"/>
          <w:sz w:val="21"/>
          <w:szCs w:val="24"/>
          <w:highlight w:val="none"/>
          <w:lang w:val="en-US" w:eastAsia="zh-CN" w:bidi="ar-SA"/>
        </w:rPr>
      </w:pPr>
    </w:p>
    <w:p w14:paraId="20E5FAC2">
      <w:pPr>
        <w:spacing w:before="91" w:line="219" w:lineRule="auto"/>
        <w:ind w:left="2214"/>
        <w:rPr>
          <w:rFonts w:ascii="宋体" w:hAnsi="宋体" w:eastAsia="宋体" w:cs="宋体"/>
          <w:sz w:val="28"/>
          <w:szCs w:val="28"/>
        </w:rPr>
      </w:pPr>
      <w:r>
        <w:rPr>
          <w:rFonts w:ascii="宋体" w:hAnsi="宋体" w:eastAsia="宋体" w:cs="宋体"/>
          <w:spacing w:val="14"/>
          <w:sz w:val="28"/>
          <w:szCs w:val="28"/>
        </w:rPr>
        <w:t>生产商授权书（代理经销商提供）</w:t>
      </w:r>
    </w:p>
    <w:p w14:paraId="093A690B">
      <w:pPr>
        <w:spacing w:before="295" w:line="220" w:lineRule="auto"/>
        <w:ind w:left="481"/>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pacing w:val="-19"/>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19"/>
          <w:sz w:val="24"/>
          <w:szCs w:val="24"/>
        </w:rPr>
        <w:t>（</w:t>
      </w:r>
      <w:r>
        <w:rPr>
          <w:rFonts w:ascii="宋体" w:hAnsi="宋体" w:eastAsia="宋体" w:cs="宋体"/>
          <w:spacing w:val="3"/>
          <w:sz w:val="24"/>
          <w:szCs w:val="24"/>
        </w:rPr>
        <w:t>招标人）</w:t>
      </w:r>
    </w:p>
    <w:p w14:paraId="129F47CC">
      <w:pPr>
        <w:pStyle w:val="15"/>
        <w:spacing w:line="256" w:lineRule="auto"/>
      </w:pPr>
    </w:p>
    <w:p w14:paraId="41DB9E7F">
      <w:pPr>
        <w:pStyle w:val="15"/>
        <w:spacing w:line="256" w:lineRule="auto"/>
      </w:pPr>
    </w:p>
    <w:p w14:paraId="05C5A08C">
      <w:pPr>
        <w:spacing w:before="78" w:line="363" w:lineRule="auto"/>
        <w:ind w:left="4" w:firstLine="478"/>
        <w:jc w:val="both"/>
        <w:rPr>
          <w:rFonts w:ascii="宋体" w:hAnsi="宋体" w:eastAsia="宋体" w:cs="宋体"/>
          <w:sz w:val="24"/>
          <w:szCs w:val="24"/>
        </w:rPr>
      </w:pPr>
      <w:r>
        <w:rPr>
          <w:rFonts w:ascii="宋体" w:hAnsi="宋体" w:eastAsia="宋体" w:cs="宋体"/>
          <w:spacing w:val="4"/>
          <w:sz w:val="24"/>
          <w:szCs w:val="24"/>
        </w:rPr>
        <w:t>我单位（生产商名称）是按（国家／地区名称）法律成立</w:t>
      </w:r>
      <w:r>
        <w:rPr>
          <w:rFonts w:ascii="宋体" w:hAnsi="宋体" w:eastAsia="宋体" w:cs="宋体"/>
          <w:spacing w:val="3"/>
          <w:sz w:val="24"/>
          <w:szCs w:val="24"/>
        </w:rPr>
        <w:t>的一家生产商，主要营业地点设在（生产商地址）。兹授权按（国家／地区名称）的法律正式成立的，主要营业地点设在</w:t>
      </w:r>
      <w:r>
        <w:rPr>
          <w:rFonts w:ascii="宋体" w:hAnsi="宋体" w:eastAsia="宋体" w:cs="宋体"/>
          <w:spacing w:val="1"/>
          <w:sz w:val="24"/>
          <w:szCs w:val="24"/>
        </w:rPr>
        <w:t>（投标人的单位地址）的（投标人名称）以我单位生产的</w:t>
      </w:r>
      <w:r>
        <w:rPr>
          <w:rFonts w:ascii="宋体" w:hAnsi="宋体" w:eastAsia="宋体" w:cs="宋体"/>
          <w:spacing w:val="-84"/>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（材料名称）进行</w:t>
      </w:r>
      <w:r>
        <w:rPr>
          <w:rFonts w:ascii="宋体" w:hAnsi="宋体" w:eastAsia="宋体" w:cs="宋体"/>
          <w:spacing w:val="-113"/>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（项</w:t>
      </w:r>
      <w:r>
        <w:rPr>
          <w:rFonts w:ascii="宋体" w:hAnsi="宋体" w:eastAsia="宋体" w:cs="宋体"/>
          <w:spacing w:val="-1"/>
          <w:sz w:val="24"/>
          <w:szCs w:val="24"/>
        </w:rPr>
        <w:t>目名称）类标段投标活动。我单位同意按照中标合同供货，</w:t>
      </w:r>
      <w:r>
        <w:rPr>
          <w:rFonts w:ascii="宋体" w:hAnsi="宋体" w:eastAsia="宋体" w:cs="宋体"/>
          <w:spacing w:val="-2"/>
          <w:sz w:val="24"/>
          <w:szCs w:val="24"/>
        </w:rPr>
        <w:t>并对产品质量承担责任。</w:t>
      </w:r>
    </w:p>
    <w:p w14:paraId="21533FCE">
      <w:pPr>
        <w:spacing w:line="219" w:lineRule="auto"/>
        <w:ind w:left="480"/>
        <w:rPr>
          <w:rFonts w:ascii="宋体" w:hAnsi="宋体" w:eastAsia="宋体" w:cs="宋体"/>
          <w:sz w:val="24"/>
          <w:szCs w:val="24"/>
        </w:rPr>
      </w:pPr>
      <w:r>
        <w:rPr>
          <w:rFonts w:ascii="宋体" w:hAnsi="宋体" w:eastAsia="宋体" w:cs="宋体"/>
          <w:spacing w:val="-2"/>
          <w:sz w:val="24"/>
          <w:szCs w:val="24"/>
        </w:rPr>
        <w:t>授权期限：</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68EC4C2B">
      <w:pPr>
        <w:pStyle w:val="15"/>
        <w:spacing w:line="305" w:lineRule="auto"/>
      </w:pPr>
    </w:p>
    <w:p w14:paraId="643E6ECB">
      <w:pPr>
        <w:pStyle w:val="15"/>
        <w:spacing w:line="306" w:lineRule="auto"/>
      </w:pPr>
    </w:p>
    <w:p w14:paraId="631AB975">
      <w:pPr>
        <w:pStyle w:val="15"/>
        <w:spacing w:line="306" w:lineRule="auto"/>
      </w:pPr>
    </w:p>
    <w:p w14:paraId="2E75AF71">
      <w:pPr>
        <w:spacing w:before="78" w:line="219" w:lineRule="auto"/>
        <w:ind w:left="584"/>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pacing w:val="-15"/>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3"/>
          <w:sz w:val="24"/>
          <w:szCs w:val="24"/>
        </w:rPr>
        <w:t>盖单位章）生产商名称</w:t>
      </w:r>
      <w:r>
        <w:rPr>
          <w:rFonts w:ascii="宋体" w:hAnsi="宋体" w:eastAsia="宋体" w:cs="宋体"/>
          <w:spacing w:val="-15"/>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3"/>
          <w:sz w:val="24"/>
          <w:szCs w:val="24"/>
        </w:rPr>
        <w:t>盖单位章）</w:t>
      </w:r>
    </w:p>
    <w:p w14:paraId="24D08B07">
      <w:pPr>
        <w:pStyle w:val="15"/>
        <w:spacing w:line="450" w:lineRule="auto"/>
      </w:pPr>
    </w:p>
    <w:p w14:paraId="5C63C235">
      <w:pPr>
        <w:spacing w:before="78" w:line="220" w:lineRule="auto"/>
        <w:ind w:left="581"/>
        <w:rPr>
          <w:rFonts w:ascii="宋体" w:hAnsi="宋体" w:eastAsia="宋体" w:cs="宋体"/>
          <w:sz w:val="24"/>
          <w:szCs w:val="24"/>
        </w:rPr>
      </w:pPr>
      <w:r>
        <w:rPr>
          <w:rFonts w:ascii="宋体" w:hAnsi="宋体" w:eastAsia="宋体" w:cs="宋体"/>
          <w:spacing w:val="-2"/>
          <w:sz w:val="24"/>
          <w:szCs w:val="24"/>
        </w:rPr>
        <w:t>签字人职务：</w:t>
      </w:r>
      <w:r>
        <w:rPr>
          <w:rFonts w:ascii="宋体" w:hAnsi="宋体" w:eastAsia="宋体" w:cs="宋体"/>
          <w:spacing w:val="-2"/>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签</w:t>
      </w:r>
      <w:r>
        <w:rPr>
          <w:rFonts w:ascii="宋体" w:hAnsi="宋体" w:eastAsia="宋体" w:cs="宋体"/>
          <w:spacing w:val="-3"/>
          <w:sz w:val="24"/>
          <w:szCs w:val="24"/>
        </w:rPr>
        <w:t>字人职务：</w:t>
      </w:r>
      <w:r>
        <w:rPr>
          <w:rFonts w:ascii="宋体" w:hAnsi="宋体" w:eastAsia="宋体" w:cs="宋体"/>
          <w:spacing w:val="-3"/>
          <w:sz w:val="24"/>
          <w:szCs w:val="24"/>
          <w:u w:val="single" w:color="auto"/>
        </w:rPr>
        <w:t xml:space="preserve">                        </w:t>
      </w:r>
    </w:p>
    <w:p w14:paraId="7CD0F2C4">
      <w:pPr>
        <w:pStyle w:val="15"/>
        <w:spacing w:line="442" w:lineRule="auto"/>
      </w:pPr>
    </w:p>
    <w:p w14:paraId="577C39FB">
      <w:pPr>
        <w:spacing w:before="78" w:line="220" w:lineRule="auto"/>
        <w:ind w:left="581"/>
        <w:rPr>
          <w:rFonts w:ascii="宋体" w:hAnsi="宋体" w:eastAsia="宋体" w:cs="宋体"/>
          <w:sz w:val="24"/>
          <w:szCs w:val="24"/>
        </w:rPr>
      </w:pPr>
      <w:r>
        <w:rPr>
          <w:rFonts w:ascii="宋体" w:hAnsi="宋体" w:eastAsia="宋体" w:cs="宋体"/>
          <w:spacing w:val="-2"/>
          <w:sz w:val="24"/>
          <w:szCs w:val="24"/>
        </w:rPr>
        <w:t>签字人姓名：</w:t>
      </w:r>
      <w:r>
        <w:rPr>
          <w:rFonts w:ascii="宋体" w:hAnsi="宋体" w:eastAsia="宋体" w:cs="宋体"/>
          <w:spacing w:val="-2"/>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签</w:t>
      </w:r>
      <w:r>
        <w:rPr>
          <w:rFonts w:ascii="宋体" w:hAnsi="宋体" w:eastAsia="宋体" w:cs="宋体"/>
          <w:spacing w:val="-3"/>
          <w:sz w:val="24"/>
          <w:szCs w:val="24"/>
        </w:rPr>
        <w:t>字人姓名：</w:t>
      </w:r>
      <w:r>
        <w:rPr>
          <w:rFonts w:ascii="宋体" w:hAnsi="宋体" w:eastAsia="宋体" w:cs="宋体"/>
          <w:spacing w:val="-3"/>
          <w:sz w:val="24"/>
          <w:szCs w:val="24"/>
          <w:u w:val="single" w:color="auto"/>
        </w:rPr>
        <w:t xml:space="preserve">                        </w:t>
      </w:r>
    </w:p>
    <w:p w14:paraId="3EFE0DC5">
      <w:pPr>
        <w:pStyle w:val="15"/>
        <w:spacing w:line="457" w:lineRule="auto"/>
      </w:pPr>
    </w:p>
    <w:p w14:paraId="1CC2C77C">
      <w:pPr>
        <w:spacing w:before="69" w:line="229" w:lineRule="auto"/>
        <w:ind w:left="520"/>
        <w:rPr>
          <w:rFonts w:ascii="宋体" w:hAnsi="宋体" w:eastAsia="宋体" w:cs="宋体"/>
          <w:sz w:val="21"/>
          <w:szCs w:val="21"/>
        </w:rPr>
      </w:pPr>
      <w:r>
        <w:rPr>
          <w:rFonts w:ascii="宋体" w:hAnsi="宋体" w:eastAsia="宋体" w:cs="宋体"/>
          <w:sz w:val="21"/>
          <w:szCs w:val="21"/>
        </w:rPr>
        <w:t>签字人签名</w:t>
      </w:r>
      <w:r>
        <w:rPr>
          <w:rFonts w:ascii="宋体" w:hAnsi="宋体" w:eastAsia="宋体" w:cs="宋体"/>
          <w:spacing w:val="-6"/>
          <w:sz w:val="21"/>
          <w:szCs w:val="21"/>
        </w:rPr>
        <w:t>：</w:t>
      </w:r>
      <w:r>
        <w:rPr>
          <w:rFonts w:ascii="宋体" w:hAnsi="宋体" w:eastAsia="宋体" w:cs="宋体"/>
          <w:spacing w:val="-6"/>
          <w:position w:val="-1"/>
          <w:sz w:val="21"/>
          <w:szCs w:val="21"/>
        </w:rPr>
        <w:t>（</w:t>
      </w:r>
      <w:r>
        <w:rPr>
          <w:rFonts w:ascii="宋体" w:hAnsi="宋体" w:eastAsia="宋体" w:cs="宋体"/>
          <w:position w:val="-1"/>
          <w:sz w:val="21"/>
          <w:szCs w:val="21"/>
        </w:rPr>
        <w:t>签字）</w:t>
      </w:r>
      <w:r>
        <w:rPr>
          <w:rFonts w:ascii="宋体" w:hAnsi="宋体" w:eastAsia="宋体" w:cs="宋体"/>
          <w:position w:val="-1"/>
          <w:sz w:val="21"/>
          <w:szCs w:val="21"/>
          <w:u w:val="single" w:color="auto"/>
        </w:rPr>
        <w:t xml:space="preserve">                </w:t>
      </w:r>
      <w:r>
        <w:rPr>
          <w:rFonts w:ascii="宋体" w:hAnsi="宋体" w:eastAsia="宋体" w:cs="宋体"/>
          <w:spacing w:val="110"/>
          <w:position w:val="-1"/>
          <w:sz w:val="21"/>
          <w:szCs w:val="21"/>
        </w:rPr>
        <w:t xml:space="preserve"> </w:t>
      </w:r>
      <w:r>
        <w:rPr>
          <w:rFonts w:ascii="宋体" w:hAnsi="宋体" w:eastAsia="宋体" w:cs="宋体"/>
          <w:sz w:val="21"/>
          <w:szCs w:val="21"/>
        </w:rPr>
        <w:t>签字人签名</w:t>
      </w:r>
      <w:r>
        <w:rPr>
          <w:rFonts w:ascii="宋体" w:hAnsi="宋体" w:eastAsia="宋体" w:cs="宋体"/>
          <w:spacing w:val="-6"/>
          <w:sz w:val="21"/>
          <w:szCs w:val="21"/>
        </w:rPr>
        <w:t>：</w:t>
      </w:r>
      <w:r>
        <w:rPr>
          <w:rFonts w:ascii="宋体" w:hAnsi="宋体" w:eastAsia="宋体" w:cs="宋体"/>
          <w:spacing w:val="-6"/>
          <w:position w:val="-1"/>
          <w:sz w:val="21"/>
          <w:szCs w:val="21"/>
        </w:rPr>
        <w:t>（</w:t>
      </w:r>
      <w:r>
        <w:rPr>
          <w:rFonts w:ascii="宋体" w:hAnsi="宋体" w:eastAsia="宋体" w:cs="宋体"/>
          <w:position w:val="-1"/>
          <w:sz w:val="21"/>
          <w:szCs w:val="21"/>
        </w:rPr>
        <w:t>签字）</w:t>
      </w:r>
      <w:r>
        <w:rPr>
          <w:rFonts w:ascii="宋体" w:hAnsi="宋体" w:eastAsia="宋体" w:cs="宋体"/>
          <w:position w:val="-1"/>
          <w:sz w:val="21"/>
          <w:szCs w:val="21"/>
          <w:u w:val="single" w:color="auto"/>
        </w:rPr>
        <w:t xml:space="preserve">                    </w:t>
      </w:r>
    </w:p>
    <w:p w14:paraId="00B8DD7C">
      <w:pPr>
        <w:pStyle w:val="15"/>
        <w:spacing w:line="254" w:lineRule="auto"/>
      </w:pPr>
    </w:p>
    <w:p w14:paraId="16FCE3B3">
      <w:pPr>
        <w:pStyle w:val="15"/>
        <w:spacing w:line="254" w:lineRule="auto"/>
      </w:pPr>
    </w:p>
    <w:p w14:paraId="63E8AD0B">
      <w:pPr>
        <w:spacing w:before="69" w:line="220" w:lineRule="auto"/>
        <w:rPr>
          <w:rFonts w:ascii="宋体" w:hAnsi="宋体" w:eastAsia="宋体" w:cs="宋体"/>
          <w:sz w:val="21"/>
          <w:szCs w:val="21"/>
        </w:rPr>
      </w:pPr>
      <w:r>
        <w:rPr>
          <w:rFonts w:ascii="宋体" w:hAnsi="宋体" w:eastAsia="宋体" w:cs="宋体"/>
          <w:b/>
          <w:bCs/>
          <w:spacing w:val="-2"/>
          <w:sz w:val="21"/>
          <w:szCs w:val="21"/>
        </w:rPr>
        <w:t>注：投标人为代理经销商的，投标人应在此提供生产商出具的授权书</w:t>
      </w:r>
      <w:r>
        <w:rPr>
          <w:rFonts w:ascii="宋体" w:hAnsi="宋体" w:eastAsia="宋体" w:cs="宋体"/>
          <w:b/>
          <w:bCs/>
          <w:spacing w:val="-3"/>
          <w:sz w:val="21"/>
          <w:szCs w:val="21"/>
        </w:rPr>
        <w:t>的复印件。</w:t>
      </w:r>
    </w:p>
    <w:p w14:paraId="53A6D4B5">
      <w:pPr>
        <w:pStyle w:val="2"/>
        <w:rPr>
          <w:rFonts w:hint="eastAsia" w:ascii="宋体" w:hAnsi="宋体"/>
          <w:sz w:val="21"/>
          <w:szCs w:val="21"/>
          <w:highlight w:val="none"/>
          <w:lang w:val="en-US" w:eastAsia="zh-CN"/>
        </w:rPr>
      </w:pPr>
    </w:p>
    <w:p w14:paraId="5CB8CA67">
      <w:pPr>
        <w:rPr>
          <w:rFonts w:hint="eastAsia" w:ascii="宋体" w:hAnsi="宋体"/>
          <w:sz w:val="21"/>
          <w:szCs w:val="21"/>
          <w:highlight w:val="none"/>
          <w:lang w:val="en-US" w:eastAsia="zh-CN"/>
        </w:rPr>
      </w:pPr>
    </w:p>
    <w:p w14:paraId="540836D1">
      <w:pPr>
        <w:rPr>
          <w:rFonts w:hint="eastAsia" w:ascii="宋体" w:hAnsi="宋体"/>
          <w:sz w:val="21"/>
          <w:szCs w:val="21"/>
          <w:highlight w:val="none"/>
          <w:lang w:val="en-US" w:eastAsia="zh-CN"/>
        </w:rPr>
      </w:pPr>
    </w:p>
    <w:p w14:paraId="0C885C4F">
      <w:pPr>
        <w:rPr>
          <w:rFonts w:hint="eastAsia" w:ascii="宋体" w:hAnsi="宋体"/>
          <w:sz w:val="21"/>
          <w:szCs w:val="21"/>
          <w:highlight w:val="none"/>
          <w:lang w:val="en-US" w:eastAsia="zh-CN"/>
        </w:rPr>
      </w:pPr>
    </w:p>
    <w:p w14:paraId="00682794">
      <w:pPr>
        <w:rPr>
          <w:rFonts w:hint="eastAsia" w:ascii="宋体" w:hAnsi="宋体"/>
          <w:sz w:val="21"/>
          <w:szCs w:val="21"/>
          <w:highlight w:val="none"/>
          <w:lang w:val="en-US" w:eastAsia="zh-CN"/>
        </w:rPr>
      </w:pPr>
    </w:p>
    <w:p w14:paraId="68036CE6">
      <w:pPr>
        <w:rPr>
          <w:rFonts w:hint="eastAsia" w:ascii="宋体" w:hAnsi="宋体"/>
          <w:sz w:val="21"/>
          <w:szCs w:val="21"/>
          <w:highlight w:val="none"/>
          <w:lang w:val="en-US" w:eastAsia="zh-CN"/>
        </w:rPr>
      </w:pPr>
    </w:p>
    <w:p w14:paraId="62C83AEB">
      <w:pPr>
        <w:keepNext/>
        <w:keepLines/>
        <w:numPr>
          <w:ilvl w:val="0"/>
          <w:numId w:val="8"/>
        </w:numPr>
        <w:spacing w:before="260" w:after="260" w:line="400" w:lineRule="exact"/>
        <w:jc w:val="center"/>
        <w:outlineLvl w:val="1"/>
        <w:rPr>
          <w:rFonts w:ascii="宋体" w:hAnsi="宋体"/>
          <w:b/>
          <w:sz w:val="32"/>
          <w:szCs w:val="20"/>
        </w:rPr>
      </w:pPr>
      <w:r>
        <w:rPr>
          <w:rFonts w:ascii="宋体" w:hAnsi="宋体"/>
          <w:b/>
          <w:sz w:val="32"/>
          <w:szCs w:val="20"/>
        </w:rPr>
        <w:t>其</w:t>
      </w:r>
      <w:r>
        <w:rPr>
          <w:rFonts w:hint="eastAsia" w:ascii="宋体" w:hAnsi="宋体"/>
          <w:b/>
          <w:sz w:val="32"/>
          <w:szCs w:val="20"/>
          <w:lang w:val="en-US" w:eastAsia="zh-CN"/>
        </w:rPr>
        <w:t>他</w:t>
      </w:r>
      <w:r>
        <w:rPr>
          <w:rFonts w:ascii="宋体" w:hAnsi="宋体"/>
          <w:b/>
          <w:sz w:val="32"/>
          <w:szCs w:val="20"/>
        </w:rPr>
        <w:t>资料</w:t>
      </w:r>
    </w:p>
    <w:p w14:paraId="714E10FD">
      <w:pPr>
        <w:keepNext/>
        <w:keepLines/>
        <w:numPr>
          <w:ilvl w:val="0"/>
          <w:numId w:val="0"/>
        </w:numPr>
        <w:spacing w:before="260" w:after="260" w:line="400" w:lineRule="exact"/>
        <w:jc w:val="both"/>
        <w:outlineLvl w:val="1"/>
        <w:rPr>
          <w:rFonts w:hint="eastAsia" w:ascii="宋体" w:hAnsi="宋体"/>
          <w:b/>
          <w:sz w:val="32"/>
          <w:szCs w:val="20"/>
          <w:lang w:eastAsia="zh-CN"/>
        </w:rPr>
      </w:pPr>
    </w:p>
    <w:p w14:paraId="46F9D0AC">
      <w:pPr>
        <w:spacing w:line="360" w:lineRule="auto"/>
        <w:jc w:val="center"/>
        <w:rPr>
          <w:rFonts w:hint="default" w:ascii="宋体" w:hAnsi="宋体" w:eastAsia="宋体"/>
          <w:sz w:val="21"/>
          <w:szCs w:val="21"/>
          <w:highlight w:val="none"/>
          <w:lang w:val="en-US" w:eastAsia="zh-CN"/>
        </w:rPr>
      </w:pPr>
    </w:p>
    <w:p w14:paraId="6D2D90C4">
      <w:pPr>
        <w:keepNext/>
        <w:keepLines/>
        <w:spacing w:before="260" w:after="260" w:line="400" w:lineRule="exact"/>
        <w:jc w:val="center"/>
        <w:outlineLvl w:val="1"/>
        <w:rPr>
          <w:rFonts w:hint="eastAsia" w:ascii="宋体" w:hAnsi="宋体"/>
          <w:b/>
          <w:sz w:val="32"/>
          <w:szCs w:val="20"/>
        </w:rPr>
      </w:pPr>
    </w:p>
    <w:p w14:paraId="474C2412">
      <w:pPr>
        <w:keepNext/>
        <w:keepLines/>
        <w:spacing w:before="260" w:after="260" w:line="400" w:lineRule="exact"/>
        <w:jc w:val="center"/>
        <w:outlineLvl w:val="1"/>
        <w:rPr>
          <w:rFonts w:hint="eastAsia" w:ascii="宋体" w:hAnsi="宋体"/>
          <w:b/>
          <w:sz w:val="32"/>
          <w:szCs w:val="20"/>
        </w:rPr>
      </w:pPr>
    </w:p>
    <w:p w14:paraId="25A00644">
      <w:pPr>
        <w:pStyle w:val="2"/>
        <w:rPr>
          <w:rFonts w:hint="default"/>
          <w:lang w:val="en-US" w:eastAsia="zh-CN"/>
        </w:rPr>
      </w:pPr>
    </w:p>
    <w:p w14:paraId="0E0388E6">
      <w:pPr>
        <w:pStyle w:val="2"/>
        <w:rPr>
          <w:rFonts w:hint="default"/>
          <w:lang w:val="en-US" w:eastAsia="zh-CN"/>
        </w:rPr>
      </w:pPr>
    </w:p>
    <w:p w14:paraId="2DEDFDCB">
      <w:pPr>
        <w:pStyle w:val="20"/>
        <w:rPr>
          <w:rFonts w:hint="eastAsia"/>
        </w:rPr>
      </w:pPr>
    </w:p>
    <w:p w14:paraId="67E31CA8">
      <w:pPr>
        <w:rPr>
          <w:rFonts w:ascii="宋体" w:hAnsi="宋体"/>
        </w:rPr>
      </w:pPr>
    </w:p>
    <w:sectPr>
      <w:footerReference r:id="rId10" w:type="first"/>
      <w:headerReference r:id="rId8" w:type="default"/>
      <w:footerReference r:id="rId9" w:type="default"/>
      <w:footnotePr>
        <w:numFmt w:val="decimalEnclosedCircleChinese"/>
        <w:numRestart w:val="eachPage"/>
      </w:footnote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roman"/>
    <w:pitch w:val="default"/>
    <w:sig w:usb0="04000687" w:usb1="00000000" w:usb2="00000000" w:usb3="00000000" w:csb0="2000009F" w:csb1="00000000"/>
  </w:font>
  <w:font w:name="微软雅黑 Light">
    <w:panose1 w:val="020B0502040204020203"/>
    <w:charset w:val="86"/>
    <w:family w:val="swiss"/>
    <w:pitch w:val="default"/>
    <w:sig w:usb0="80000287" w:usb1="2ACF001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CA4E">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9749C">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39749C">
                    <w:pPr>
                      <w:pStyle w:val="2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3AE8">
    <w:pPr>
      <w:spacing w:line="220" w:lineRule="auto"/>
      <w:ind w:left="49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70E8">
    <w:pPr>
      <w:pStyle w:val="24"/>
      <w:jc w:val="center"/>
      <w:rPr>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AC711">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AAC71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8C84">
    <w:pPr>
      <w:spacing w:line="220" w:lineRule="auto"/>
      <w:ind w:left="49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85CD">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4C293">
                          <w:pPr>
                            <w:pStyle w:val="24"/>
                            <w:jc w:val="center"/>
                          </w:pPr>
                          <w:r>
                            <w:fldChar w:fldCharType="begin"/>
                          </w:r>
                          <w:r>
                            <w:instrText xml:space="preserve">PAGE   \* MERGEFORMAT</w:instrText>
                          </w:r>
                          <w: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84C293">
                    <w:pPr>
                      <w:pStyle w:val="24"/>
                      <w:jc w:val="center"/>
                    </w:pPr>
                    <w:r>
                      <w:fldChar w:fldCharType="begin"/>
                    </w:r>
                    <w:r>
                      <w:instrText xml:space="preserve">PAGE   \* MERGEFORMAT</w:instrText>
                    </w:r>
                    <w:r>
                      <w:fldChar w:fldCharType="separate"/>
                    </w:r>
                    <w:r>
                      <w:rPr>
                        <w:lang w:val="zh-CN"/>
                      </w:rPr>
                      <w:t>15</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F03C">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5563212"/>
                          </w:sdtPr>
                          <w:sdtContent>
                            <w:p w14:paraId="7A3D7399">
                              <w:pPr>
                                <w:pStyle w:val="24"/>
                                <w:jc w:val="center"/>
                              </w:pPr>
                              <w:r>
                                <w:fldChar w:fldCharType="begin"/>
                              </w:r>
                              <w:r>
                                <w:instrText xml:space="preserve">PAGE   \* MERGEFORMAT</w:instrText>
                              </w:r>
                              <w:r>
                                <w:fldChar w:fldCharType="separate"/>
                              </w:r>
                              <w:r>
                                <w:rPr>
                                  <w:lang w:val="zh-CN"/>
                                </w:rPr>
                                <w:t>2</w:t>
                              </w:r>
                              <w:r>
                                <w:fldChar w:fldCharType="end"/>
                              </w:r>
                            </w:p>
                          </w:sdtContent>
                        </w:sdt>
                        <w:p w14:paraId="432CC26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85563212"/>
                    </w:sdtPr>
                    <w:sdtContent>
                      <w:p w14:paraId="7A3D7399">
                        <w:pPr>
                          <w:pStyle w:val="24"/>
                          <w:jc w:val="center"/>
                        </w:pPr>
                        <w:r>
                          <w:fldChar w:fldCharType="begin"/>
                        </w:r>
                        <w:r>
                          <w:instrText xml:space="preserve">PAGE   \* MERGEFORMAT</w:instrText>
                        </w:r>
                        <w:r>
                          <w:fldChar w:fldCharType="separate"/>
                        </w:r>
                        <w:r>
                          <w:rPr>
                            <w:lang w:val="zh-CN"/>
                          </w:rPr>
                          <w:t>2</w:t>
                        </w:r>
                        <w:r>
                          <w:fldChar w:fldCharType="end"/>
                        </w:r>
                      </w:p>
                    </w:sdtContent>
                  </w:sdt>
                  <w:p w14:paraId="432CC263"/>
                </w:txbxContent>
              </v:textbox>
            </v:shape>
          </w:pict>
        </mc:Fallback>
      </mc:AlternateContent>
    </w:r>
  </w:p>
  <w:p w14:paraId="15AD94C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9A7B">
    <w:pPr>
      <w:pBdr>
        <w:bottom w:val="none" w:color="auto" w:sz="0" w:space="1"/>
      </w:pBdr>
      <w:tabs>
        <w:tab w:val="center" w:pos="4153"/>
        <w:tab w:val="right" w:pos="8306"/>
      </w:tabs>
      <w:snapToGrid w:val="0"/>
      <w:ind w:firstLine="360"/>
      <w:jc w:val="center"/>
      <w:rPr>
        <w:sz w:val="18"/>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0F22">
    <w:pPr>
      <w:spacing w:line="226" w:lineRule="auto"/>
      <w:ind w:left="17" w:firstLine="400"/>
      <w:rPr>
        <w:rFonts w:ascii="宋体" w:hAnsi="宋体" w:cs="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01DC"/>
    <w:multiLevelType w:val="singleLevel"/>
    <w:tmpl w:val="80D201DC"/>
    <w:lvl w:ilvl="0" w:tentative="0">
      <w:start w:val="1"/>
      <w:numFmt w:val="chineseCounting"/>
      <w:suff w:val="space"/>
      <w:lvlText w:val="第%1章"/>
      <w:lvlJc w:val="left"/>
      <w:rPr>
        <w:rFonts w:hint="eastAsia"/>
      </w:rPr>
    </w:lvl>
  </w:abstractNum>
  <w:abstractNum w:abstractNumId="1">
    <w:nsid w:val="967412E0"/>
    <w:multiLevelType w:val="singleLevel"/>
    <w:tmpl w:val="967412E0"/>
    <w:lvl w:ilvl="0" w:tentative="0">
      <w:start w:val="2"/>
      <w:numFmt w:val="decimal"/>
      <w:suff w:val="nothing"/>
      <w:lvlText w:val="%1、"/>
      <w:lvlJc w:val="left"/>
    </w:lvl>
  </w:abstractNum>
  <w:abstractNum w:abstractNumId="2">
    <w:nsid w:val="F091776F"/>
    <w:multiLevelType w:val="singleLevel"/>
    <w:tmpl w:val="F091776F"/>
    <w:lvl w:ilvl="0" w:tentative="0">
      <w:start w:val="2"/>
      <w:numFmt w:val="chineseCounting"/>
      <w:suff w:val="nothing"/>
      <w:lvlText w:val="（%1）"/>
      <w:lvlJc w:val="left"/>
      <w:rPr>
        <w:rFonts w:hint="eastAsia"/>
      </w:rPr>
    </w:lvl>
  </w:abstractNum>
  <w:abstractNum w:abstractNumId="3">
    <w:nsid w:val="FD4B00C8"/>
    <w:multiLevelType w:val="singleLevel"/>
    <w:tmpl w:val="FD4B00C8"/>
    <w:lvl w:ilvl="0" w:tentative="0">
      <w:start w:val="12"/>
      <w:numFmt w:val="chineseCounting"/>
      <w:suff w:val="nothing"/>
      <w:lvlText w:val="%1、"/>
      <w:lvlJc w:val="left"/>
      <w:rPr>
        <w:rFonts w:hint="eastAsia"/>
      </w:rPr>
    </w:lvl>
  </w:abstractNum>
  <w:abstractNum w:abstractNumId="4">
    <w:nsid w:val="0360F100"/>
    <w:multiLevelType w:val="singleLevel"/>
    <w:tmpl w:val="0360F100"/>
    <w:lvl w:ilvl="0" w:tentative="0">
      <w:start w:val="1"/>
      <w:numFmt w:val="decimal"/>
      <w:suff w:val="nothing"/>
      <w:lvlText w:val="（%1）"/>
      <w:lvlJc w:val="left"/>
    </w:lvl>
  </w:abstractNum>
  <w:abstractNum w:abstractNumId="5">
    <w:nsid w:val="0EF1106D"/>
    <w:multiLevelType w:val="singleLevel"/>
    <w:tmpl w:val="0EF1106D"/>
    <w:lvl w:ilvl="0" w:tentative="0">
      <w:start w:val="1"/>
      <w:numFmt w:val="decimal"/>
      <w:suff w:val="nothing"/>
      <w:lvlText w:val="（%1）"/>
      <w:lvlJc w:val="left"/>
    </w:lvl>
  </w:abstractNum>
  <w:abstractNum w:abstractNumId="6">
    <w:nsid w:val="43AA56C8"/>
    <w:multiLevelType w:val="singleLevel"/>
    <w:tmpl w:val="43AA56C8"/>
    <w:lvl w:ilvl="0" w:tentative="0">
      <w:start w:val="1"/>
      <w:numFmt w:val="chineseCounting"/>
      <w:suff w:val="nothing"/>
      <w:lvlText w:val="（%1）"/>
      <w:lvlJc w:val="left"/>
      <w:pPr>
        <w:ind w:left="0" w:firstLine="420"/>
      </w:pPr>
      <w:rPr>
        <w:rFonts w:hint="eastAsia"/>
      </w:rPr>
    </w:lvl>
  </w:abstractNum>
  <w:abstractNum w:abstractNumId="7">
    <w:nsid w:val="632162EF"/>
    <w:multiLevelType w:val="singleLevel"/>
    <w:tmpl w:val="632162EF"/>
    <w:lvl w:ilvl="0" w:tentative="0">
      <w:start w:val="2"/>
      <w:numFmt w:val="decimal"/>
      <w:suff w:val="nothing"/>
      <w:lvlText w:val="（%1）"/>
      <w:lvlJc w:val="left"/>
    </w:lvl>
  </w:abstractNum>
  <w:num w:numId="1">
    <w:abstractNumId w:val="0"/>
  </w:num>
  <w:num w:numId="2">
    <w:abstractNumId w:val="7"/>
  </w:num>
  <w:num w:numId="3">
    <w:abstractNumId w:val="4"/>
  </w:num>
  <w:num w:numId="4">
    <w:abstractNumId w:val="6"/>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Dg5ZDEzMTE4NThkZjlhZjExNzQwYmQwMzAyYjIifQ=="/>
  </w:docVars>
  <w:rsids>
    <w:rsidRoot w:val="008710C9"/>
    <w:rsid w:val="00000E2E"/>
    <w:rsid w:val="0000228E"/>
    <w:rsid w:val="00003305"/>
    <w:rsid w:val="000040E4"/>
    <w:rsid w:val="000047D8"/>
    <w:rsid w:val="000067B9"/>
    <w:rsid w:val="00006FE7"/>
    <w:rsid w:val="00011198"/>
    <w:rsid w:val="0001340C"/>
    <w:rsid w:val="000137C1"/>
    <w:rsid w:val="00013BD3"/>
    <w:rsid w:val="00014366"/>
    <w:rsid w:val="000151F4"/>
    <w:rsid w:val="000203DC"/>
    <w:rsid w:val="00020417"/>
    <w:rsid w:val="0002086F"/>
    <w:rsid w:val="00021517"/>
    <w:rsid w:val="0002199B"/>
    <w:rsid w:val="0002380C"/>
    <w:rsid w:val="000247C2"/>
    <w:rsid w:val="0002519F"/>
    <w:rsid w:val="00026125"/>
    <w:rsid w:val="000265E8"/>
    <w:rsid w:val="00026B3F"/>
    <w:rsid w:val="00026E7D"/>
    <w:rsid w:val="0002792E"/>
    <w:rsid w:val="00027CF4"/>
    <w:rsid w:val="000306E8"/>
    <w:rsid w:val="00031808"/>
    <w:rsid w:val="00032E81"/>
    <w:rsid w:val="0003388F"/>
    <w:rsid w:val="000338EE"/>
    <w:rsid w:val="00033E63"/>
    <w:rsid w:val="0003557A"/>
    <w:rsid w:val="00035E90"/>
    <w:rsid w:val="000361CE"/>
    <w:rsid w:val="0003621E"/>
    <w:rsid w:val="00036E3B"/>
    <w:rsid w:val="000375F4"/>
    <w:rsid w:val="00040C34"/>
    <w:rsid w:val="00045205"/>
    <w:rsid w:val="000454A6"/>
    <w:rsid w:val="00045BFB"/>
    <w:rsid w:val="0004677C"/>
    <w:rsid w:val="000474A5"/>
    <w:rsid w:val="000477BF"/>
    <w:rsid w:val="000478C9"/>
    <w:rsid w:val="0005078B"/>
    <w:rsid w:val="00050804"/>
    <w:rsid w:val="000509FF"/>
    <w:rsid w:val="00052855"/>
    <w:rsid w:val="000532AE"/>
    <w:rsid w:val="000537BB"/>
    <w:rsid w:val="00053F5F"/>
    <w:rsid w:val="00054298"/>
    <w:rsid w:val="00055015"/>
    <w:rsid w:val="00055669"/>
    <w:rsid w:val="00057B7D"/>
    <w:rsid w:val="0006039E"/>
    <w:rsid w:val="00060526"/>
    <w:rsid w:val="000609F5"/>
    <w:rsid w:val="00061427"/>
    <w:rsid w:val="000622F7"/>
    <w:rsid w:val="000627CE"/>
    <w:rsid w:val="00062944"/>
    <w:rsid w:val="00062BF6"/>
    <w:rsid w:val="000644D2"/>
    <w:rsid w:val="00064806"/>
    <w:rsid w:val="00066AD1"/>
    <w:rsid w:val="00067694"/>
    <w:rsid w:val="00067871"/>
    <w:rsid w:val="00067C0E"/>
    <w:rsid w:val="00067E66"/>
    <w:rsid w:val="00067EFF"/>
    <w:rsid w:val="0007002B"/>
    <w:rsid w:val="00070292"/>
    <w:rsid w:val="00072C5C"/>
    <w:rsid w:val="000732F4"/>
    <w:rsid w:val="00075CBB"/>
    <w:rsid w:val="0007616B"/>
    <w:rsid w:val="000763D3"/>
    <w:rsid w:val="000768F3"/>
    <w:rsid w:val="00076C8E"/>
    <w:rsid w:val="0007709F"/>
    <w:rsid w:val="00077BF9"/>
    <w:rsid w:val="00077F79"/>
    <w:rsid w:val="00080B7E"/>
    <w:rsid w:val="00081DCA"/>
    <w:rsid w:val="00082E2C"/>
    <w:rsid w:val="000832C1"/>
    <w:rsid w:val="00083B17"/>
    <w:rsid w:val="00083B5F"/>
    <w:rsid w:val="00084B0E"/>
    <w:rsid w:val="000857B9"/>
    <w:rsid w:val="00085E0F"/>
    <w:rsid w:val="00086462"/>
    <w:rsid w:val="00086B63"/>
    <w:rsid w:val="000901A3"/>
    <w:rsid w:val="00090950"/>
    <w:rsid w:val="00090A9C"/>
    <w:rsid w:val="00090B43"/>
    <w:rsid w:val="00093456"/>
    <w:rsid w:val="000934E3"/>
    <w:rsid w:val="00093AF5"/>
    <w:rsid w:val="00093EAD"/>
    <w:rsid w:val="00093F6F"/>
    <w:rsid w:val="00094408"/>
    <w:rsid w:val="00096572"/>
    <w:rsid w:val="00097642"/>
    <w:rsid w:val="00097770"/>
    <w:rsid w:val="00097B8F"/>
    <w:rsid w:val="000A0278"/>
    <w:rsid w:val="000A0701"/>
    <w:rsid w:val="000A0B64"/>
    <w:rsid w:val="000A15C5"/>
    <w:rsid w:val="000A1DB2"/>
    <w:rsid w:val="000A2B04"/>
    <w:rsid w:val="000A33D8"/>
    <w:rsid w:val="000A39AA"/>
    <w:rsid w:val="000A4422"/>
    <w:rsid w:val="000A4948"/>
    <w:rsid w:val="000A4949"/>
    <w:rsid w:val="000A4DB9"/>
    <w:rsid w:val="000A4F35"/>
    <w:rsid w:val="000A53B2"/>
    <w:rsid w:val="000A6421"/>
    <w:rsid w:val="000A670B"/>
    <w:rsid w:val="000A6775"/>
    <w:rsid w:val="000A6807"/>
    <w:rsid w:val="000A74C1"/>
    <w:rsid w:val="000B0839"/>
    <w:rsid w:val="000B1A3E"/>
    <w:rsid w:val="000B23DA"/>
    <w:rsid w:val="000B2765"/>
    <w:rsid w:val="000B31B2"/>
    <w:rsid w:val="000B5512"/>
    <w:rsid w:val="000C1CAF"/>
    <w:rsid w:val="000C5C6A"/>
    <w:rsid w:val="000C6335"/>
    <w:rsid w:val="000C644F"/>
    <w:rsid w:val="000C7806"/>
    <w:rsid w:val="000D02B8"/>
    <w:rsid w:val="000D05F2"/>
    <w:rsid w:val="000D1324"/>
    <w:rsid w:val="000D19A6"/>
    <w:rsid w:val="000D2828"/>
    <w:rsid w:val="000D3DB6"/>
    <w:rsid w:val="000D428A"/>
    <w:rsid w:val="000D4412"/>
    <w:rsid w:val="000D4D0C"/>
    <w:rsid w:val="000D5024"/>
    <w:rsid w:val="000D5984"/>
    <w:rsid w:val="000D7A0A"/>
    <w:rsid w:val="000E013C"/>
    <w:rsid w:val="000E043B"/>
    <w:rsid w:val="000E0A52"/>
    <w:rsid w:val="000E40D5"/>
    <w:rsid w:val="000E4F46"/>
    <w:rsid w:val="000E5CBB"/>
    <w:rsid w:val="000E6330"/>
    <w:rsid w:val="000E639A"/>
    <w:rsid w:val="000E6479"/>
    <w:rsid w:val="000E6AD3"/>
    <w:rsid w:val="000E7317"/>
    <w:rsid w:val="000E7760"/>
    <w:rsid w:val="000E7762"/>
    <w:rsid w:val="000E7C7B"/>
    <w:rsid w:val="000F1CEC"/>
    <w:rsid w:val="000F203F"/>
    <w:rsid w:val="000F21E8"/>
    <w:rsid w:val="000F2964"/>
    <w:rsid w:val="000F2FDB"/>
    <w:rsid w:val="000F3420"/>
    <w:rsid w:val="000F3BA5"/>
    <w:rsid w:val="000F6FB8"/>
    <w:rsid w:val="000F7705"/>
    <w:rsid w:val="000F7CC5"/>
    <w:rsid w:val="000F7D27"/>
    <w:rsid w:val="000F7F9E"/>
    <w:rsid w:val="00100056"/>
    <w:rsid w:val="00100891"/>
    <w:rsid w:val="00100B68"/>
    <w:rsid w:val="00100D70"/>
    <w:rsid w:val="00101FFC"/>
    <w:rsid w:val="00105370"/>
    <w:rsid w:val="00105559"/>
    <w:rsid w:val="00106646"/>
    <w:rsid w:val="00107261"/>
    <w:rsid w:val="001072F7"/>
    <w:rsid w:val="001079E2"/>
    <w:rsid w:val="00107C98"/>
    <w:rsid w:val="00110ED6"/>
    <w:rsid w:val="00111CA2"/>
    <w:rsid w:val="001122F0"/>
    <w:rsid w:val="00113716"/>
    <w:rsid w:val="00114829"/>
    <w:rsid w:val="00114B34"/>
    <w:rsid w:val="0012088A"/>
    <w:rsid w:val="00120DBF"/>
    <w:rsid w:val="00121560"/>
    <w:rsid w:val="001219DC"/>
    <w:rsid w:val="00121BC2"/>
    <w:rsid w:val="00121FD5"/>
    <w:rsid w:val="0012246C"/>
    <w:rsid w:val="00122A41"/>
    <w:rsid w:val="0012374B"/>
    <w:rsid w:val="00124FFF"/>
    <w:rsid w:val="00125660"/>
    <w:rsid w:val="0012673F"/>
    <w:rsid w:val="00127F84"/>
    <w:rsid w:val="001316BC"/>
    <w:rsid w:val="001318D6"/>
    <w:rsid w:val="00133240"/>
    <w:rsid w:val="0013424B"/>
    <w:rsid w:val="00134F0F"/>
    <w:rsid w:val="001352F7"/>
    <w:rsid w:val="001368F5"/>
    <w:rsid w:val="00137F4A"/>
    <w:rsid w:val="001407C1"/>
    <w:rsid w:val="001411D4"/>
    <w:rsid w:val="00141247"/>
    <w:rsid w:val="00143BAD"/>
    <w:rsid w:val="00144DF9"/>
    <w:rsid w:val="0014773F"/>
    <w:rsid w:val="001478A1"/>
    <w:rsid w:val="00150B78"/>
    <w:rsid w:val="00150BDC"/>
    <w:rsid w:val="00151212"/>
    <w:rsid w:val="00151682"/>
    <w:rsid w:val="00151B2D"/>
    <w:rsid w:val="00153D9B"/>
    <w:rsid w:val="00157B8B"/>
    <w:rsid w:val="00160C8E"/>
    <w:rsid w:val="001610B9"/>
    <w:rsid w:val="00162412"/>
    <w:rsid w:val="00163430"/>
    <w:rsid w:val="0016437B"/>
    <w:rsid w:val="00164A2B"/>
    <w:rsid w:val="00165F30"/>
    <w:rsid w:val="0016609D"/>
    <w:rsid w:val="00166C61"/>
    <w:rsid w:val="00166F2C"/>
    <w:rsid w:val="001706C1"/>
    <w:rsid w:val="0017358B"/>
    <w:rsid w:val="001745E7"/>
    <w:rsid w:val="001755F2"/>
    <w:rsid w:val="00177306"/>
    <w:rsid w:val="001810C5"/>
    <w:rsid w:val="001814F6"/>
    <w:rsid w:val="00182937"/>
    <w:rsid w:val="001835BD"/>
    <w:rsid w:val="001836CF"/>
    <w:rsid w:val="0018390C"/>
    <w:rsid w:val="0018517B"/>
    <w:rsid w:val="0019019E"/>
    <w:rsid w:val="00190C23"/>
    <w:rsid w:val="00191FF1"/>
    <w:rsid w:val="00192613"/>
    <w:rsid w:val="00192666"/>
    <w:rsid w:val="0019291E"/>
    <w:rsid w:val="001938CB"/>
    <w:rsid w:val="00193BC2"/>
    <w:rsid w:val="00193ED3"/>
    <w:rsid w:val="00197B77"/>
    <w:rsid w:val="001A16C8"/>
    <w:rsid w:val="001A29F3"/>
    <w:rsid w:val="001A4A8C"/>
    <w:rsid w:val="001A62A7"/>
    <w:rsid w:val="001A6A57"/>
    <w:rsid w:val="001A7633"/>
    <w:rsid w:val="001B114E"/>
    <w:rsid w:val="001B18BB"/>
    <w:rsid w:val="001B1C94"/>
    <w:rsid w:val="001B1DFF"/>
    <w:rsid w:val="001B2D5E"/>
    <w:rsid w:val="001B391E"/>
    <w:rsid w:val="001B418C"/>
    <w:rsid w:val="001B63B7"/>
    <w:rsid w:val="001B79AB"/>
    <w:rsid w:val="001C0828"/>
    <w:rsid w:val="001C1888"/>
    <w:rsid w:val="001C30B4"/>
    <w:rsid w:val="001C359F"/>
    <w:rsid w:val="001C39EC"/>
    <w:rsid w:val="001C4335"/>
    <w:rsid w:val="001C5415"/>
    <w:rsid w:val="001C7C1D"/>
    <w:rsid w:val="001C7D0A"/>
    <w:rsid w:val="001D0CAA"/>
    <w:rsid w:val="001D1547"/>
    <w:rsid w:val="001D3087"/>
    <w:rsid w:val="001D3CD0"/>
    <w:rsid w:val="001D4AC9"/>
    <w:rsid w:val="001D53D5"/>
    <w:rsid w:val="001D56E3"/>
    <w:rsid w:val="001D6938"/>
    <w:rsid w:val="001E0F40"/>
    <w:rsid w:val="001E5681"/>
    <w:rsid w:val="001E5D91"/>
    <w:rsid w:val="001E5E24"/>
    <w:rsid w:val="001E5F15"/>
    <w:rsid w:val="001F14D4"/>
    <w:rsid w:val="001F158A"/>
    <w:rsid w:val="001F317A"/>
    <w:rsid w:val="001F385B"/>
    <w:rsid w:val="001F40E6"/>
    <w:rsid w:val="001F4DDA"/>
    <w:rsid w:val="001F539E"/>
    <w:rsid w:val="001F5524"/>
    <w:rsid w:val="001F5B9D"/>
    <w:rsid w:val="001F686F"/>
    <w:rsid w:val="001F7CA4"/>
    <w:rsid w:val="002003DE"/>
    <w:rsid w:val="00201E85"/>
    <w:rsid w:val="00202FA2"/>
    <w:rsid w:val="0020329F"/>
    <w:rsid w:val="002048F6"/>
    <w:rsid w:val="00204F26"/>
    <w:rsid w:val="00205234"/>
    <w:rsid w:val="00205F50"/>
    <w:rsid w:val="00212033"/>
    <w:rsid w:val="00212932"/>
    <w:rsid w:val="00214447"/>
    <w:rsid w:val="0021605D"/>
    <w:rsid w:val="00217AE1"/>
    <w:rsid w:val="00220CD4"/>
    <w:rsid w:val="002212BC"/>
    <w:rsid w:val="0022192F"/>
    <w:rsid w:val="00222401"/>
    <w:rsid w:val="00223D4C"/>
    <w:rsid w:val="0022529B"/>
    <w:rsid w:val="00225614"/>
    <w:rsid w:val="00226E03"/>
    <w:rsid w:val="002274C8"/>
    <w:rsid w:val="00227EF4"/>
    <w:rsid w:val="0023105E"/>
    <w:rsid w:val="0023221C"/>
    <w:rsid w:val="002343DC"/>
    <w:rsid w:val="00235704"/>
    <w:rsid w:val="002368ED"/>
    <w:rsid w:val="0023717E"/>
    <w:rsid w:val="0023774C"/>
    <w:rsid w:val="00240D28"/>
    <w:rsid w:val="00243AE3"/>
    <w:rsid w:val="00243B1A"/>
    <w:rsid w:val="00245290"/>
    <w:rsid w:val="0024576D"/>
    <w:rsid w:val="00245879"/>
    <w:rsid w:val="00245C65"/>
    <w:rsid w:val="00246EB2"/>
    <w:rsid w:val="00251780"/>
    <w:rsid w:val="00251953"/>
    <w:rsid w:val="00252C3C"/>
    <w:rsid w:val="00253BFC"/>
    <w:rsid w:val="00255E23"/>
    <w:rsid w:val="00256278"/>
    <w:rsid w:val="00257198"/>
    <w:rsid w:val="00257870"/>
    <w:rsid w:val="0025799C"/>
    <w:rsid w:val="00260D18"/>
    <w:rsid w:val="002610AB"/>
    <w:rsid w:val="00264C71"/>
    <w:rsid w:val="002650F4"/>
    <w:rsid w:val="0026592E"/>
    <w:rsid w:val="00270E0A"/>
    <w:rsid w:val="00270E73"/>
    <w:rsid w:val="00270EFC"/>
    <w:rsid w:val="002718CB"/>
    <w:rsid w:val="00271B1F"/>
    <w:rsid w:val="00271C36"/>
    <w:rsid w:val="00274D1F"/>
    <w:rsid w:val="002752A7"/>
    <w:rsid w:val="002753E6"/>
    <w:rsid w:val="00277CDA"/>
    <w:rsid w:val="00277EB5"/>
    <w:rsid w:val="00280465"/>
    <w:rsid w:val="002808F5"/>
    <w:rsid w:val="00280C5F"/>
    <w:rsid w:val="00281043"/>
    <w:rsid w:val="00281C07"/>
    <w:rsid w:val="00281D4D"/>
    <w:rsid w:val="002820FD"/>
    <w:rsid w:val="0028233B"/>
    <w:rsid w:val="00282B0F"/>
    <w:rsid w:val="002830AD"/>
    <w:rsid w:val="00283DB8"/>
    <w:rsid w:val="00285163"/>
    <w:rsid w:val="0028653D"/>
    <w:rsid w:val="00286E7B"/>
    <w:rsid w:val="0028700B"/>
    <w:rsid w:val="00287268"/>
    <w:rsid w:val="0028747F"/>
    <w:rsid w:val="002916E7"/>
    <w:rsid w:val="0029242B"/>
    <w:rsid w:val="00293E1A"/>
    <w:rsid w:val="0029562C"/>
    <w:rsid w:val="00295641"/>
    <w:rsid w:val="00295AEF"/>
    <w:rsid w:val="00296133"/>
    <w:rsid w:val="002A040C"/>
    <w:rsid w:val="002A049C"/>
    <w:rsid w:val="002A0B18"/>
    <w:rsid w:val="002A1E5D"/>
    <w:rsid w:val="002A230D"/>
    <w:rsid w:val="002A26CC"/>
    <w:rsid w:val="002A2709"/>
    <w:rsid w:val="002A3643"/>
    <w:rsid w:val="002A579A"/>
    <w:rsid w:val="002A5A88"/>
    <w:rsid w:val="002A62F6"/>
    <w:rsid w:val="002A6D73"/>
    <w:rsid w:val="002B0000"/>
    <w:rsid w:val="002B0E3C"/>
    <w:rsid w:val="002B27A0"/>
    <w:rsid w:val="002B2E2D"/>
    <w:rsid w:val="002B3749"/>
    <w:rsid w:val="002B4283"/>
    <w:rsid w:val="002B437D"/>
    <w:rsid w:val="002B60F2"/>
    <w:rsid w:val="002C068C"/>
    <w:rsid w:val="002C1C97"/>
    <w:rsid w:val="002C1FEC"/>
    <w:rsid w:val="002C29EF"/>
    <w:rsid w:val="002C2F30"/>
    <w:rsid w:val="002C46AB"/>
    <w:rsid w:val="002C4819"/>
    <w:rsid w:val="002C4D53"/>
    <w:rsid w:val="002C4E1C"/>
    <w:rsid w:val="002C5611"/>
    <w:rsid w:val="002C5653"/>
    <w:rsid w:val="002C5CC4"/>
    <w:rsid w:val="002C5D72"/>
    <w:rsid w:val="002C67A7"/>
    <w:rsid w:val="002C6E95"/>
    <w:rsid w:val="002D20BD"/>
    <w:rsid w:val="002D28C6"/>
    <w:rsid w:val="002D3D49"/>
    <w:rsid w:val="002E00DB"/>
    <w:rsid w:val="002E014D"/>
    <w:rsid w:val="002E1D40"/>
    <w:rsid w:val="002E30A8"/>
    <w:rsid w:val="002E3120"/>
    <w:rsid w:val="002E457D"/>
    <w:rsid w:val="002E538D"/>
    <w:rsid w:val="002E54B3"/>
    <w:rsid w:val="002E566D"/>
    <w:rsid w:val="002E647A"/>
    <w:rsid w:val="002E6A34"/>
    <w:rsid w:val="002E6F16"/>
    <w:rsid w:val="002F1088"/>
    <w:rsid w:val="002F2BB7"/>
    <w:rsid w:val="002F677B"/>
    <w:rsid w:val="002F67DE"/>
    <w:rsid w:val="00301C74"/>
    <w:rsid w:val="00302DD9"/>
    <w:rsid w:val="003034BC"/>
    <w:rsid w:val="00303528"/>
    <w:rsid w:val="003037F7"/>
    <w:rsid w:val="0030498A"/>
    <w:rsid w:val="00304E4F"/>
    <w:rsid w:val="00305A6E"/>
    <w:rsid w:val="00305EB2"/>
    <w:rsid w:val="00305F6A"/>
    <w:rsid w:val="0030609B"/>
    <w:rsid w:val="003079C0"/>
    <w:rsid w:val="0031001E"/>
    <w:rsid w:val="00310EBE"/>
    <w:rsid w:val="00313328"/>
    <w:rsid w:val="00314203"/>
    <w:rsid w:val="00314BD3"/>
    <w:rsid w:val="003152C3"/>
    <w:rsid w:val="00315A14"/>
    <w:rsid w:val="003165FC"/>
    <w:rsid w:val="00316B53"/>
    <w:rsid w:val="00316CD9"/>
    <w:rsid w:val="00316DCF"/>
    <w:rsid w:val="0032048D"/>
    <w:rsid w:val="003225AD"/>
    <w:rsid w:val="00322EFD"/>
    <w:rsid w:val="0032340A"/>
    <w:rsid w:val="00323F21"/>
    <w:rsid w:val="0032474C"/>
    <w:rsid w:val="003249C4"/>
    <w:rsid w:val="00326BFD"/>
    <w:rsid w:val="00330CB5"/>
    <w:rsid w:val="0033140F"/>
    <w:rsid w:val="003314A8"/>
    <w:rsid w:val="00331D8F"/>
    <w:rsid w:val="00331FE3"/>
    <w:rsid w:val="00332618"/>
    <w:rsid w:val="00332879"/>
    <w:rsid w:val="0033291A"/>
    <w:rsid w:val="0033323C"/>
    <w:rsid w:val="003332D9"/>
    <w:rsid w:val="003333B9"/>
    <w:rsid w:val="00334470"/>
    <w:rsid w:val="00335466"/>
    <w:rsid w:val="003370CE"/>
    <w:rsid w:val="00340286"/>
    <w:rsid w:val="00341C91"/>
    <w:rsid w:val="00342A11"/>
    <w:rsid w:val="0034303E"/>
    <w:rsid w:val="003433A5"/>
    <w:rsid w:val="00343B6E"/>
    <w:rsid w:val="003447E2"/>
    <w:rsid w:val="0034486F"/>
    <w:rsid w:val="00346128"/>
    <w:rsid w:val="00347105"/>
    <w:rsid w:val="0034752E"/>
    <w:rsid w:val="003479F9"/>
    <w:rsid w:val="00347FB1"/>
    <w:rsid w:val="00350BAE"/>
    <w:rsid w:val="003510D3"/>
    <w:rsid w:val="003516AA"/>
    <w:rsid w:val="00351D37"/>
    <w:rsid w:val="003539D1"/>
    <w:rsid w:val="00353DD1"/>
    <w:rsid w:val="003561D1"/>
    <w:rsid w:val="003561ED"/>
    <w:rsid w:val="00360A93"/>
    <w:rsid w:val="00360CC2"/>
    <w:rsid w:val="00362E06"/>
    <w:rsid w:val="00364CB6"/>
    <w:rsid w:val="00365BE0"/>
    <w:rsid w:val="00365C39"/>
    <w:rsid w:val="0036633A"/>
    <w:rsid w:val="00366B7A"/>
    <w:rsid w:val="00367343"/>
    <w:rsid w:val="00367D06"/>
    <w:rsid w:val="0037073A"/>
    <w:rsid w:val="00371DE2"/>
    <w:rsid w:val="00372031"/>
    <w:rsid w:val="003722E5"/>
    <w:rsid w:val="00372F57"/>
    <w:rsid w:val="00373405"/>
    <w:rsid w:val="0037364F"/>
    <w:rsid w:val="00374177"/>
    <w:rsid w:val="003741DC"/>
    <w:rsid w:val="00375747"/>
    <w:rsid w:val="003764A4"/>
    <w:rsid w:val="00376CF2"/>
    <w:rsid w:val="00376EE1"/>
    <w:rsid w:val="00377C7D"/>
    <w:rsid w:val="003801C3"/>
    <w:rsid w:val="0038041B"/>
    <w:rsid w:val="003812FA"/>
    <w:rsid w:val="003817F6"/>
    <w:rsid w:val="003819AE"/>
    <w:rsid w:val="0038293C"/>
    <w:rsid w:val="00383244"/>
    <w:rsid w:val="00383ABF"/>
    <w:rsid w:val="00384110"/>
    <w:rsid w:val="00384AA0"/>
    <w:rsid w:val="00385DEA"/>
    <w:rsid w:val="00386FD0"/>
    <w:rsid w:val="00387A5A"/>
    <w:rsid w:val="00392354"/>
    <w:rsid w:val="00393A5E"/>
    <w:rsid w:val="00394569"/>
    <w:rsid w:val="00394F1B"/>
    <w:rsid w:val="0039535B"/>
    <w:rsid w:val="00396D37"/>
    <w:rsid w:val="0039759C"/>
    <w:rsid w:val="00397D3A"/>
    <w:rsid w:val="003A0A53"/>
    <w:rsid w:val="003A0FB9"/>
    <w:rsid w:val="003A15A1"/>
    <w:rsid w:val="003A15DE"/>
    <w:rsid w:val="003A1E99"/>
    <w:rsid w:val="003A2B86"/>
    <w:rsid w:val="003A33DC"/>
    <w:rsid w:val="003A3AEC"/>
    <w:rsid w:val="003A43D5"/>
    <w:rsid w:val="003A552C"/>
    <w:rsid w:val="003B069E"/>
    <w:rsid w:val="003B46A0"/>
    <w:rsid w:val="003B4F7E"/>
    <w:rsid w:val="003B69B9"/>
    <w:rsid w:val="003C0807"/>
    <w:rsid w:val="003C2500"/>
    <w:rsid w:val="003C25BF"/>
    <w:rsid w:val="003C2AA1"/>
    <w:rsid w:val="003C2CB1"/>
    <w:rsid w:val="003C3561"/>
    <w:rsid w:val="003C41A4"/>
    <w:rsid w:val="003C424C"/>
    <w:rsid w:val="003C4A05"/>
    <w:rsid w:val="003C5B22"/>
    <w:rsid w:val="003C661E"/>
    <w:rsid w:val="003C6B25"/>
    <w:rsid w:val="003C6B87"/>
    <w:rsid w:val="003C716F"/>
    <w:rsid w:val="003C767E"/>
    <w:rsid w:val="003C79ED"/>
    <w:rsid w:val="003D20FA"/>
    <w:rsid w:val="003D466D"/>
    <w:rsid w:val="003D48B3"/>
    <w:rsid w:val="003D4E0C"/>
    <w:rsid w:val="003D678E"/>
    <w:rsid w:val="003D6E9E"/>
    <w:rsid w:val="003D704B"/>
    <w:rsid w:val="003D7516"/>
    <w:rsid w:val="003D773B"/>
    <w:rsid w:val="003D7DA4"/>
    <w:rsid w:val="003E042F"/>
    <w:rsid w:val="003E154C"/>
    <w:rsid w:val="003E1823"/>
    <w:rsid w:val="003E1AA6"/>
    <w:rsid w:val="003E2B9F"/>
    <w:rsid w:val="003E67B4"/>
    <w:rsid w:val="003F0556"/>
    <w:rsid w:val="003F0629"/>
    <w:rsid w:val="003F2067"/>
    <w:rsid w:val="003F26AD"/>
    <w:rsid w:val="003F31A4"/>
    <w:rsid w:val="003F3B22"/>
    <w:rsid w:val="003F4C30"/>
    <w:rsid w:val="003F4EC8"/>
    <w:rsid w:val="003F7C1F"/>
    <w:rsid w:val="00400ADF"/>
    <w:rsid w:val="00400E20"/>
    <w:rsid w:val="00400FC3"/>
    <w:rsid w:val="0040232E"/>
    <w:rsid w:val="00402415"/>
    <w:rsid w:val="0040269E"/>
    <w:rsid w:val="00402947"/>
    <w:rsid w:val="00403294"/>
    <w:rsid w:val="0040464D"/>
    <w:rsid w:val="00404A5A"/>
    <w:rsid w:val="004062ED"/>
    <w:rsid w:val="004062F4"/>
    <w:rsid w:val="00410BDD"/>
    <w:rsid w:val="004124A6"/>
    <w:rsid w:val="00412B25"/>
    <w:rsid w:val="00414AE9"/>
    <w:rsid w:val="00415107"/>
    <w:rsid w:val="0041538F"/>
    <w:rsid w:val="004164FF"/>
    <w:rsid w:val="0042070D"/>
    <w:rsid w:val="00420DDE"/>
    <w:rsid w:val="0042145B"/>
    <w:rsid w:val="004214F9"/>
    <w:rsid w:val="0042197C"/>
    <w:rsid w:val="004220A4"/>
    <w:rsid w:val="0042249F"/>
    <w:rsid w:val="00422571"/>
    <w:rsid w:val="00423F27"/>
    <w:rsid w:val="00425100"/>
    <w:rsid w:val="004254D0"/>
    <w:rsid w:val="0042736A"/>
    <w:rsid w:val="00427A22"/>
    <w:rsid w:val="0043055B"/>
    <w:rsid w:val="0043229F"/>
    <w:rsid w:val="00432AC8"/>
    <w:rsid w:val="00432CD2"/>
    <w:rsid w:val="00432DFA"/>
    <w:rsid w:val="00433DD1"/>
    <w:rsid w:val="00435849"/>
    <w:rsid w:val="00436A07"/>
    <w:rsid w:val="00440742"/>
    <w:rsid w:val="00440F99"/>
    <w:rsid w:val="004412B8"/>
    <w:rsid w:val="00441B99"/>
    <w:rsid w:val="0044277B"/>
    <w:rsid w:val="00444D42"/>
    <w:rsid w:val="0044638F"/>
    <w:rsid w:val="00446D1D"/>
    <w:rsid w:val="004477F3"/>
    <w:rsid w:val="004517D4"/>
    <w:rsid w:val="004524EA"/>
    <w:rsid w:val="00454FAB"/>
    <w:rsid w:val="00455254"/>
    <w:rsid w:val="004553C1"/>
    <w:rsid w:val="00455668"/>
    <w:rsid w:val="00455950"/>
    <w:rsid w:val="00455BD3"/>
    <w:rsid w:val="00456B86"/>
    <w:rsid w:val="00456F27"/>
    <w:rsid w:val="00460AD6"/>
    <w:rsid w:val="00460CE3"/>
    <w:rsid w:val="00460D3B"/>
    <w:rsid w:val="004616B9"/>
    <w:rsid w:val="00461796"/>
    <w:rsid w:val="00461C49"/>
    <w:rsid w:val="004622C9"/>
    <w:rsid w:val="0046231B"/>
    <w:rsid w:val="00463B19"/>
    <w:rsid w:val="00466107"/>
    <w:rsid w:val="00466AEA"/>
    <w:rsid w:val="0047007B"/>
    <w:rsid w:val="00471698"/>
    <w:rsid w:val="00472832"/>
    <w:rsid w:val="004734FC"/>
    <w:rsid w:val="00473F76"/>
    <w:rsid w:val="00475718"/>
    <w:rsid w:val="0047654D"/>
    <w:rsid w:val="004777A1"/>
    <w:rsid w:val="00477FDD"/>
    <w:rsid w:val="00480A45"/>
    <w:rsid w:val="004821CD"/>
    <w:rsid w:val="00482296"/>
    <w:rsid w:val="004839B1"/>
    <w:rsid w:val="004866F3"/>
    <w:rsid w:val="00486A48"/>
    <w:rsid w:val="00486D75"/>
    <w:rsid w:val="0048768E"/>
    <w:rsid w:val="0048790D"/>
    <w:rsid w:val="00487BD1"/>
    <w:rsid w:val="00490ED4"/>
    <w:rsid w:val="0049101B"/>
    <w:rsid w:val="00491090"/>
    <w:rsid w:val="00491165"/>
    <w:rsid w:val="00491A0E"/>
    <w:rsid w:val="0049261C"/>
    <w:rsid w:val="00492BEE"/>
    <w:rsid w:val="00493803"/>
    <w:rsid w:val="00493CCC"/>
    <w:rsid w:val="00494844"/>
    <w:rsid w:val="004961A5"/>
    <w:rsid w:val="00496F8F"/>
    <w:rsid w:val="00497A30"/>
    <w:rsid w:val="00497EF2"/>
    <w:rsid w:val="004A1009"/>
    <w:rsid w:val="004A10A6"/>
    <w:rsid w:val="004A149A"/>
    <w:rsid w:val="004A19DB"/>
    <w:rsid w:val="004A19F5"/>
    <w:rsid w:val="004A20DD"/>
    <w:rsid w:val="004A288B"/>
    <w:rsid w:val="004A3E41"/>
    <w:rsid w:val="004A3EBB"/>
    <w:rsid w:val="004A4ABE"/>
    <w:rsid w:val="004A7088"/>
    <w:rsid w:val="004A7863"/>
    <w:rsid w:val="004B04D3"/>
    <w:rsid w:val="004B104E"/>
    <w:rsid w:val="004B150C"/>
    <w:rsid w:val="004B222E"/>
    <w:rsid w:val="004B32D2"/>
    <w:rsid w:val="004B7926"/>
    <w:rsid w:val="004B7E4E"/>
    <w:rsid w:val="004B7EC3"/>
    <w:rsid w:val="004C0106"/>
    <w:rsid w:val="004C0B47"/>
    <w:rsid w:val="004C0BE4"/>
    <w:rsid w:val="004C170D"/>
    <w:rsid w:val="004C267B"/>
    <w:rsid w:val="004C3185"/>
    <w:rsid w:val="004C33C9"/>
    <w:rsid w:val="004C426C"/>
    <w:rsid w:val="004C62E2"/>
    <w:rsid w:val="004C6EF1"/>
    <w:rsid w:val="004C6F31"/>
    <w:rsid w:val="004C7149"/>
    <w:rsid w:val="004C7FBF"/>
    <w:rsid w:val="004D2B55"/>
    <w:rsid w:val="004D31E5"/>
    <w:rsid w:val="004D32D5"/>
    <w:rsid w:val="004D4C8B"/>
    <w:rsid w:val="004D51CC"/>
    <w:rsid w:val="004D53CE"/>
    <w:rsid w:val="004D59AE"/>
    <w:rsid w:val="004D6413"/>
    <w:rsid w:val="004D7EE3"/>
    <w:rsid w:val="004E18D1"/>
    <w:rsid w:val="004E472D"/>
    <w:rsid w:val="004E761A"/>
    <w:rsid w:val="004E7D1B"/>
    <w:rsid w:val="004F1052"/>
    <w:rsid w:val="004F1882"/>
    <w:rsid w:val="004F2761"/>
    <w:rsid w:val="004F2BE3"/>
    <w:rsid w:val="004F2E2D"/>
    <w:rsid w:val="004F3A09"/>
    <w:rsid w:val="004F65CC"/>
    <w:rsid w:val="004F691E"/>
    <w:rsid w:val="004F72A4"/>
    <w:rsid w:val="004F72E2"/>
    <w:rsid w:val="004F733A"/>
    <w:rsid w:val="004F74A1"/>
    <w:rsid w:val="004F7921"/>
    <w:rsid w:val="0050115F"/>
    <w:rsid w:val="005013BA"/>
    <w:rsid w:val="005022F9"/>
    <w:rsid w:val="00503E4E"/>
    <w:rsid w:val="005050CE"/>
    <w:rsid w:val="0050580E"/>
    <w:rsid w:val="005063A8"/>
    <w:rsid w:val="005065F6"/>
    <w:rsid w:val="00507646"/>
    <w:rsid w:val="00511A89"/>
    <w:rsid w:val="00512643"/>
    <w:rsid w:val="00512E5A"/>
    <w:rsid w:val="005130A3"/>
    <w:rsid w:val="00513E21"/>
    <w:rsid w:val="00513E4D"/>
    <w:rsid w:val="005141AF"/>
    <w:rsid w:val="005156CD"/>
    <w:rsid w:val="00516583"/>
    <w:rsid w:val="0052031B"/>
    <w:rsid w:val="00521362"/>
    <w:rsid w:val="00521389"/>
    <w:rsid w:val="005228C5"/>
    <w:rsid w:val="00522981"/>
    <w:rsid w:val="00525F27"/>
    <w:rsid w:val="005270D8"/>
    <w:rsid w:val="00530AB9"/>
    <w:rsid w:val="00531A70"/>
    <w:rsid w:val="00532904"/>
    <w:rsid w:val="00533322"/>
    <w:rsid w:val="00533633"/>
    <w:rsid w:val="00535901"/>
    <w:rsid w:val="00536278"/>
    <w:rsid w:val="00536758"/>
    <w:rsid w:val="005412D1"/>
    <w:rsid w:val="005413FE"/>
    <w:rsid w:val="005416B7"/>
    <w:rsid w:val="005418EB"/>
    <w:rsid w:val="0054209E"/>
    <w:rsid w:val="00542BBB"/>
    <w:rsid w:val="00544A65"/>
    <w:rsid w:val="00545217"/>
    <w:rsid w:val="005457A3"/>
    <w:rsid w:val="005461A9"/>
    <w:rsid w:val="00546A34"/>
    <w:rsid w:val="005505AB"/>
    <w:rsid w:val="00550E89"/>
    <w:rsid w:val="005510FE"/>
    <w:rsid w:val="00551C20"/>
    <w:rsid w:val="0055283C"/>
    <w:rsid w:val="00552978"/>
    <w:rsid w:val="00553212"/>
    <w:rsid w:val="00553EED"/>
    <w:rsid w:val="00553FE4"/>
    <w:rsid w:val="00554262"/>
    <w:rsid w:val="005543CA"/>
    <w:rsid w:val="005544D8"/>
    <w:rsid w:val="00554A9F"/>
    <w:rsid w:val="005550E7"/>
    <w:rsid w:val="005551B8"/>
    <w:rsid w:val="00555819"/>
    <w:rsid w:val="00560B7C"/>
    <w:rsid w:val="00560E02"/>
    <w:rsid w:val="00561A48"/>
    <w:rsid w:val="00561DD6"/>
    <w:rsid w:val="00562F60"/>
    <w:rsid w:val="00565ADC"/>
    <w:rsid w:val="005669D7"/>
    <w:rsid w:val="00566D0B"/>
    <w:rsid w:val="005716AE"/>
    <w:rsid w:val="00571C15"/>
    <w:rsid w:val="00571EDE"/>
    <w:rsid w:val="005721BD"/>
    <w:rsid w:val="0057242C"/>
    <w:rsid w:val="00573952"/>
    <w:rsid w:val="00574463"/>
    <w:rsid w:val="00575B07"/>
    <w:rsid w:val="00576CD1"/>
    <w:rsid w:val="0057727F"/>
    <w:rsid w:val="00577571"/>
    <w:rsid w:val="005779BD"/>
    <w:rsid w:val="00577BB1"/>
    <w:rsid w:val="00580307"/>
    <w:rsid w:val="005813B2"/>
    <w:rsid w:val="00581DC5"/>
    <w:rsid w:val="005822DE"/>
    <w:rsid w:val="00582962"/>
    <w:rsid w:val="00583410"/>
    <w:rsid w:val="00584903"/>
    <w:rsid w:val="0058515E"/>
    <w:rsid w:val="005851AA"/>
    <w:rsid w:val="00585795"/>
    <w:rsid w:val="00586E9D"/>
    <w:rsid w:val="00592A62"/>
    <w:rsid w:val="0059355E"/>
    <w:rsid w:val="00593BCE"/>
    <w:rsid w:val="00593CB6"/>
    <w:rsid w:val="00594C41"/>
    <w:rsid w:val="005957DC"/>
    <w:rsid w:val="00595BD9"/>
    <w:rsid w:val="00597B33"/>
    <w:rsid w:val="005A00D8"/>
    <w:rsid w:val="005A37DB"/>
    <w:rsid w:val="005A389B"/>
    <w:rsid w:val="005A4776"/>
    <w:rsid w:val="005A6768"/>
    <w:rsid w:val="005B0704"/>
    <w:rsid w:val="005B0CCD"/>
    <w:rsid w:val="005B10FF"/>
    <w:rsid w:val="005B18BD"/>
    <w:rsid w:val="005B1E02"/>
    <w:rsid w:val="005B1E3A"/>
    <w:rsid w:val="005B20CD"/>
    <w:rsid w:val="005B25FE"/>
    <w:rsid w:val="005B2BB0"/>
    <w:rsid w:val="005B35E0"/>
    <w:rsid w:val="005B5C04"/>
    <w:rsid w:val="005B5E29"/>
    <w:rsid w:val="005B6543"/>
    <w:rsid w:val="005C0045"/>
    <w:rsid w:val="005C0363"/>
    <w:rsid w:val="005C0590"/>
    <w:rsid w:val="005C0F5F"/>
    <w:rsid w:val="005C0FA4"/>
    <w:rsid w:val="005C1724"/>
    <w:rsid w:val="005C1C3C"/>
    <w:rsid w:val="005C20A7"/>
    <w:rsid w:val="005D06C3"/>
    <w:rsid w:val="005D1847"/>
    <w:rsid w:val="005D22B5"/>
    <w:rsid w:val="005D23E4"/>
    <w:rsid w:val="005D2602"/>
    <w:rsid w:val="005D453A"/>
    <w:rsid w:val="005D46F0"/>
    <w:rsid w:val="005D62BF"/>
    <w:rsid w:val="005D687A"/>
    <w:rsid w:val="005D6CD2"/>
    <w:rsid w:val="005D73DE"/>
    <w:rsid w:val="005D7A77"/>
    <w:rsid w:val="005D7DB9"/>
    <w:rsid w:val="005D7F05"/>
    <w:rsid w:val="005E13ED"/>
    <w:rsid w:val="005E14C8"/>
    <w:rsid w:val="005E2A8B"/>
    <w:rsid w:val="005E4221"/>
    <w:rsid w:val="005F2015"/>
    <w:rsid w:val="005F2149"/>
    <w:rsid w:val="005F2284"/>
    <w:rsid w:val="005F31DF"/>
    <w:rsid w:val="005F3E33"/>
    <w:rsid w:val="005F4FF6"/>
    <w:rsid w:val="005F5797"/>
    <w:rsid w:val="005F5DBA"/>
    <w:rsid w:val="005F5FEA"/>
    <w:rsid w:val="005F663E"/>
    <w:rsid w:val="005F7103"/>
    <w:rsid w:val="00600EC4"/>
    <w:rsid w:val="00601192"/>
    <w:rsid w:val="00601CD7"/>
    <w:rsid w:val="00601E94"/>
    <w:rsid w:val="00602467"/>
    <w:rsid w:val="00603391"/>
    <w:rsid w:val="00604722"/>
    <w:rsid w:val="00605431"/>
    <w:rsid w:val="00605ACD"/>
    <w:rsid w:val="00610168"/>
    <w:rsid w:val="00610F86"/>
    <w:rsid w:val="006110A5"/>
    <w:rsid w:val="00611B65"/>
    <w:rsid w:val="0062037D"/>
    <w:rsid w:val="0062171B"/>
    <w:rsid w:val="00622569"/>
    <w:rsid w:val="00622B77"/>
    <w:rsid w:val="00622FFB"/>
    <w:rsid w:val="006240C0"/>
    <w:rsid w:val="006250DE"/>
    <w:rsid w:val="00625FEB"/>
    <w:rsid w:val="0062630A"/>
    <w:rsid w:val="0062704B"/>
    <w:rsid w:val="00631409"/>
    <w:rsid w:val="006315C2"/>
    <w:rsid w:val="00631D49"/>
    <w:rsid w:val="00631E10"/>
    <w:rsid w:val="006323B6"/>
    <w:rsid w:val="00634B38"/>
    <w:rsid w:val="0063535A"/>
    <w:rsid w:val="00635BC6"/>
    <w:rsid w:val="00637CB3"/>
    <w:rsid w:val="00640447"/>
    <w:rsid w:val="00641037"/>
    <w:rsid w:val="0064112A"/>
    <w:rsid w:val="0064114C"/>
    <w:rsid w:val="00641369"/>
    <w:rsid w:val="00641735"/>
    <w:rsid w:val="00641B40"/>
    <w:rsid w:val="00641C4F"/>
    <w:rsid w:val="00642555"/>
    <w:rsid w:val="00642DF1"/>
    <w:rsid w:val="00643115"/>
    <w:rsid w:val="0064645A"/>
    <w:rsid w:val="00647F2C"/>
    <w:rsid w:val="006509A7"/>
    <w:rsid w:val="006527C5"/>
    <w:rsid w:val="00653C48"/>
    <w:rsid w:val="006548D7"/>
    <w:rsid w:val="00654B34"/>
    <w:rsid w:val="00657042"/>
    <w:rsid w:val="00657729"/>
    <w:rsid w:val="006604C9"/>
    <w:rsid w:val="00660ADC"/>
    <w:rsid w:val="00662105"/>
    <w:rsid w:val="00662541"/>
    <w:rsid w:val="006635F2"/>
    <w:rsid w:val="006654EC"/>
    <w:rsid w:val="006658D2"/>
    <w:rsid w:val="00666CA1"/>
    <w:rsid w:val="006709A7"/>
    <w:rsid w:val="00671AD4"/>
    <w:rsid w:val="00671FE1"/>
    <w:rsid w:val="006726BE"/>
    <w:rsid w:val="00672C9D"/>
    <w:rsid w:val="0067336A"/>
    <w:rsid w:val="00673C07"/>
    <w:rsid w:val="00675D66"/>
    <w:rsid w:val="0067712E"/>
    <w:rsid w:val="006776AA"/>
    <w:rsid w:val="00677AF0"/>
    <w:rsid w:val="00681814"/>
    <w:rsid w:val="00682900"/>
    <w:rsid w:val="00687159"/>
    <w:rsid w:val="0068725E"/>
    <w:rsid w:val="00687C2B"/>
    <w:rsid w:val="00687E55"/>
    <w:rsid w:val="00690390"/>
    <w:rsid w:val="006905C7"/>
    <w:rsid w:val="00691099"/>
    <w:rsid w:val="006922E7"/>
    <w:rsid w:val="00693370"/>
    <w:rsid w:val="0069361C"/>
    <w:rsid w:val="0069426F"/>
    <w:rsid w:val="006947D3"/>
    <w:rsid w:val="00694ACC"/>
    <w:rsid w:val="00695C80"/>
    <w:rsid w:val="0069627F"/>
    <w:rsid w:val="006965C2"/>
    <w:rsid w:val="006965E4"/>
    <w:rsid w:val="00697315"/>
    <w:rsid w:val="00697A3B"/>
    <w:rsid w:val="00697CA7"/>
    <w:rsid w:val="006A03BD"/>
    <w:rsid w:val="006A14BF"/>
    <w:rsid w:val="006A27FA"/>
    <w:rsid w:val="006A3D7B"/>
    <w:rsid w:val="006A4024"/>
    <w:rsid w:val="006A4422"/>
    <w:rsid w:val="006A4522"/>
    <w:rsid w:val="006A49B1"/>
    <w:rsid w:val="006A5E25"/>
    <w:rsid w:val="006A681B"/>
    <w:rsid w:val="006A69BE"/>
    <w:rsid w:val="006A6EBB"/>
    <w:rsid w:val="006B087A"/>
    <w:rsid w:val="006B28DA"/>
    <w:rsid w:val="006B6445"/>
    <w:rsid w:val="006B7961"/>
    <w:rsid w:val="006B7BE0"/>
    <w:rsid w:val="006C00AB"/>
    <w:rsid w:val="006C1459"/>
    <w:rsid w:val="006C2A94"/>
    <w:rsid w:val="006C2DEC"/>
    <w:rsid w:val="006C44C4"/>
    <w:rsid w:val="006C471D"/>
    <w:rsid w:val="006C491C"/>
    <w:rsid w:val="006C58F9"/>
    <w:rsid w:val="006C6898"/>
    <w:rsid w:val="006C6B2B"/>
    <w:rsid w:val="006D02F4"/>
    <w:rsid w:val="006D08B7"/>
    <w:rsid w:val="006D33B6"/>
    <w:rsid w:val="006D3538"/>
    <w:rsid w:val="006D427F"/>
    <w:rsid w:val="006D4324"/>
    <w:rsid w:val="006D4B78"/>
    <w:rsid w:val="006D4EA5"/>
    <w:rsid w:val="006D5785"/>
    <w:rsid w:val="006D59E8"/>
    <w:rsid w:val="006E01A8"/>
    <w:rsid w:val="006E14B9"/>
    <w:rsid w:val="006E1539"/>
    <w:rsid w:val="006E282D"/>
    <w:rsid w:val="006E6382"/>
    <w:rsid w:val="006E6770"/>
    <w:rsid w:val="006E6E76"/>
    <w:rsid w:val="006E7A12"/>
    <w:rsid w:val="006E7B9D"/>
    <w:rsid w:val="006F04F0"/>
    <w:rsid w:val="006F0BDD"/>
    <w:rsid w:val="006F242C"/>
    <w:rsid w:val="006F50ED"/>
    <w:rsid w:val="006F6179"/>
    <w:rsid w:val="006F7B7A"/>
    <w:rsid w:val="00701561"/>
    <w:rsid w:val="007025DC"/>
    <w:rsid w:val="0070264C"/>
    <w:rsid w:val="00703374"/>
    <w:rsid w:val="00704311"/>
    <w:rsid w:val="007043F1"/>
    <w:rsid w:val="00706D02"/>
    <w:rsid w:val="007076DD"/>
    <w:rsid w:val="007078FB"/>
    <w:rsid w:val="00710436"/>
    <w:rsid w:val="0071062B"/>
    <w:rsid w:val="00710EDD"/>
    <w:rsid w:val="007122F0"/>
    <w:rsid w:val="00712DE1"/>
    <w:rsid w:val="00712EE9"/>
    <w:rsid w:val="00713F8E"/>
    <w:rsid w:val="00715353"/>
    <w:rsid w:val="00715451"/>
    <w:rsid w:val="00720812"/>
    <w:rsid w:val="00720F74"/>
    <w:rsid w:val="00720FAB"/>
    <w:rsid w:val="00721F4B"/>
    <w:rsid w:val="00723576"/>
    <w:rsid w:val="00724200"/>
    <w:rsid w:val="0072444D"/>
    <w:rsid w:val="0072458C"/>
    <w:rsid w:val="00727905"/>
    <w:rsid w:val="00731327"/>
    <w:rsid w:val="007313F9"/>
    <w:rsid w:val="00732983"/>
    <w:rsid w:val="0073334C"/>
    <w:rsid w:val="00734099"/>
    <w:rsid w:val="007354F3"/>
    <w:rsid w:val="007356EB"/>
    <w:rsid w:val="007359EB"/>
    <w:rsid w:val="00736029"/>
    <w:rsid w:val="00737111"/>
    <w:rsid w:val="00740F90"/>
    <w:rsid w:val="0074149C"/>
    <w:rsid w:val="007421A3"/>
    <w:rsid w:val="007427FA"/>
    <w:rsid w:val="00744CCD"/>
    <w:rsid w:val="007460E8"/>
    <w:rsid w:val="00746CE0"/>
    <w:rsid w:val="00746D64"/>
    <w:rsid w:val="007472F4"/>
    <w:rsid w:val="0075122A"/>
    <w:rsid w:val="00751A08"/>
    <w:rsid w:val="007542ED"/>
    <w:rsid w:val="00755BDA"/>
    <w:rsid w:val="00755E20"/>
    <w:rsid w:val="0075646E"/>
    <w:rsid w:val="0075680C"/>
    <w:rsid w:val="00756851"/>
    <w:rsid w:val="00756C8F"/>
    <w:rsid w:val="0075745D"/>
    <w:rsid w:val="00757AB6"/>
    <w:rsid w:val="0076117B"/>
    <w:rsid w:val="0076145A"/>
    <w:rsid w:val="00761976"/>
    <w:rsid w:val="00761DD3"/>
    <w:rsid w:val="0076681E"/>
    <w:rsid w:val="00766EFF"/>
    <w:rsid w:val="00767D99"/>
    <w:rsid w:val="00767E2F"/>
    <w:rsid w:val="007741E4"/>
    <w:rsid w:val="00774880"/>
    <w:rsid w:val="00774886"/>
    <w:rsid w:val="00774AB6"/>
    <w:rsid w:val="00774FDA"/>
    <w:rsid w:val="00775082"/>
    <w:rsid w:val="007751C5"/>
    <w:rsid w:val="00775295"/>
    <w:rsid w:val="0077538B"/>
    <w:rsid w:val="00776667"/>
    <w:rsid w:val="00776678"/>
    <w:rsid w:val="00777E59"/>
    <w:rsid w:val="007806A2"/>
    <w:rsid w:val="007809BB"/>
    <w:rsid w:val="00781AA6"/>
    <w:rsid w:val="00784FA1"/>
    <w:rsid w:val="00785703"/>
    <w:rsid w:val="00787F5E"/>
    <w:rsid w:val="00787FC9"/>
    <w:rsid w:val="007902FB"/>
    <w:rsid w:val="007920AD"/>
    <w:rsid w:val="007937C7"/>
    <w:rsid w:val="00794272"/>
    <w:rsid w:val="007943DC"/>
    <w:rsid w:val="00794B0D"/>
    <w:rsid w:val="00795187"/>
    <w:rsid w:val="00795456"/>
    <w:rsid w:val="00796404"/>
    <w:rsid w:val="00796505"/>
    <w:rsid w:val="00797683"/>
    <w:rsid w:val="007A03EF"/>
    <w:rsid w:val="007A0C1B"/>
    <w:rsid w:val="007A3D43"/>
    <w:rsid w:val="007A40B9"/>
    <w:rsid w:val="007A5481"/>
    <w:rsid w:val="007A617C"/>
    <w:rsid w:val="007A78CB"/>
    <w:rsid w:val="007A7E02"/>
    <w:rsid w:val="007B05B0"/>
    <w:rsid w:val="007B2B19"/>
    <w:rsid w:val="007B2ECD"/>
    <w:rsid w:val="007B3111"/>
    <w:rsid w:val="007B3138"/>
    <w:rsid w:val="007B3D83"/>
    <w:rsid w:val="007B705A"/>
    <w:rsid w:val="007B7D7B"/>
    <w:rsid w:val="007C0BAC"/>
    <w:rsid w:val="007C1699"/>
    <w:rsid w:val="007C2833"/>
    <w:rsid w:val="007C3307"/>
    <w:rsid w:val="007C4887"/>
    <w:rsid w:val="007C55AC"/>
    <w:rsid w:val="007C763E"/>
    <w:rsid w:val="007C7946"/>
    <w:rsid w:val="007D02B9"/>
    <w:rsid w:val="007D1852"/>
    <w:rsid w:val="007D27A6"/>
    <w:rsid w:val="007D3CE7"/>
    <w:rsid w:val="007D4058"/>
    <w:rsid w:val="007D4600"/>
    <w:rsid w:val="007D5889"/>
    <w:rsid w:val="007D6087"/>
    <w:rsid w:val="007D6474"/>
    <w:rsid w:val="007E028F"/>
    <w:rsid w:val="007E0846"/>
    <w:rsid w:val="007E0A8D"/>
    <w:rsid w:val="007E0B07"/>
    <w:rsid w:val="007E1933"/>
    <w:rsid w:val="007E2FF9"/>
    <w:rsid w:val="007E3970"/>
    <w:rsid w:val="007E4A9E"/>
    <w:rsid w:val="007E4EC7"/>
    <w:rsid w:val="007E5836"/>
    <w:rsid w:val="007E5B85"/>
    <w:rsid w:val="007E7919"/>
    <w:rsid w:val="007F038C"/>
    <w:rsid w:val="007F0913"/>
    <w:rsid w:val="007F470A"/>
    <w:rsid w:val="00800D12"/>
    <w:rsid w:val="00800FFA"/>
    <w:rsid w:val="008037C5"/>
    <w:rsid w:val="00803AA0"/>
    <w:rsid w:val="00803AEB"/>
    <w:rsid w:val="00804300"/>
    <w:rsid w:val="00805042"/>
    <w:rsid w:val="008053B0"/>
    <w:rsid w:val="00805959"/>
    <w:rsid w:val="00806BD5"/>
    <w:rsid w:val="00810C1C"/>
    <w:rsid w:val="0081287E"/>
    <w:rsid w:val="00813570"/>
    <w:rsid w:val="008136DD"/>
    <w:rsid w:val="00813B78"/>
    <w:rsid w:val="0081613F"/>
    <w:rsid w:val="00816718"/>
    <w:rsid w:val="0082147D"/>
    <w:rsid w:val="0082163C"/>
    <w:rsid w:val="008229BD"/>
    <w:rsid w:val="00822ECB"/>
    <w:rsid w:val="00822FF1"/>
    <w:rsid w:val="00823091"/>
    <w:rsid w:val="008237A6"/>
    <w:rsid w:val="00823D96"/>
    <w:rsid w:val="00824E94"/>
    <w:rsid w:val="008267AA"/>
    <w:rsid w:val="00826970"/>
    <w:rsid w:val="008278E3"/>
    <w:rsid w:val="00830CCE"/>
    <w:rsid w:val="00832C30"/>
    <w:rsid w:val="00832D3B"/>
    <w:rsid w:val="00833B6B"/>
    <w:rsid w:val="0083493F"/>
    <w:rsid w:val="00835848"/>
    <w:rsid w:val="00835C68"/>
    <w:rsid w:val="008363F7"/>
    <w:rsid w:val="00840103"/>
    <w:rsid w:val="00840219"/>
    <w:rsid w:val="00841034"/>
    <w:rsid w:val="00841187"/>
    <w:rsid w:val="008419E9"/>
    <w:rsid w:val="00842AC9"/>
    <w:rsid w:val="00842EE5"/>
    <w:rsid w:val="00843C14"/>
    <w:rsid w:val="00844450"/>
    <w:rsid w:val="00844DAB"/>
    <w:rsid w:val="00846700"/>
    <w:rsid w:val="00846A8B"/>
    <w:rsid w:val="00847B53"/>
    <w:rsid w:val="008503DE"/>
    <w:rsid w:val="00850588"/>
    <w:rsid w:val="00850DC3"/>
    <w:rsid w:val="0085321D"/>
    <w:rsid w:val="00855847"/>
    <w:rsid w:val="00855C51"/>
    <w:rsid w:val="00856D41"/>
    <w:rsid w:val="00856E4D"/>
    <w:rsid w:val="00856ED8"/>
    <w:rsid w:val="0085797C"/>
    <w:rsid w:val="00860DE6"/>
    <w:rsid w:val="00863455"/>
    <w:rsid w:val="0086430C"/>
    <w:rsid w:val="00865C68"/>
    <w:rsid w:val="00866006"/>
    <w:rsid w:val="00866AAF"/>
    <w:rsid w:val="00866D94"/>
    <w:rsid w:val="008704C7"/>
    <w:rsid w:val="008704FB"/>
    <w:rsid w:val="00870FB6"/>
    <w:rsid w:val="008710C9"/>
    <w:rsid w:val="008723C1"/>
    <w:rsid w:val="008725CF"/>
    <w:rsid w:val="00872B99"/>
    <w:rsid w:val="00872CB7"/>
    <w:rsid w:val="00873334"/>
    <w:rsid w:val="0087399D"/>
    <w:rsid w:val="00876431"/>
    <w:rsid w:val="00876551"/>
    <w:rsid w:val="00877B3A"/>
    <w:rsid w:val="00877B50"/>
    <w:rsid w:val="008803E1"/>
    <w:rsid w:val="00880D88"/>
    <w:rsid w:val="008811F9"/>
    <w:rsid w:val="0088134C"/>
    <w:rsid w:val="008825E1"/>
    <w:rsid w:val="00882E14"/>
    <w:rsid w:val="00883122"/>
    <w:rsid w:val="00884A12"/>
    <w:rsid w:val="00887771"/>
    <w:rsid w:val="008879A0"/>
    <w:rsid w:val="00887C4C"/>
    <w:rsid w:val="0089089C"/>
    <w:rsid w:val="00890A20"/>
    <w:rsid w:val="0089170C"/>
    <w:rsid w:val="0089355C"/>
    <w:rsid w:val="00893CE2"/>
    <w:rsid w:val="0089449D"/>
    <w:rsid w:val="00894BD2"/>
    <w:rsid w:val="008952C0"/>
    <w:rsid w:val="00895354"/>
    <w:rsid w:val="00895BE7"/>
    <w:rsid w:val="00896230"/>
    <w:rsid w:val="00897F65"/>
    <w:rsid w:val="008A1401"/>
    <w:rsid w:val="008A14F9"/>
    <w:rsid w:val="008A2556"/>
    <w:rsid w:val="008A25BE"/>
    <w:rsid w:val="008A2A79"/>
    <w:rsid w:val="008A2B16"/>
    <w:rsid w:val="008A3A2B"/>
    <w:rsid w:val="008A524F"/>
    <w:rsid w:val="008A57F6"/>
    <w:rsid w:val="008A5C41"/>
    <w:rsid w:val="008A608D"/>
    <w:rsid w:val="008A6F0B"/>
    <w:rsid w:val="008B1BCF"/>
    <w:rsid w:val="008B1C70"/>
    <w:rsid w:val="008B4467"/>
    <w:rsid w:val="008B513C"/>
    <w:rsid w:val="008B5166"/>
    <w:rsid w:val="008B668B"/>
    <w:rsid w:val="008B6B2C"/>
    <w:rsid w:val="008B7378"/>
    <w:rsid w:val="008B783C"/>
    <w:rsid w:val="008B7A5A"/>
    <w:rsid w:val="008C1473"/>
    <w:rsid w:val="008C193C"/>
    <w:rsid w:val="008C1E60"/>
    <w:rsid w:val="008C2C0F"/>
    <w:rsid w:val="008C3ADF"/>
    <w:rsid w:val="008C42C1"/>
    <w:rsid w:val="008C649E"/>
    <w:rsid w:val="008C6BF9"/>
    <w:rsid w:val="008C79F1"/>
    <w:rsid w:val="008C7D32"/>
    <w:rsid w:val="008D105D"/>
    <w:rsid w:val="008D1CF8"/>
    <w:rsid w:val="008D29BA"/>
    <w:rsid w:val="008D362A"/>
    <w:rsid w:val="008D39FD"/>
    <w:rsid w:val="008D4A1E"/>
    <w:rsid w:val="008D50FA"/>
    <w:rsid w:val="008E0D68"/>
    <w:rsid w:val="008E4AEC"/>
    <w:rsid w:val="008E6C67"/>
    <w:rsid w:val="008F0BA6"/>
    <w:rsid w:val="008F1CC1"/>
    <w:rsid w:val="008F3D51"/>
    <w:rsid w:val="008F4349"/>
    <w:rsid w:val="008F5056"/>
    <w:rsid w:val="008F5400"/>
    <w:rsid w:val="00900D3C"/>
    <w:rsid w:val="00900E4A"/>
    <w:rsid w:val="0090148B"/>
    <w:rsid w:val="009016E2"/>
    <w:rsid w:val="00902CA0"/>
    <w:rsid w:val="009068A3"/>
    <w:rsid w:val="0090734E"/>
    <w:rsid w:val="009076C2"/>
    <w:rsid w:val="00907BEF"/>
    <w:rsid w:val="00910FAF"/>
    <w:rsid w:val="0091158D"/>
    <w:rsid w:val="009120E7"/>
    <w:rsid w:val="00912259"/>
    <w:rsid w:val="00914552"/>
    <w:rsid w:val="00914705"/>
    <w:rsid w:val="0091561A"/>
    <w:rsid w:val="00916B6B"/>
    <w:rsid w:val="009173A2"/>
    <w:rsid w:val="00920A57"/>
    <w:rsid w:val="0092128D"/>
    <w:rsid w:val="00921A51"/>
    <w:rsid w:val="0092302D"/>
    <w:rsid w:val="0092574F"/>
    <w:rsid w:val="00925B54"/>
    <w:rsid w:val="00925BDB"/>
    <w:rsid w:val="0092608B"/>
    <w:rsid w:val="009261D3"/>
    <w:rsid w:val="009266D6"/>
    <w:rsid w:val="00931A1D"/>
    <w:rsid w:val="00932231"/>
    <w:rsid w:val="009331E8"/>
    <w:rsid w:val="009341AA"/>
    <w:rsid w:val="00935253"/>
    <w:rsid w:val="0093737A"/>
    <w:rsid w:val="00937644"/>
    <w:rsid w:val="0094043D"/>
    <w:rsid w:val="00941486"/>
    <w:rsid w:val="0094303B"/>
    <w:rsid w:val="00943394"/>
    <w:rsid w:val="00944E20"/>
    <w:rsid w:val="009457FA"/>
    <w:rsid w:val="00946339"/>
    <w:rsid w:val="00946447"/>
    <w:rsid w:val="00946BAA"/>
    <w:rsid w:val="0094717E"/>
    <w:rsid w:val="00947E78"/>
    <w:rsid w:val="00952074"/>
    <w:rsid w:val="00954361"/>
    <w:rsid w:val="00954C70"/>
    <w:rsid w:val="0095520B"/>
    <w:rsid w:val="00956AE7"/>
    <w:rsid w:val="00957DE9"/>
    <w:rsid w:val="00957E76"/>
    <w:rsid w:val="009600AA"/>
    <w:rsid w:val="0096036C"/>
    <w:rsid w:val="00961EB9"/>
    <w:rsid w:val="00962692"/>
    <w:rsid w:val="00962716"/>
    <w:rsid w:val="00963614"/>
    <w:rsid w:val="00965025"/>
    <w:rsid w:val="009654E6"/>
    <w:rsid w:val="00965B57"/>
    <w:rsid w:val="0096678E"/>
    <w:rsid w:val="00967327"/>
    <w:rsid w:val="009705D4"/>
    <w:rsid w:val="00970873"/>
    <w:rsid w:val="009710D7"/>
    <w:rsid w:val="009719B8"/>
    <w:rsid w:val="00973B9D"/>
    <w:rsid w:val="00974195"/>
    <w:rsid w:val="009750E1"/>
    <w:rsid w:val="00976FD5"/>
    <w:rsid w:val="00977813"/>
    <w:rsid w:val="00977A0E"/>
    <w:rsid w:val="00977E77"/>
    <w:rsid w:val="00981475"/>
    <w:rsid w:val="00981BF4"/>
    <w:rsid w:val="0098357E"/>
    <w:rsid w:val="0098362F"/>
    <w:rsid w:val="00983932"/>
    <w:rsid w:val="009843EF"/>
    <w:rsid w:val="00984530"/>
    <w:rsid w:val="00984C8B"/>
    <w:rsid w:val="00985757"/>
    <w:rsid w:val="00990989"/>
    <w:rsid w:val="00993C92"/>
    <w:rsid w:val="0099547D"/>
    <w:rsid w:val="009A07F0"/>
    <w:rsid w:val="009A1BE6"/>
    <w:rsid w:val="009A267F"/>
    <w:rsid w:val="009A5411"/>
    <w:rsid w:val="009A54EB"/>
    <w:rsid w:val="009A613B"/>
    <w:rsid w:val="009A613C"/>
    <w:rsid w:val="009A63FF"/>
    <w:rsid w:val="009B06CB"/>
    <w:rsid w:val="009B3E92"/>
    <w:rsid w:val="009B400C"/>
    <w:rsid w:val="009B41D1"/>
    <w:rsid w:val="009B6423"/>
    <w:rsid w:val="009B766A"/>
    <w:rsid w:val="009B7BC6"/>
    <w:rsid w:val="009C027E"/>
    <w:rsid w:val="009C220F"/>
    <w:rsid w:val="009C2775"/>
    <w:rsid w:val="009C3B3B"/>
    <w:rsid w:val="009C6BDC"/>
    <w:rsid w:val="009C6DF8"/>
    <w:rsid w:val="009D0D8B"/>
    <w:rsid w:val="009D1D4A"/>
    <w:rsid w:val="009D2624"/>
    <w:rsid w:val="009D313D"/>
    <w:rsid w:val="009D5090"/>
    <w:rsid w:val="009D5981"/>
    <w:rsid w:val="009D5AE4"/>
    <w:rsid w:val="009D683D"/>
    <w:rsid w:val="009D7701"/>
    <w:rsid w:val="009D7E90"/>
    <w:rsid w:val="009E08D8"/>
    <w:rsid w:val="009E0DD1"/>
    <w:rsid w:val="009E274E"/>
    <w:rsid w:val="009E3AF2"/>
    <w:rsid w:val="009E3B28"/>
    <w:rsid w:val="009E43CE"/>
    <w:rsid w:val="009E48EB"/>
    <w:rsid w:val="009E4F98"/>
    <w:rsid w:val="009E7CCF"/>
    <w:rsid w:val="009F001D"/>
    <w:rsid w:val="009F076D"/>
    <w:rsid w:val="009F14A2"/>
    <w:rsid w:val="009F17AA"/>
    <w:rsid w:val="009F3AAE"/>
    <w:rsid w:val="009F3FFF"/>
    <w:rsid w:val="009F4711"/>
    <w:rsid w:val="009F4AF4"/>
    <w:rsid w:val="009F5251"/>
    <w:rsid w:val="009F55B6"/>
    <w:rsid w:val="009F68EF"/>
    <w:rsid w:val="009F79E4"/>
    <w:rsid w:val="00A0052D"/>
    <w:rsid w:val="00A00650"/>
    <w:rsid w:val="00A01017"/>
    <w:rsid w:val="00A016C0"/>
    <w:rsid w:val="00A020E0"/>
    <w:rsid w:val="00A04361"/>
    <w:rsid w:val="00A04473"/>
    <w:rsid w:val="00A04F40"/>
    <w:rsid w:val="00A06164"/>
    <w:rsid w:val="00A061F4"/>
    <w:rsid w:val="00A119A1"/>
    <w:rsid w:val="00A11DD7"/>
    <w:rsid w:val="00A1240C"/>
    <w:rsid w:val="00A14D67"/>
    <w:rsid w:val="00A14F2F"/>
    <w:rsid w:val="00A1576B"/>
    <w:rsid w:val="00A15941"/>
    <w:rsid w:val="00A1681C"/>
    <w:rsid w:val="00A16C1F"/>
    <w:rsid w:val="00A178CA"/>
    <w:rsid w:val="00A20AC2"/>
    <w:rsid w:val="00A221E2"/>
    <w:rsid w:val="00A22E3F"/>
    <w:rsid w:val="00A2357B"/>
    <w:rsid w:val="00A24344"/>
    <w:rsid w:val="00A24360"/>
    <w:rsid w:val="00A244FF"/>
    <w:rsid w:val="00A267A3"/>
    <w:rsid w:val="00A27297"/>
    <w:rsid w:val="00A2785D"/>
    <w:rsid w:val="00A32AB7"/>
    <w:rsid w:val="00A34278"/>
    <w:rsid w:val="00A35D1D"/>
    <w:rsid w:val="00A35ED8"/>
    <w:rsid w:val="00A3659C"/>
    <w:rsid w:val="00A365B0"/>
    <w:rsid w:val="00A40E23"/>
    <w:rsid w:val="00A42BAA"/>
    <w:rsid w:val="00A43222"/>
    <w:rsid w:val="00A44354"/>
    <w:rsid w:val="00A44FBA"/>
    <w:rsid w:val="00A46090"/>
    <w:rsid w:val="00A46EBC"/>
    <w:rsid w:val="00A47EC6"/>
    <w:rsid w:val="00A50862"/>
    <w:rsid w:val="00A520DB"/>
    <w:rsid w:val="00A53401"/>
    <w:rsid w:val="00A53939"/>
    <w:rsid w:val="00A546C3"/>
    <w:rsid w:val="00A54C87"/>
    <w:rsid w:val="00A55AA0"/>
    <w:rsid w:val="00A563D7"/>
    <w:rsid w:val="00A57320"/>
    <w:rsid w:val="00A579B7"/>
    <w:rsid w:val="00A61180"/>
    <w:rsid w:val="00A619EA"/>
    <w:rsid w:val="00A63666"/>
    <w:rsid w:val="00A71D8F"/>
    <w:rsid w:val="00A72929"/>
    <w:rsid w:val="00A72F37"/>
    <w:rsid w:val="00A736F1"/>
    <w:rsid w:val="00A74624"/>
    <w:rsid w:val="00A7471F"/>
    <w:rsid w:val="00A75751"/>
    <w:rsid w:val="00A76C31"/>
    <w:rsid w:val="00A7731D"/>
    <w:rsid w:val="00A77D96"/>
    <w:rsid w:val="00A808D4"/>
    <w:rsid w:val="00A80C72"/>
    <w:rsid w:val="00A81534"/>
    <w:rsid w:val="00A819AA"/>
    <w:rsid w:val="00A83185"/>
    <w:rsid w:val="00A84E37"/>
    <w:rsid w:val="00A86487"/>
    <w:rsid w:val="00A87268"/>
    <w:rsid w:val="00A87687"/>
    <w:rsid w:val="00A90B39"/>
    <w:rsid w:val="00A90D97"/>
    <w:rsid w:val="00A9193C"/>
    <w:rsid w:val="00A91B77"/>
    <w:rsid w:val="00A92A2C"/>
    <w:rsid w:val="00A94A0D"/>
    <w:rsid w:val="00A9516B"/>
    <w:rsid w:val="00A954BE"/>
    <w:rsid w:val="00A96B60"/>
    <w:rsid w:val="00A97894"/>
    <w:rsid w:val="00AA1A6D"/>
    <w:rsid w:val="00AA2A8E"/>
    <w:rsid w:val="00AA3DBC"/>
    <w:rsid w:val="00AA3EAD"/>
    <w:rsid w:val="00AA4B09"/>
    <w:rsid w:val="00AB02B7"/>
    <w:rsid w:val="00AB0675"/>
    <w:rsid w:val="00AB22DA"/>
    <w:rsid w:val="00AB38CF"/>
    <w:rsid w:val="00AB38F3"/>
    <w:rsid w:val="00AB4044"/>
    <w:rsid w:val="00AB4C57"/>
    <w:rsid w:val="00AB5360"/>
    <w:rsid w:val="00AB5486"/>
    <w:rsid w:val="00AB7398"/>
    <w:rsid w:val="00AB7626"/>
    <w:rsid w:val="00AC119F"/>
    <w:rsid w:val="00AC1B2F"/>
    <w:rsid w:val="00AC2354"/>
    <w:rsid w:val="00AC2AEC"/>
    <w:rsid w:val="00AC2DBC"/>
    <w:rsid w:val="00AC4590"/>
    <w:rsid w:val="00AC46DF"/>
    <w:rsid w:val="00AC6154"/>
    <w:rsid w:val="00AD6E47"/>
    <w:rsid w:val="00AE41A8"/>
    <w:rsid w:val="00AE4CDF"/>
    <w:rsid w:val="00AE5BE8"/>
    <w:rsid w:val="00AE6B00"/>
    <w:rsid w:val="00AE6B9C"/>
    <w:rsid w:val="00AE7F46"/>
    <w:rsid w:val="00AF0564"/>
    <w:rsid w:val="00AF0C34"/>
    <w:rsid w:val="00AF4E4B"/>
    <w:rsid w:val="00AF6249"/>
    <w:rsid w:val="00AF63C9"/>
    <w:rsid w:val="00AF6702"/>
    <w:rsid w:val="00B00262"/>
    <w:rsid w:val="00B01ADF"/>
    <w:rsid w:val="00B02833"/>
    <w:rsid w:val="00B03631"/>
    <w:rsid w:val="00B05251"/>
    <w:rsid w:val="00B05636"/>
    <w:rsid w:val="00B056EE"/>
    <w:rsid w:val="00B06CAD"/>
    <w:rsid w:val="00B06DF6"/>
    <w:rsid w:val="00B06E22"/>
    <w:rsid w:val="00B10CC4"/>
    <w:rsid w:val="00B11ADE"/>
    <w:rsid w:val="00B122D5"/>
    <w:rsid w:val="00B1358F"/>
    <w:rsid w:val="00B14131"/>
    <w:rsid w:val="00B146EB"/>
    <w:rsid w:val="00B14AB1"/>
    <w:rsid w:val="00B157F6"/>
    <w:rsid w:val="00B16776"/>
    <w:rsid w:val="00B16A0D"/>
    <w:rsid w:val="00B21583"/>
    <w:rsid w:val="00B218EB"/>
    <w:rsid w:val="00B21CF9"/>
    <w:rsid w:val="00B21F8F"/>
    <w:rsid w:val="00B22673"/>
    <w:rsid w:val="00B2267F"/>
    <w:rsid w:val="00B23D32"/>
    <w:rsid w:val="00B23FC7"/>
    <w:rsid w:val="00B24AF3"/>
    <w:rsid w:val="00B24BDD"/>
    <w:rsid w:val="00B24D9A"/>
    <w:rsid w:val="00B25120"/>
    <w:rsid w:val="00B256DE"/>
    <w:rsid w:val="00B26081"/>
    <w:rsid w:val="00B2785E"/>
    <w:rsid w:val="00B31254"/>
    <w:rsid w:val="00B3189E"/>
    <w:rsid w:val="00B32113"/>
    <w:rsid w:val="00B331F1"/>
    <w:rsid w:val="00B3338E"/>
    <w:rsid w:val="00B334A6"/>
    <w:rsid w:val="00B33ABC"/>
    <w:rsid w:val="00B34238"/>
    <w:rsid w:val="00B34243"/>
    <w:rsid w:val="00B34441"/>
    <w:rsid w:val="00B37A7F"/>
    <w:rsid w:val="00B37C0B"/>
    <w:rsid w:val="00B37F06"/>
    <w:rsid w:val="00B40D9B"/>
    <w:rsid w:val="00B4127D"/>
    <w:rsid w:val="00B428AF"/>
    <w:rsid w:val="00B429B7"/>
    <w:rsid w:val="00B42AC8"/>
    <w:rsid w:val="00B42B28"/>
    <w:rsid w:val="00B44201"/>
    <w:rsid w:val="00B45233"/>
    <w:rsid w:val="00B4529D"/>
    <w:rsid w:val="00B453DA"/>
    <w:rsid w:val="00B5148B"/>
    <w:rsid w:val="00B51700"/>
    <w:rsid w:val="00B51A55"/>
    <w:rsid w:val="00B51DD4"/>
    <w:rsid w:val="00B55E9F"/>
    <w:rsid w:val="00B60D3A"/>
    <w:rsid w:val="00B615A7"/>
    <w:rsid w:val="00B6165A"/>
    <w:rsid w:val="00B635B8"/>
    <w:rsid w:val="00B63F37"/>
    <w:rsid w:val="00B64647"/>
    <w:rsid w:val="00B64B4C"/>
    <w:rsid w:val="00B701E0"/>
    <w:rsid w:val="00B70AE9"/>
    <w:rsid w:val="00B72C9C"/>
    <w:rsid w:val="00B73ACA"/>
    <w:rsid w:val="00B73CFB"/>
    <w:rsid w:val="00B74617"/>
    <w:rsid w:val="00B74D5A"/>
    <w:rsid w:val="00B77F0B"/>
    <w:rsid w:val="00B81014"/>
    <w:rsid w:val="00B812C4"/>
    <w:rsid w:val="00B81CAD"/>
    <w:rsid w:val="00B82092"/>
    <w:rsid w:val="00B8276A"/>
    <w:rsid w:val="00B82E7F"/>
    <w:rsid w:val="00B84A86"/>
    <w:rsid w:val="00B87EAB"/>
    <w:rsid w:val="00B90F23"/>
    <w:rsid w:val="00B91416"/>
    <w:rsid w:val="00B91874"/>
    <w:rsid w:val="00B94506"/>
    <w:rsid w:val="00B94EA1"/>
    <w:rsid w:val="00B95071"/>
    <w:rsid w:val="00B953E7"/>
    <w:rsid w:val="00B97174"/>
    <w:rsid w:val="00B97D80"/>
    <w:rsid w:val="00BA13FA"/>
    <w:rsid w:val="00BA1CE3"/>
    <w:rsid w:val="00BA1D2A"/>
    <w:rsid w:val="00BA2863"/>
    <w:rsid w:val="00BA3262"/>
    <w:rsid w:val="00BA348E"/>
    <w:rsid w:val="00BA39C5"/>
    <w:rsid w:val="00BA40CE"/>
    <w:rsid w:val="00BA489E"/>
    <w:rsid w:val="00BA5397"/>
    <w:rsid w:val="00BA75FA"/>
    <w:rsid w:val="00BB055A"/>
    <w:rsid w:val="00BB0F64"/>
    <w:rsid w:val="00BB2114"/>
    <w:rsid w:val="00BB294D"/>
    <w:rsid w:val="00BB315E"/>
    <w:rsid w:val="00BB3FEF"/>
    <w:rsid w:val="00BB43F8"/>
    <w:rsid w:val="00BB4868"/>
    <w:rsid w:val="00BB490B"/>
    <w:rsid w:val="00BB4D16"/>
    <w:rsid w:val="00BB54B9"/>
    <w:rsid w:val="00BB563D"/>
    <w:rsid w:val="00BB68A1"/>
    <w:rsid w:val="00BB79DF"/>
    <w:rsid w:val="00BB79EE"/>
    <w:rsid w:val="00BB7D9E"/>
    <w:rsid w:val="00BB7F05"/>
    <w:rsid w:val="00BB7F86"/>
    <w:rsid w:val="00BC08C8"/>
    <w:rsid w:val="00BC0C90"/>
    <w:rsid w:val="00BC4139"/>
    <w:rsid w:val="00BC4F3C"/>
    <w:rsid w:val="00BC5572"/>
    <w:rsid w:val="00BC5CF1"/>
    <w:rsid w:val="00BC6BCD"/>
    <w:rsid w:val="00BC6CFB"/>
    <w:rsid w:val="00BC751A"/>
    <w:rsid w:val="00BC7EC3"/>
    <w:rsid w:val="00BD069B"/>
    <w:rsid w:val="00BD154D"/>
    <w:rsid w:val="00BD15AC"/>
    <w:rsid w:val="00BD1657"/>
    <w:rsid w:val="00BD1921"/>
    <w:rsid w:val="00BD1B18"/>
    <w:rsid w:val="00BD1F7F"/>
    <w:rsid w:val="00BD45AF"/>
    <w:rsid w:val="00BD616C"/>
    <w:rsid w:val="00BD67E5"/>
    <w:rsid w:val="00BD7BE2"/>
    <w:rsid w:val="00BD7D64"/>
    <w:rsid w:val="00BE0A2F"/>
    <w:rsid w:val="00BE1DD5"/>
    <w:rsid w:val="00BE2952"/>
    <w:rsid w:val="00BE2D8B"/>
    <w:rsid w:val="00BE57B9"/>
    <w:rsid w:val="00BE65FD"/>
    <w:rsid w:val="00BE7632"/>
    <w:rsid w:val="00BF0C72"/>
    <w:rsid w:val="00BF1733"/>
    <w:rsid w:val="00BF31B8"/>
    <w:rsid w:val="00BF33EC"/>
    <w:rsid w:val="00BF4444"/>
    <w:rsid w:val="00BF4721"/>
    <w:rsid w:val="00BF4875"/>
    <w:rsid w:val="00BF4D83"/>
    <w:rsid w:val="00BF5295"/>
    <w:rsid w:val="00BF5461"/>
    <w:rsid w:val="00BF599C"/>
    <w:rsid w:val="00BF62C5"/>
    <w:rsid w:val="00BF6F8D"/>
    <w:rsid w:val="00C009D8"/>
    <w:rsid w:val="00C00FB6"/>
    <w:rsid w:val="00C01956"/>
    <w:rsid w:val="00C01CC2"/>
    <w:rsid w:val="00C038BC"/>
    <w:rsid w:val="00C039C6"/>
    <w:rsid w:val="00C03B40"/>
    <w:rsid w:val="00C0428B"/>
    <w:rsid w:val="00C0472C"/>
    <w:rsid w:val="00C049F8"/>
    <w:rsid w:val="00C05049"/>
    <w:rsid w:val="00C05C20"/>
    <w:rsid w:val="00C07176"/>
    <w:rsid w:val="00C076A2"/>
    <w:rsid w:val="00C1017A"/>
    <w:rsid w:val="00C10349"/>
    <w:rsid w:val="00C10FEE"/>
    <w:rsid w:val="00C12FAA"/>
    <w:rsid w:val="00C134AE"/>
    <w:rsid w:val="00C16207"/>
    <w:rsid w:val="00C16D62"/>
    <w:rsid w:val="00C17DBD"/>
    <w:rsid w:val="00C217A4"/>
    <w:rsid w:val="00C219E7"/>
    <w:rsid w:val="00C22100"/>
    <w:rsid w:val="00C22B84"/>
    <w:rsid w:val="00C24284"/>
    <w:rsid w:val="00C24B12"/>
    <w:rsid w:val="00C254CE"/>
    <w:rsid w:val="00C30D0B"/>
    <w:rsid w:val="00C3170D"/>
    <w:rsid w:val="00C33954"/>
    <w:rsid w:val="00C35D81"/>
    <w:rsid w:val="00C36928"/>
    <w:rsid w:val="00C36D83"/>
    <w:rsid w:val="00C3756D"/>
    <w:rsid w:val="00C40F0B"/>
    <w:rsid w:val="00C412C8"/>
    <w:rsid w:val="00C42C1C"/>
    <w:rsid w:val="00C42C84"/>
    <w:rsid w:val="00C42F75"/>
    <w:rsid w:val="00C43AA7"/>
    <w:rsid w:val="00C460FC"/>
    <w:rsid w:val="00C47201"/>
    <w:rsid w:val="00C47617"/>
    <w:rsid w:val="00C50734"/>
    <w:rsid w:val="00C50F60"/>
    <w:rsid w:val="00C51D62"/>
    <w:rsid w:val="00C52D06"/>
    <w:rsid w:val="00C5379E"/>
    <w:rsid w:val="00C55A17"/>
    <w:rsid w:val="00C576BE"/>
    <w:rsid w:val="00C60094"/>
    <w:rsid w:val="00C62756"/>
    <w:rsid w:val="00C64C89"/>
    <w:rsid w:val="00C673E6"/>
    <w:rsid w:val="00C71DC3"/>
    <w:rsid w:val="00C7296B"/>
    <w:rsid w:val="00C73BF6"/>
    <w:rsid w:val="00C745CC"/>
    <w:rsid w:val="00C75047"/>
    <w:rsid w:val="00C752D3"/>
    <w:rsid w:val="00C758DB"/>
    <w:rsid w:val="00C76330"/>
    <w:rsid w:val="00C76C59"/>
    <w:rsid w:val="00C7778E"/>
    <w:rsid w:val="00C77D2F"/>
    <w:rsid w:val="00C80407"/>
    <w:rsid w:val="00C80428"/>
    <w:rsid w:val="00C81384"/>
    <w:rsid w:val="00C81675"/>
    <w:rsid w:val="00C819BC"/>
    <w:rsid w:val="00C81E01"/>
    <w:rsid w:val="00C8292D"/>
    <w:rsid w:val="00C838E0"/>
    <w:rsid w:val="00C83AD7"/>
    <w:rsid w:val="00C83BCE"/>
    <w:rsid w:val="00C844FF"/>
    <w:rsid w:val="00C876B6"/>
    <w:rsid w:val="00C8779B"/>
    <w:rsid w:val="00C918A0"/>
    <w:rsid w:val="00C9317A"/>
    <w:rsid w:val="00C93A24"/>
    <w:rsid w:val="00C9545C"/>
    <w:rsid w:val="00C96165"/>
    <w:rsid w:val="00C96B0B"/>
    <w:rsid w:val="00C96B1C"/>
    <w:rsid w:val="00CA0531"/>
    <w:rsid w:val="00CA297A"/>
    <w:rsid w:val="00CA3ED2"/>
    <w:rsid w:val="00CA5749"/>
    <w:rsid w:val="00CA6356"/>
    <w:rsid w:val="00CA648C"/>
    <w:rsid w:val="00CA6565"/>
    <w:rsid w:val="00CA6589"/>
    <w:rsid w:val="00CA7712"/>
    <w:rsid w:val="00CA7DCC"/>
    <w:rsid w:val="00CA7EF7"/>
    <w:rsid w:val="00CB0DB0"/>
    <w:rsid w:val="00CB2D18"/>
    <w:rsid w:val="00CB3F6D"/>
    <w:rsid w:val="00CB4EB1"/>
    <w:rsid w:val="00CB4F17"/>
    <w:rsid w:val="00CB622C"/>
    <w:rsid w:val="00CB6700"/>
    <w:rsid w:val="00CB68C2"/>
    <w:rsid w:val="00CB76A5"/>
    <w:rsid w:val="00CC0713"/>
    <w:rsid w:val="00CC2659"/>
    <w:rsid w:val="00CC2BC2"/>
    <w:rsid w:val="00CC2F8E"/>
    <w:rsid w:val="00CC31FF"/>
    <w:rsid w:val="00CC3DE1"/>
    <w:rsid w:val="00CC3E51"/>
    <w:rsid w:val="00CC458A"/>
    <w:rsid w:val="00CC4FC6"/>
    <w:rsid w:val="00CC55C6"/>
    <w:rsid w:val="00CC5636"/>
    <w:rsid w:val="00CC5EB6"/>
    <w:rsid w:val="00CC71F0"/>
    <w:rsid w:val="00CC73A5"/>
    <w:rsid w:val="00CC7832"/>
    <w:rsid w:val="00CC79B8"/>
    <w:rsid w:val="00CD2091"/>
    <w:rsid w:val="00CD2FE3"/>
    <w:rsid w:val="00CD43DB"/>
    <w:rsid w:val="00CD51FA"/>
    <w:rsid w:val="00CD5572"/>
    <w:rsid w:val="00CD7787"/>
    <w:rsid w:val="00CE002B"/>
    <w:rsid w:val="00CE2357"/>
    <w:rsid w:val="00CE2E44"/>
    <w:rsid w:val="00CE4A95"/>
    <w:rsid w:val="00CE7012"/>
    <w:rsid w:val="00CE75BC"/>
    <w:rsid w:val="00CF01D6"/>
    <w:rsid w:val="00CF17AC"/>
    <w:rsid w:val="00CF1C0D"/>
    <w:rsid w:val="00CF5CC0"/>
    <w:rsid w:val="00CF5F74"/>
    <w:rsid w:val="00CF64A8"/>
    <w:rsid w:val="00CF6D26"/>
    <w:rsid w:val="00D007C4"/>
    <w:rsid w:val="00D00A13"/>
    <w:rsid w:val="00D00ECD"/>
    <w:rsid w:val="00D017EA"/>
    <w:rsid w:val="00D032D3"/>
    <w:rsid w:val="00D041FA"/>
    <w:rsid w:val="00D05B01"/>
    <w:rsid w:val="00D05E01"/>
    <w:rsid w:val="00D06D04"/>
    <w:rsid w:val="00D108DA"/>
    <w:rsid w:val="00D11D26"/>
    <w:rsid w:val="00D12900"/>
    <w:rsid w:val="00D1308F"/>
    <w:rsid w:val="00D133CF"/>
    <w:rsid w:val="00D1340A"/>
    <w:rsid w:val="00D13C9C"/>
    <w:rsid w:val="00D13F71"/>
    <w:rsid w:val="00D1622A"/>
    <w:rsid w:val="00D172B4"/>
    <w:rsid w:val="00D200A4"/>
    <w:rsid w:val="00D211AA"/>
    <w:rsid w:val="00D25387"/>
    <w:rsid w:val="00D2547A"/>
    <w:rsid w:val="00D25F3E"/>
    <w:rsid w:val="00D260D0"/>
    <w:rsid w:val="00D26E4E"/>
    <w:rsid w:val="00D27271"/>
    <w:rsid w:val="00D34921"/>
    <w:rsid w:val="00D352E5"/>
    <w:rsid w:val="00D3722E"/>
    <w:rsid w:val="00D37C06"/>
    <w:rsid w:val="00D405AB"/>
    <w:rsid w:val="00D41E4A"/>
    <w:rsid w:val="00D42FE9"/>
    <w:rsid w:val="00D442A0"/>
    <w:rsid w:val="00D4486B"/>
    <w:rsid w:val="00D44C40"/>
    <w:rsid w:val="00D4525E"/>
    <w:rsid w:val="00D45762"/>
    <w:rsid w:val="00D465CC"/>
    <w:rsid w:val="00D46F47"/>
    <w:rsid w:val="00D47998"/>
    <w:rsid w:val="00D47A6E"/>
    <w:rsid w:val="00D5006C"/>
    <w:rsid w:val="00D50457"/>
    <w:rsid w:val="00D511F4"/>
    <w:rsid w:val="00D51A5E"/>
    <w:rsid w:val="00D52B35"/>
    <w:rsid w:val="00D5303A"/>
    <w:rsid w:val="00D53270"/>
    <w:rsid w:val="00D53699"/>
    <w:rsid w:val="00D53DDB"/>
    <w:rsid w:val="00D567B6"/>
    <w:rsid w:val="00D568F8"/>
    <w:rsid w:val="00D56B39"/>
    <w:rsid w:val="00D63BA4"/>
    <w:rsid w:val="00D63CFC"/>
    <w:rsid w:val="00D64AF0"/>
    <w:rsid w:val="00D655F9"/>
    <w:rsid w:val="00D665EC"/>
    <w:rsid w:val="00D66BA3"/>
    <w:rsid w:val="00D67DC3"/>
    <w:rsid w:val="00D703F6"/>
    <w:rsid w:val="00D70EEF"/>
    <w:rsid w:val="00D71E46"/>
    <w:rsid w:val="00D7276D"/>
    <w:rsid w:val="00D72D4E"/>
    <w:rsid w:val="00D76B89"/>
    <w:rsid w:val="00D76C8D"/>
    <w:rsid w:val="00D7705E"/>
    <w:rsid w:val="00D77806"/>
    <w:rsid w:val="00D77F17"/>
    <w:rsid w:val="00D80077"/>
    <w:rsid w:val="00D8035E"/>
    <w:rsid w:val="00D80473"/>
    <w:rsid w:val="00D80744"/>
    <w:rsid w:val="00D807DF"/>
    <w:rsid w:val="00D80A0A"/>
    <w:rsid w:val="00D815EE"/>
    <w:rsid w:val="00D82AF0"/>
    <w:rsid w:val="00D83D7B"/>
    <w:rsid w:val="00D84FE9"/>
    <w:rsid w:val="00D86AD3"/>
    <w:rsid w:val="00D901D7"/>
    <w:rsid w:val="00D91650"/>
    <w:rsid w:val="00D92211"/>
    <w:rsid w:val="00D92254"/>
    <w:rsid w:val="00D92E7C"/>
    <w:rsid w:val="00D9339C"/>
    <w:rsid w:val="00D94275"/>
    <w:rsid w:val="00D965FD"/>
    <w:rsid w:val="00D97580"/>
    <w:rsid w:val="00D9781A"/>
    <w:rsid w:val="00DA29D7"/>
    <w:rsid w:val="00DA3AF5"/>
    <w:rsid w:val="00DA4263"/>
    <w:rsid w:val="00DA671B"/>
    <w:rsid w:val="00DB08E1"/>
    <w:rsid w:val="00DB094E"/>
    <w:rsid w:val="00DB0AEE"/>
    <w:rsid w:val="00DB14D5"/>
    <w:rsid w:val="00DB14DF"/>
    <w:rsid w:val="00DB18B9"/>
    <w:rsid w:val="00DB191E"/>
    <w:rsid w:val="00DB1B11"/>
    <w:rsid w:val="00DB1E62"/>
    <w:rsid w:val="00DB304D"/>
    <w:rsid w:val="00DB3727"/>
    <w:rsid w:val="00DB49FF"/>
    <w:rsid w:val="00DC1118"/>
    <w:rsid w:val="00DC1419"/>
    <w:rsid w:val="00DC25CC"/>
    <w:rsid w:val="00DC5422"/>
    <w:rsid w:val="00DC6BB2"/>
    <w:rsid w:val="00DC6DA4"/>
    <w:rsid w:val="00DD08A9"/>
    <w:rsid w:val="00DD18F1"/>
    <w:rsid w:val="00DD2587"/>
    <w:rsid w:val="00DD3053"/>
    <w:rsid w:val="00DD4A18"/>
    <w:rsid w:val="00DD4F37"/>
    <w:rsid w:val="00DD5E8D"/>
    <w:rsid w:val="00DD6D93"/>
    <w:rsid w:val="00DE099E"/>
    <w:rsid w:val="00DE0DE9"/>
    <w:rsid w:val="00DE1836"/>
    <w:rsid w:val="00DE2000"/>
    <w:rsid w:val="00DE282F"/>
    <w:rsid w:val="00DE2F75"/>
    <w:rsid w:val="00DE4927"/>
    <w:rsid w:val="00DE556A"/>
    <w:rsid w:val="00DE6CE4"/>
    <w:rsid w:val="00DE6EA2"/>
    <w:rsid w:val="00DE7084"/>
    <w:rsid w:val="00DE76D2"/>
    <w:rsid w:val="00DE7FF4"/>
    <w:rsid w:val="00DF0F91"/>
    <w:rsid w:val="00DF250F"/>
    <w:rsid w:val="00DF32B5"/>
    <w:rsid w:val="00DF407F"/>
    <w:rsid w:val="00DF5721"/>
    <w:rsid w:val="00DF6922"/>
    <w:rsid w:val="00DF6E03"/>
    <w:rsid w:val="00DF70EB"/>
    <w:rsid w:val="00DF75E5"/>
    <w:rsid w:val="00E01A4D"/>
    <w:rsid w:val="00E02019"/>
    <w:rsid w:val="00E0393C"/>
    <w:rsid w:val="00E045F1"/>
    <w:rsid w:val="00E05605"/>
    <w:rsid w:val="00E05FA3"/>
    <w:rsid w:val="00E062EE"/>
    <w:rsid w:val="00E0645D"/>
    <w:rsid w:val="00E0656B"/>
    <w:rsid w:val="00E07DBE"/>
    <w:rsid w:val="00E1028E"/>
    <w:rsid w:val="00E12045"/>
    <w:rsid w:val="00E1348F"/>
    <w:rsid w:val="00E14041"/>
    <w:rsid w:val="00E14F63"/>
    <w:rsid w:val="00E1514B"/>
    <w:rsid w:val="00E16448"/>
    <w:rsid w:val="00E17861"/>
    <w:rsid w:val="00E20696"/>
    <w:rsid w:val="00E21522"/>
    <w:rsid w:val="00E24B2B"/>
    <w:rsid w:val="00E24EB4"/>
    <w:rsid w:val="00E256AB"/>
    <w:rsid w:val="00E25ABD"/>
    <w:rsid w:val="00E26885"/>
    <w:rsid w:val="00E27648"/>
    <w:rsid w:val="00E276CE"/>
    <w:rsid w:val="00E300F1"/>
    <w:rsid w:val="00E33E40"/>
    <w:rsid w:val="00E343A7"/>
    <w:rsid w:val="00E347E2"/>
    <w:rsid w:val="00E37562"/>
    <w:rsid w:val="00E37954"/>
    <w:rsid w:val="00E41DF7"/>
    <w:rsid w:val="00E425F0"/>
    <w:rsid w:val="00E4378E"/>
    <w:rsid w:val="00E43C09"/>
    <w:rsid w:val="00E44EA0"/>
    <w:rsid w:val="00E456C9"/>
    <w:rsid w:val="00E45B56"/>
    <w:rsid w:val="00E461CE"/>
    <w:rsid w:val="00E46D92"/>
    <w:rsid w:val="00E5047F"/>
    <w:rsid w:val="00E50802"/>
    <w:rsid w:val="00E51623"/>
    <w:rsid w:val="00E51866"/>
    <w:rsid w:val="00E521E8"/>
    <w:rsid w:val="00E52248"/>
    <w:rsid w:val="00E52886"/>
    <w:rsid w:val="00E5419C"/>
    <w:rsid w:val="00E548AC"/>
    <w:rsid w:val="00E549ED"/>
    <w:rsid w:val="00E55D3C"/>
    <w:rsid w:val="00E56E49"/>
    <w:rsid w:val="00E5758A"/>
    <w:rsid w:val="00E6047A"/>
    <w:rsid w:val="00E604FC"/>
    <w:rsid w:val="00E6189E"/>
    <w:rsid w:val="00E61ED1"/>
    <w:rsid w:val="00E65A81"/>
    <w:rsid w:val="00E6672F"/>
    <w:rsid w:val="00E66D65"/>
    <w:rsid w:val="00E715F5"/>
    <w:rsid w:val="00E7186C"/>
    <w:rsid w:val="00E74917"/>
    <w:rsid w:val="00E74988"/>
    <w:rsid w:val="00E75722"/>
    <w:rsid w:val="00E75AC0"/>
    <w:rsid w:val="00E75C22"/>
    <w:rsid w:val="00E7683E"/>
    <w:rsid w:val="00E7706B"/>
    <w:rsid w:val="00E77730"/>
    <w:rsid w:val="00E77F14"/>
    <w:rsid w:val="00E80254"/>
    <w:rsid w:val="00E810F4"/>
    <w:rsid w:val="00E8278C"/>
    <w:rsid w:val="00E8285E"/>
    <w:rsid w:val="00E83662"/>
    <w:rsid w:val="00E84B29"/>
    <w:rsid w:val="00E85098"/>
    <w:rsid w:val="00E87368"/>
    <w:rsid w:val="00E877B9"/>
    <w:rsid w:val="00E87EFF"/>
    <w:rsid w:val="00E90319"/>
    <w:rsid w:val="00E90BA9"/>
    <w:rsid w:val="00E90D43"/>
    <w:rsid w:val="00E92229"/>
    <w:rsid w:val="00E92367"/>
    <w:rsid w:val="00E9695E"/>
    <w:rsid w:val="00E9772E"/>
    <w:rsid w:val="00E977C2"/>
    <w:rsid w:val="00E97B0F"/>
    <w:rsid w:val="00E97C8C"/>
    <w:rsid w:val="00EA05B7"/>
    <w:rsid w:val="00EA0755"/>
    <w:rsid w:val="00EA0778"/>
    <w:rsid w:val="00EA0C29"/>
    <w:rsid w:val="00EA0D20"/>
    <w:rsid w:val="00EA1912"/>
    <w:rsid w:val="00EA1D9E"/>
    <w:rsid w:val="00EA266B"/>
    <w:rsid w:val="00EA2B89"/>
    <w:rsid w:val="00EA2F23"/>
    <w:rsid w:val="00EA4082"/>
    <w:rsid w:val="00EA4FA6"/>
    <w:rsid w:val="00EA50A0"/>
    <w:rsid w:val="00EA5656"/>
    <w:rsid w:val="00EA5A27"/>
    <w:rsid w:val="00EA6062"/>
    <w:rsid w:val="00EA66C4"/>
    <w:rsid w:val="00EB02A2"/>
    <w:rsid w:val="00EB04E8"/>
    <w:rsid w:val="00EB0FEB"/>
    <w:rsid w:val="00EB2CE5"/>
    <w:rsid w:val="00EB30C3"/>
    <w:rsid w:val="00EB4C8A"/>
    <w:rsid w:val="00EB4DD3"/>
    <w:rsid w:val="00EB78E2"/>
    <w:rsid w:val="00EB7AD3"/>
    <w:rsid w:val="00EC001B"/>
    <w:rsid w:val="00EC0200"/>
    <w:rsid w:val="00EC0393"/>
    <w:rsid w:val="00EC03CA"/>
    <w:rsid w:val="00EC1717"/>
    <w:rsid w:val="00EC3E46"/>
    <w:rsid w:val="00EC4F34"/>
    <w:rsid w:val="00EC5E3E"/>
    <w:rsid w:val="00EC684D"/>
    <w:rsid w:val="00EC74F4"/>
    <w:rsid w:val="00ED36C5"/>
    <w:rsid w:val="00ED5882"/>
    <w:rsid w:val="00ED5DF2"/>
    <w:rsid w:val="00ED6119"/>
    <w:rsid w:val="00ED67E2"/>
    <w:rsid w:val="00EE0137"/>
    <w:rsid w:val="00EE0A97"/>
    <w:rsid w:val="00EE1823"/>
    <w:rsid w:val="00EE19F9"/>
    <w:rsid w:val="00EE28F7"/>
    <w:rsid w:val="00EE335B"/>
    <w:rsid w:val="00EE3418"/>
    <w:rsid w:val="00EE3A5A"/>
    <w:rsid w:val="00EE546E"/>
    <w:rsid w:val="00EE6A64"/>
    <w:rsid w:val="00EE6FD1"/>
    <w:rsid w:val="00EE75A1"/>
    <w:rsid w:val="00EE78FA"/>
    <w:rsid w:val="00EE7B21"/>
    <w:rsid w:val="00EF19B1"/>
    <w:rsid w:val="00EF3D74"/>
    <w:rsid w:val="00EF4CF7"/>
    <w:rsid w:val="00EF4D6D"/>
    <w:rsid w:val="00EF593D"/>
    <w:rsid w:val="00EF6899"/>
    <w:rsid w:val="00EF79F0"/>
    <w:rsid w:val="00EF7DA1"/>
    <w:rsid w:val="00F005EA"/>
    <w:rsid w:val="00F024B3"/>
    <w:rsid w:val="00F03075"/>
    <w:rsid w:val="00F03144"/>
    <w:rsid w:val="00F044AE"/>
    <w:rsid w:val="00F05052"/>
    <w:rsid w:val="00F07AD8"/>
    <w:rsid w:val="00F1021C"/>
    <w:rsid w:val="00F10290"/>
    <w:rsid w:val="00F10397"/>
    <w:rsid w:val="00F10F4D"/>
    <w:rsid w:val="00F12584"/>
    <w:rsid w:val="00F151CA"/>
    <w:rsid w:val="00F153C6"/>
    <w:rsid w:val="00F1584B"/>
    <w:rsid w:val="00F15FC3"/>
    <w:rsid w:val="00F179C9"/>
    <w:rsid w:val="00F21363"/>
    <w:rsid w:val="00F21E1A"/>
    <w:rsid w:val="00F22A52"/>
    <w:rsid w:val="00F25F36"/>
    <w:rsid w:val="00F2637F"/>
    <w:rsid w:val="00F26553"/>
    <w:rsid w:val="00F26593"/>
    <w:rsid w:val="00F274F7"/>
    <w:rsid w:val="00F275BE"/>
    <w:rsid w:val="00F31ABF"/>
    <w:rsid w:val="00F33CEB"/>
    <w:rsid w:val="00F343AC"/>
    <w:rsid w:val="00F35B8C"/>
    <w:rsid w:val="00F36EE9"/>
    <w:rsid w:val="00F37492"/>
    <w:rsid w:val="00F379A3"/>
    <w:rsid w:val="00F44ADB"/>
    <w:rsid w:val="00F45283"/>
    <w:rsid w:val="00F4658E"/>
    <w:rsid w:val="00F50AF1"/>
    <w:rsid w:val="00F51AEF"/>
    <w:rsid w:val="00F537A2"/>
    <w:rsid w:val="00F54237"/>
    <w:rsid w:val="00F559CF"/>
    <w:rsid w:val="00F57A03"/>
    <w:rsid w:val="00F57E8A"/>
    <w:rsid w:val="00F60A50"/>
    <w:rsid w:val="00F620B8"/>
    <w:rsid w:val="00F62168"/>
    <w:rsid w:val="00F63622"/>
    <w:rsid w:val="00F63FD6"/>
    <w:rsid w:val="00F659FB"/>
    <w:rsid w:val="00F65CFB"/>
    <w:rsid w:val="00F667C4"/>
    <w:rsid w:val="00F669AA"/>
    <w:rsid w:val="00F66AD9"/>
    <w:rsid w:val="00F67B74"/>
    <w:rsid w:val="00F70FF0"/>
    <w:rsid w:val="00F718DA"/>
    <w:rsid w:val="00F7274E"/>
    <w:rsid w:val="00F72DC4"/>
    <w:rsid w:val="00F73941"/>
    <w:rsid w:val="00F74277"/>
    <w:rsid w:val="00F75B0C"/>
    <w:rsid w:val="00F77ADA"/>
    <w:rsid w:val="00F80D09"/>
    <w:rsid w:val="00F82FCD"/>
    <w:rsid w:val="00F83BE8"/>
    <w:rsid w:val="00F843A5"/>
    <w:rsid w:val="00F8460B"/>
    <w:rsid w:val="00F84876"/>
    <w:rsid w:val="00F85CC9"/>
    <w:rsid w:val="00F86B29"/>
    <w:rsid w:val="00F91DDE"/>
    <w:rsid w:val="00F9267A"/>
    <w:rsid w:val="00F92844"/>
    <w:rsid w:val="00F92D75"/>
    <w:rsid w:val="00F937DE"/>
    <w:rsid w:val="00F94DE0"/>
    <w:rsid w:val="00F95CB5"/>
    <w:rsid w:val="00F9616E"/>
    <w:rsid w:val="00F97479"/>
    <w:rsid w:val="00FA2BC3"/>
    <w:rsid w:val="00FA2DAE"/>
    <w:rsid w:val="00FA3ABF"/>
    <w:rsid w:val="00FA464F"/>
    <w:rsid w:val="00FA47EA"/>
    <w:rsid w:val="00FA4999"/>
    <w:rsid w:val="00FA4C2A"/>
    <w:rsid w:val="00FA4DBE"/>
    <w:rsid w:val="00FA56D0"/>
    <w:rsid w:val="00FB0552"/>
    <w:rsid w:val="00FB0F5B"/>
    <w:rsid w:val="00FB35C2"/>
    <w:rsid w:val="00FB5267"/>
    <w:rsid w:val="00FB53F4"/>
    <w:rsid w:val="00FB5CE7"/>
    <w:rsid w:val="00FB60DA"/>
    <w:rsid w:val="00FB6613"/>
    <w:rsid w:val="00FB6A65"/>
    <w:rsid w:val="00FB7A82"/>
    <w:rsid w:val="00FC08CD"/>
    <w:rsid w:val="00FC0CBA"/>
    <w:rsid w:val="00FC1EF3"/>
    <w:rsid w:val="00FC24A2"/>
    <w:rsid w:val="00FC326B"/>
    <w:rsid w:val="00FC47AF"/>
    <w:rsid w:val="00FC4FBF"/>
    <w:rsid w:val="00FC5B40"/>
    <w:rsid w:val="00FC6A4E"/>
    <w:rsid w:val="00FC7024"/>
    <w:rsid w:val="00FC70DF"/>
    <w:rsid w:val="00FC7468"/>
    <w:rsid w:val="00FC7720"/>
    <w:rsid w:val="00FC7D81"/>
    <w:rsid w:val="00FD0842"/>
    <w:rsid w:val="00FD0E59"/>
    <w:rsid w:val="00FD11ED"/>
    <w:rsid w:val="00FD1431"/>
    <w:rsid w:val="00FD18E9"/>
    <w:rsid w:val="00FD3A7F"/>
    <w:rsid w:val="00FD3DA8"/>
    <w:rsid w:val="00FD4488"/>
    <w:rsid w:val="00FD5D79"/>
    <w:rsid w:val="00FD7510"/>
    <w:rsid w:val="00FE0047"/>
    <w:rsid w:val="00FE0B17"/>
    <w:rsid w:val="00FE28AD"/>
    <w:rsid w:val="00FE5ED2"/>
    <w:rsid w:val="00FE6273"/>
    <w:rsid w:val="00FF1226"/>
    <w:rsid w:val="00FF2826"/>
    <w:rsid w:val="00FF3BE2"/>
    <w:rsid w:val="00FF3C4B"/>
    <w:rsid w:val="00FF414F"/>
    <w:rsid w:val="00FF4EBE"/>
    <w:rsid w:val="00FF5A15"/>
    <w:rsid w:val="00FF74F5"/>
    <w:rsid w:val="00FF7B23"/>
    <w:rsid w:val="010827C0"/>
    <w:rsid w:val="01906C14"/>
    <w:rsid w:val="01B60EBB"/>
    <w:rsid w:val="023141EE"/>
    <w:rsid w:val="02661E94"/>
    <w:rsid w:val="02D54F72"/>
    <w:rsid w:val="03086A42"/>
    <w:rsid w:val="03151C1F"/>
    <w:rsid w:val="032F2286"/>
    <w:rsid w:val="03EE2141"/>
    <w:rsid w:val="03F97BCA"/>
    <w:rsid w:val="0431202E"/>
    <w:rsid w:val="04797EAF"/>
    <w:rsid w:val="04CB76DF"/>
    <w:rsid w:val="04E8190A"/>
    <w:rsid w:val="05141D7D"/>
    <w:rsid w:val="060257C0"/>
    <w:rsid w:val="06365BDB"/>
    <w:rsid w:val="067C50B3"/>
    <w:rsid w:val="06DD0B3B"/>
    <w:rsid w:val="06FA704F"/>
    <w:rsid w:val="071E2EAA"/>
    <w:rsid w:val="07750484"/>
    <w:rsid w:val="07D577AC"/>
    <w:rsid w:val="07FE443D"/>
    <w:rsid w:val="08472F5D"/>
    <w:rsid w:val="08506B37"/>
    <w:rsid w:val="089B4D67"/>
    <w:rsid w:val="08A72F92"/>
    <w:rsid w:val="08AA318A"/>
    <w:rsid w:val="08E9671C"/>
    <w:rsid w:val="08EB12A9"/>
    <w:rsid w:val="090517A8"/>
    <w:rsid w:val="09350CB8"/>
    <w:rsid w:val="096970E4"/>
    <w:rsid w:val="09954C14"/>
    <w:rsid w:val="09CD7781"/>
    <w:rsid w:val="0A2A2299"/>
    <w:rsid w:val="0A546A76"/>
    <w:rsid w:val="0ACA53AA"/>
    <w:rsid w:val="0AD54E55"/>
    <w:rsid w:val="0AE474BE"/>
    <w:rsid w:val="0AF3284F"/>
    <w:rsid w:val="0B280860"/>
    <w:rsid w:val="0B575B89"/>
    <w:rsid w:val="0BA073EC"/>
    <w:rsid w:val="0BB329F1"/>
    <w:rsid w:val="0BE856C8"/>
    <w:rsid w:val="0C40137C"/>
    <w:rsid w:val="0C532EBD"/>
    <w:rsid w:val="0D4032E2"/>
    <w:rsid w:val="0D784205"/>
    <w:rsid w:val="0D8E6743"/>
    <w:rsid w:val="0D9848D0"/>
    <w:rsid w:val="0E15476E"/>
    <w:rsid w:val="0E172A9C"/>
    <w:rsid w:val="0E26697C"/>
    <w:rsid w:val="0EA37538"/>
    <w:rsid w:val="0F827BC7"/>
    <w:rsid w:val="0FC14BAE"/>
    <w:rsid w:val="0FD53324"/>
    <w:rsid w:val="0FD57043"/>
    <w:rsid w:val="0FE61D33"/>
    <w:rsid w:val="10735C44"/>
    <w:rsid w:val="107B3312"/>
    <w:rsid w:val="10D03BFA"/>
    <w:rsid w:val="10E52314"/>
    <w:rsid w:val="11702ECB"/>
    <w:rsid w:val="11D4261F"/>
    <w:rsid w:val="125B2A52"/>
    <w:rsid w:val="12B66CFA"/>
    <w:rsid w:val="12D82208"/>
    <w:rsid w:val="1311385B"/>
    <w:rsid w:val="134149FB"/>
    <w:rsid w:val="13493820"/>
    <w:rsid w:val="134E7862"/>
    <w:rsid w:val="135A2E5B"/>
    <w:rsid w:val="13E142DF"/>
    <w:rsid w:val="142652F4"/>
    <w:rsid w:val="147261F8"/>
    <w:rsid w:val="14902DA1"/>
    <w:rsid w:val="150177FB"/>
    <w:rsid w:val="152550D2"/>
    <w:rsid w:val="15742EC0"/>
    <w:rsid w:val="157F6456"/>
    <w:rsid w:val="15B973FD"/>
    <w:rsid w:val="15E11B06"/>
    <w:rsid w:val="15FD23B0"/>
    <w:rsid w:val="16433BA4"/>
    <w:rsid w:val="167C247F"/>
    <w:rsid w:val="16870936"/>
    <w:rsid w:val="16A74FFA"/>
    <w:rsid w:val="16B51457"/>
    <w:rsid w:val="16BE3A2B"/>
    <w:rsid w:val="16C4673A"/>
    <w:rsid w:val="16DA2D5C"/>
    <w:rsid w:val="17124FC2"/>
    <w:rsid w:val="1721243D"/>
    <w:rsid w:val="17453961"/>
    <w:rsid w:val="175D5E29"/>
    <w:rsid w:val="1797541E"/>
    <w:rsid w:val="17EE69D4"/>
    <w:rsid w:val="180B3481"/>
    <w:rsid w:val="184A143F"/>
    <w:rsid w:val="189015AD"/>
    <w:rsid w:val="18BD0CCD"/>
    <w:rsid w:val="19145D4E"/>
    <w:rsid w:val="192C3742"/>
    <w:rsid w:val="193F367A"/>
    <w:rsid w:val="19C23A8F"/>
    <w:rsid w:val="19C83512"/>
    <w:rsid w:val="19E60F71"/>
    <w:rsid w:val="1A2F0D91"/>
    <w:rsid w:val="1A431F6C"/>
    <w:rsid w:val="1A7F765F"/>
    <w:rsid w:val="1AAE3566"/>
    <w:rsid w:val="1AAF461E"/>
    <w:rsid w:val="1B9E3FF5"/>
    <w:rsid w:val="1BAB7E05"/>
    <w:rsid w:val="1C254294"/>
    <w:rsid w:val="1C630A1B"/>
    <w:rsid w:val="1C712553"/>
    <w:rsid w:val="1C77156D"/>
    <w:rsid w:val="1C9054E9"/>
    <w:rsid w:val="1CB90E6D"/>
    <w:rsid w:val="1D3B7AD6"/>
    <w:rsid w:val="1D5143B0"/>
    <w:rsid w:val="1D7F30C9"/>
    <w:rsid w:val="1DCE7ED3"/>
    <w:rsid w:val="1DED0FDC"/>
    <w:rsid w:val="1DFB20B5"/>
    <w:rsid w:val="1E48169D"/>
    <w:rsid w:val="1E602A20"/>
    <w:rsid w:val="1E965042"/>
    <w:rsid w:val="1EAC2A7F"/>
    <w:rsid w:val="1EC5299F"/>
    <w:rsid w:val="1ED25F53"/>
    <w:rsid w:val="1EF47AC1"/>
    <w:rsid w:val="1FBE3C87"/>
    <w:rsid w:val="1FFE0C50"/>
    <w:rsid w:val="205E6407"/>
    <w:rsid w:val="2086643B"/>
    <w:rsid w:val="20CA61C3"/>
    <w:rsid w:val="20E77BA5"/>
    <w:rsid w:val="20F874C0"/>
    <w:rsid w:val="21347B6E"/>
    <w:rsid w:val="21356030"/>
    <w:rsid w:val="217C323F"/>
    <w:rsid w:val="21BE2B9B"/>
    <w:rsid w:val="21CF08CF"/>
    <w:rsid w:val="21E32C45"/>
    <w:rsid w:val="22327245"/>
    <w:rsid w:val="22395998"/>
    <w:rsid w:val="225A0FAD"/>
    <w:rsid w:val="226C2CA6"/>
    <w:rsid w:val="22835CF3"/>
    <w:rsid w:val="238B30B1"/>
    <w:rsid w:val="238C6E29"/>
    <w:rsid w:val="23B06F82"/>
    <w:rsid w:val="240132A2"/>
    <w:rsid w:val="241B0F31"/>
    <w:rsid w:val="24284C6C"/>
    <w:rsid w:val="24896F9C"/>
    <w:rsid w:val="250A2979"/>
    <w:rsid w:val="25457290"/>
    <w:rsid w:val="255312C4"/>
    <w:rsid w:val="25CF4389"/>
    <w:rsid w:val="25FF1B34"/>
    <w:rsid w:val="266E69CC"/>
    <w:rsid w:val="26E22772"/>
    <w:rsid w:val="26EC5D63"/>
    <w:rsid w:val="27026062"/>
    <w:rsid w:val="272E0740"/>
    <w:rsid w:val="273D43B3"/>
    <w:rsid w:val="276D019A"/>
    <w:rsid w:val="27706631"/>
    <w:rsid w:val="279978A1"/>
    <w:rsid w:val="27AC67FE"/>
    <w:rsid w:val="27DE0083"/>
    <w:rsid w:val="27F90D5F"/>
    <w:rsid w:val="284A03C7"/>
    <w:rsid w:val="287373F2"/>
    <w:rsid w:val="287946BA"/>
    <w:rsid w:val="28C14D96"/>
    <w:rsid w:val="28D66B8D"/>
    <w:rsid w:val="29834F07"/>
    <w:rsid w:val="298B483B"/>
    <w:rsid w:val="29A76B02"/>
    <w:rsid w:val="2A0F359A"/>
    <w:rsid w:val="2A6D61E5"/>
    <w:rsid w:val="2B5630D9"/>
    <w:rsid w:val="2B5A529B"/>
    <w:rsid w:val="2B6C0067"/>
    <w:rsid w:val="2B765AA2"/>
    <w:rsid w:val="2B9A122F"/>
    <w:rsid w:val="2BD2206D"/>
    <w:rsid w:val="2C061FF9"/>
    <w:rsid w:val="2C3D5EB7"/>
    <w:rsid w:val="2C5A5D16"/>
    <w:rsid w:val="2C6C732D"/>
    <w:rsid w:val="2C6E029B"/>
    <w:rsid w:val="2CA31161"/>
    <w:rsid w:val="2CA376BD"/>
    <w:rsid w:val="2CEE6993"/>
    <w:rsid w:val="2D4C0361"/>
    <w:rsid w:val="2DDB4C35"/>
    <w:rsid w:val="2DE90D11"/>
    <w:rsid w:val="2DFB1DB6"/>
    <w:rsid w:val="2E654E87"/>
    <w:rsid w:val="2E7639FA"/>
    <w:rsid w:val="2E830786"/>
    <w:rsid w:val="2E862000"/>
    <w:rsid w:val="2EDD4902"/>
    <w:rsid w:val="2EF064CF"/>
    <w:rsid w:val="2EFD5A3F"/>
    <w:rsid w:val="2F2526E2"/>
    <w:rsid w:val="2F446E72"/>
    <w:rsid w:val="2F514DDA"/>
    <w:rsid w:val="2FD51B80"/>
    <w:rsid w:val="3095556F"/>
    <w:rsid w:val="30C11449"/>
    <w:rsid w:val="30C91C6F"/>
    <w:rsid w:val="30E84431"/>
    <w:rsid w:val="30F8796D"/>
    <w:rsid w:val="313951EF"/>
    <w:rsid w:val="31A0062C"/>
    <w:rsid w:val="31D52193"/>
    <w:rsid w:val="322A1CAE"/>
    <w:rsid w:val="3233593A"/>
    <w:rsid w:val="323B4336"/>
    <w:rsid w:val="325059ED"/>
    <w:rsid w:val="32A0644D"/>
    <w:rsid w:val="32B274E2"/>
    <w:rsid w:val="32FE701E"/>
    <w:rsid w:val="33501350"/>
    <w:rsid w:val="33806DB1"/>
    <w:rsid w:val="338B04F0"/>
    <w:rsid w:val="33B45D0C"/>
    <w:rsid w:val="340071A3"/>
    <w:rsid w:val="341469A9"/>
    <w:rsid w:val="34775EE9"/>
    <w:rsid w:val="348F22D5"/>
    <w:rsid w:val="359E4EC6"/>
    <w:rsid w:val="364E2599"/>
    <w:rsid w:val="36923EE1"/>
    <w:rsid w:val="379944E9"/>
    <w:rsid w:val="37C135E2"/>
    <w:rsid w:val="37D007C8"/>
    <w:rsid w:val="37F13421"/>
    <w:rsid w:val="38164644"/>
    <w:rsid w:val="38961E84"/>
    <w:rsid w:val="398B3BB7"/>
    <w:rsid w:val="3A054D22"/>
    <w:rsid w:val="3A232143"/>
    <w:rsid w:val="3B004B08"/>
    <w:rsid w:val="3B096CF3"/>
    <w:rsid w:val="3B3B11C3"/>
    <w:rsid w:val="3C694356"/>
    <w:rsid w:val="3C6C1880"/>
    <w:rsid w:val="3CE16FCB"/>
    <w:rsid w:val="3D2B312B"/>
    <w:rsid w:val="3D5F5253"/>
    <w:rsid w:val="3D7620EC"/>
    <w:rsid w:val="3D965B5D"/>
    <w:rsid w:val="3D9E7F7E"/>
    <w:rsid w:val="3DAA67C4"/>
    <w:rsid w:val="3E1B2D18"/>
    <w:rsid w:val="3E390575"/>
    <w:rsid w:val="3E8479FB"/>
    <w:rsid w:val="3EA2480B"/>
    <w:rsid w:val="3F364E5D"/>
    <w:rsid w:val="3FAA4467"/>
    <w:rsid w:val="3FB57183"/>
    <w:rsid w:val="3FCA44AC"/>
    <w:rsid w:val="3FFB4CC3"/>
    <w:rsid w:val="407A208B"/>
    <w:rsid w:val="407D485B"/>
    <w:rsid w:val="41063FAB"/>
    <w:rsid w:val="41265D6F"/>
    <w:rsid w:val="413B63FE"/>
    <w:rsid w:val="415B5D15"/>
    <w:rsid w:val="41EA34A0"/>
    <w:rsid w:val="42A37748"/>
    <w:rsid w:val="42AC6A21"/>
    <w:rsid w:val="42E40164"/>
    <w:rsid w:val="42F67656"/>
    <w:rsid w:val="42FC3E8F"/>
    <w:rsid w:val="43091601"/>
    <w:rsid w:val="432033BE"/>
    <w:rsid w:val="4333064D"/>
    <w:rsid w:val="4336046A"/>
    <w:rsid w:val="434F15AD"/>
    <w:rsid w:val="43617B74"/>
    <w:rsid w:val="43A45DF2"/>
    <w:rsid w:val="43B46F9A"/>
    <w:rsid w:val="43BD7F80"/>
    <w:rsid w:val="43EA3909"/>
    <w:rsid w:val="44412D31"/>
    <w:rsid w:val="44CB4ECC"/>
    <w:rsid w:val="44D212DA"/>
    <w:rsid w:val="45505BE9"/>
    <w:rsid w:val="457A0794"/>
    <w:rsid w:val="460D5E58"/>
    <w:rsid w:val="46DE3635"/>
    <w:rsid w:val="46E260B2"/>
    <w:rsid w:val="46E63A7D"/>
    <w:rsid w:val="471E68DA"/>
    <w:rsid w:val="47B70069"/>
    <w:rsid w:val="485458B8"/>
    <w:rsid w:val="48903933"/>
    <w:rsid w:val="48937E9F"/>
    <w:rsid w:val="48C61FFB"/>
    <w:rsid w:val="48E91F04"/>
    <w:rsid w:val="491C4BFB"/>
    <w:rsid w:val="493A57C7"/>
    <w:rsid w:val="494D13A0"/>
    <w:rsid w:val="49596A92"/>
    <w:rsid w:val="4962533C"/>
    <w:rsid w:val="49A01D61"/>
    <w:rsid w:val="4A4831FA"/>
    <w:rsid w:val="4A4A2ACF"/>
    <w:rsid w:val="4A780346"/>
    <w:rsid w:val="4A824532"/>
    <w:rsid w:val="4A954778"/>
    <w:rsid w:val="4B2D5A87"/>
    <w:rsid w:val="4B665995"/>
    <w:rsid w:val="4BE9528C"/>
    <w:rsid w:val="4C12763D"/>
    <w:rsid w:val="4C446D17"/>
    <w:rsid w:val="4C9C051F"/>
    <w:rsid w:val="4CDA2830"/>
    <w:rsid w:val="4CF23A65"/>
    <w:rsid w:val="4D4D0883"/>
    <w:rsid w:val="4DD03034"/>
    <w:rsid w:val="4DEF08D9"/>
    <w:rsid w:val="4E135761"/>
    <w:rsid w:val="4E257ADB"/>
    <w:rsid w:val="4E52705F"/>
    <w:rsid w:val="4F5A00BF"/>
    <w:rsid w:val="4F8862F7"/>
    <w:rsid w:val="4FA47125"/>
    <w:rsid w:val="50422D30"/>
    <w:rsid w:val="50704A07"/>
    <w:rsid w:val="50876515"/>
    <w:rsid w:val="50DF3BF8"/>
    <w:rsid w:val="517B7396"/>
    <w:rsid w:val="51F6353C"/>
    <w:rsid w:val="52E96083"/>
    <w:rsid w:val="52F44693"/>
    <w:rsid w:val="53325B90"/>
    <w:rsid w:val="53470633"/>
    <w:rsid w:val="53856B41"/>
    <w:rsid w:val="53A014CA"/>
    <w:rsid w:val="54AF6FEA"/>
    <w:rsid w:val="54B73EE8"/>
    <w:rsid w:val="55782433"/>
    <w:rsid w:val="55E4027B"/>
    <w:rsid w:val="55F54236"/>
    <w:rsid w:val="563167DC"/>
    <w:rsid w:val="563F3F6A"/>
    <w:rsid w:val="565239F7"/>
    <w:rsid w:val="56947751"/>
    <w:rsid w:val="56A20631"/>
    <w:rsid w:val="56AD2D63"/>
    <w:rsid w:val="56C42B2E"/>
    <w:rsid w:val="56D71B8E"/>
    <w:rsid w:val="5713184A"/>
    <w:rsid w:val="57576973"/>
    <w:rsid w:val="576C4BE0"/>
    <w:rsid w:val="57A35098"/>
    <w:rsid w:val="58010309"/>
    <w:rsid w:val="58392C09"/>
    <w:rsid w:val="587C1217"/>
    <w:rsid w:val="588703D0"/>
    <w:rsid w:val="58AD4A91"/>
    <w:rsid w:val="58C16C4A"/>
    <w:rsid w:val="590D7B1C"/>
    <w:rsid w:val="592147AB"/>
    <w:rsid w:val="59340A2E"/>
    <w:rsid w:val="59360BEC"/>
    <w:rsid w:val="59A51300"/>
    <w:rsid w:val="59C20FF1"/>
    <w:rsid w:val="59C84E55"/>
    <w:rsid w:val="5A47702B"/>
    <w:rsid w:val="5A555292"/>
    <w:rsid w:val="5A737E20"/>
    <w:rsid w:val="5A746154"/>
    <w:rsid w:val="5AFB1E9C"/>
    <w:rsid w:val="5B2363B6"/>
    <w:rsid w:val="5C4B1054"/>
    <w:rsid w:val="5C596D73"/>
    <w:rsid w:val="5CAB0425"/>
    <w:rsid w:val="5CB12ADD"/>
    <w:rsid w:val="5CE1164E"/>
    <w:rsid w:val="5E0A1696"/>
    <w:rsid w:val="5E0C1621"/>
    <w:rsid w:val="5E236FE9"/>
    <w:rsid w:val="5E447596"/>
    <w:rsid w:val="5E8819C0"/>
    <w:rsid w:val="5EC953FA"/>
    <w:rsid w:val="5EE0251C"/>
    <w:rsid w:val="5F9E2B6E"/>
    <w:rsid w:val="60347973"/>
    <w:rsid w:val="603B43A7"/>
    <w:rsid w:val="60BB1C5E"/>
    <w:rsid w:val="60C26F33"/>
    <w:rsid w:val="60E22BB9"/>
    <w:rsid w:val="60EE4097"/>
    <w:rsid w:val="61265BEC"/>
    <w:rsid w:val="61AB60F1"/>
    <w:rsid w:val="61CB0CC1"/>
    <w:rsid w:val="621041A6"/>
    <w:rsid w:val="6212466C"/>
    <w:rsid w:val="622A727A"/>
    <w:rsid w:val="622F0AD0"/>
    <w:rsid w:val="62621C8B"/>
    <w:rsid w:val="6272702C"/>
    <w:rsid w:val="62867168"/>
    <w:rsid w:val="628726BA"/>
    <w:rsid w:val="62976BF2"/>
    <w:rsid w:val="62F607A2"/>
    <w:rsid w:val="63130945"/>
    <w:rsid w:val="632367FF"/>
    <w:rsid w:val="632717A7"/>
    <w:rsid w:val="633153CC"/>
    <w:rsid w:val="63442359"/>
    <w:rsid w:val="636B6B70"/>
    <w:rsid w:val="636C4378"/>
    <w:rsid w:val="641F57F9"/>
    <w:rsid w:val="648B6F7F"/>
    <w:rsid w:val="64E7500B"/>
    <w:rsid w:val="65780027"/>
    <w:rsid w:val="65C871F4"/>
    <w:rsid w:val="65DC4731"/>
    <w:rsid w:val="660A5F87"/>
    <w:rsid w:val="665F5601"/>
    <w:rsid w:val="669453A6"/>
    <w:rsid w:val="66C37A39"/>
    <w:rsid w:val="673E410D"/>
    <w:rsid w:val="67C04E1D"/>
    <w:rsid w:val="68025AE1"/>
    <w:rsid w:val="68102F4C"/>
    <w:rsid w:val="682D1800"/>
    <w:rsid w:val="68672ABC"/>
    <w:rsid w:val="6867711E"/>
    <w:rsid w:val="688963C8"/>
    <w:rsid w:val="68A31DE4"/>
    <w:rsid w:val="68A615C2"/>
    <w:rsid w:val="68AB4C28"/>
    <w:rsid w:val="68C5643E"/>
    <w:rsid w:val="68D92905"/>
    <w:rsid w:val="690629F0"/>
    <w:rsid w:val="692A1FF1"/>
    <w:rsid w:val="694120BF"/>
    <w:rsid w:val="695B076D"/>
    <w:rsid w:val="696E1DBA"/>
    <w:rsid w:val="69E02990"/>
    <w:rsid w:val="69EF3CA6"/>
    <w:rsid w:val="6A154AF4"/>
    <w:rsid w:val="6A243A2A"/>
    <w:rsid w:val="6A5103A2"/>
    <w:rsid w:val="6AE37E01"/>
    <w:rsid w:val="6B3272D2"/>
    <w:rsid w:val="6B986593"/>
    <w:rsid w:val="6BD83CC0"/>
    <w:rsid w:val="6C0B08AF"/>
    <w:rsid w:val="6C406D4B"/>
    <w:rsid w:val="6CD52274"/>
    <w:rsid w:val="6CE17E41"/>
    <w:rsid w:val="6CE226EE"/>
    <w:rsid w:val="6D3A6E8E"/>
    <w:rsid w:val="6D684019"/>
    <w:rsid w:val="6DDD4BF0"/>
    <w:rsid w:val="6E8A32B8"/>
    <w:rsid w:val="6F602082"/>
    <w:rsid w:val="6F623B34"/>
    <w:rsid w:val="6F643795"/>
    <w:rsid w:val="6F7738CA"/>
    <w:rsid w:val="6FFF6D44"/>
    <w:rsid w:val="70077712"/>
    <w:rsid w:val="702D565E"/>
    <w:rsid w:val="70880999"/>
    <w:rsid w:val="70953127"/>
    <w:rsid w:val="70C310C6"/>
    <w:rsid w:val="7127776B"/>
    <w:rsid w:val="71294E4A"/>
    <w:rsid w:val="717956C9"/>
    <w:rsid w:val="719B2FB4"/>
    <w:rsid w:val="71BA3017"/>
    <w:rsid w:val="723D28E8"/>
    <w:rsid w:val="725E3350"/>
    <w:rsid w:val="72BA2196"/>
    <w:rsid w:val="730C5213"/>
    <w:rsid w:val="730D6BB1"/>
    <w:rsid w:val="73A148BE"/>
    <w:rsid w:val="73EB5842"/>
    <w:rsid w:val="743A6A56"/>
    <w:rsid w:val="74592719"/>
    <w:rsid w:val="74685188"/>
    <w:rsid w:val="74CF1B27"/>
    <w:rsid w:val="75324707"/>
    <w:rsid w:val="75760365"/>
    <w:rsid w:val="75E00EAD"/>
    <w:rsid w:val="75E17EDC"/>
    <w:rsid w:val="75FC4D15"/>
    <w:rsid w:val="763246F2"/>
    <w:rsid w:val="7642522B"/>
    <w:rsid w:val="76550B22"/>
    <w:rsid w:val="76590B17"/>
    <w:rsid w:val="766E0306"/>
    <w:rsid w:val="76C32090"/>
    <w:rsid w:val="77003562"/>
    <w:rsid w:val="771B75E2"/>
    <w:rsid w:val="771C6326"/>
    <w:rsid w:val="773A10C4"/>
    <w:rsid w:val="776915D3"/>
    <w:rsid w:val="777E6809"/>
    <w:rsid w:val="77AD732B"/>
    <w:rsid w:val="77AF3E74"/>
    <w:rsid w:val="7810416C"/>
    <w:rsid w:val="78174830"/>
    <w:rsid w:val="78546C9A"/>
    <w:rsid w:val="78790EA9"/>
    <w:rsid w:val="7897516F"/>
    <w:rsid w:val="78982E39"/>
    <w:rsid w:val="78FA685F"/>
    <w:rsid w:val="79382500"/>
    <w:rsid w:val="79573929"/>
    <w:rsid w:val="7959336E"/>
    <w:rsid w:val="79A0762A"/>
    <w:rsid w:val="79AE0705"/>
    <w:rsid w:val="7A227D90"/>
    <w:rsid w:val="7A7256DF"/>
    <w:rsid w:val="7A8359D5"/>
    <w:rsid w:val="7AD82B04"/>
    <w:rsid w:val="7AF93125"/>
    <w:rsid w:val="7B151CEF"/>
    <w:rsid w:val="7BFD4BBF"/>
    <w:rsid w:val="7C23788B"/>
    <w:rsid w:val="7C3A5023"/>
    <w:rsid w:val="7C8A76DF"/>
    <w:rsid w:val="7C8F3808"/>
    <w:rsid w:val="7D366D5F"/>
    <w:rsid w:val="7D5F4FF4"/>
    <w:rsid w:val="7D7B0A09"/>
    <w:rsid w:val="7D8C4BD1"/>
    <w:rsid w:val="7D8F6A39"/>
    <w:rsid w:val="7DC17710"/>
    <w:rsid w:val="7DE26546"/>
    <w:rsid w:val="7E5121FF"/>
    <w:rsid w:val="7EA8642E"/>
    <w:rsid w:val="7EB74019"/>
    <w:rsid w:val="7F097532"/>
    <w:rsid w:val="7F0A4EAF"/>
    <w:rsid w:val="7F3177DE"/>
    <w:rsid w:val="7F670968"/>
    <w:rsid w:val="7F6E04F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5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9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56"/>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99"/>
    <w:pPr>
      <w:autoSpaceDE w:val="0"/>
      <w:autoSpaceDN w:val="0"/>
      <w:jc w:val="center"/>
      <w:outlineLvl w:val="5"/>
    </w:pPr>
    <w:rPr>
      <w:rFonts w:ascii="宋体" w:hAnsi="宋体" w:cs="宋体"/>
      <w:kern w:val="0"/>
      <w:sz w:val="29"/>
      <w:szCs w:val="29"/>
      <w:lang w:eastAsia="en-US"/>
    </w:rPr>
  </w:style>
  <w:style w:type="paragraph" w:styleId="8">
    <w:name w:val="heading 9"/>
    <w:basedOn w:val="1"/>
    <w:next w:val="1"/>
    <w:link w:val="58"/>
    <w:autoRedefine/>
    <w:qFormat/>
    <w:uiPriority w:val="0"/>
    <w:pPr>
      <w:keepNext/>
      <w:keepLines/>
      <w:spacing w:before="240" w:after="64" w:line="320" w:lineRule="auto"/>
      <w:outlineLvl w:val="8"/>
    </w:pPr>
    <w:rPr>
      <w:rFonts w:ascii="等线 Light" w:hAnsi="等线 Light" w:eastAsia="等线 Light"/>
      <w:szCs w:val="21"/>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locked/>
    <w:uiPriority w:val="39"/>
    <w:pPr>
      <w:ind w:left="1260"/>
      <w:jc w:val="left"/>
    </w:pPr>
    <w:rPr>
      <w:rFonts w:asciiTheme="minorHAnsi" w:hAnsiTheme="minorHAnsi" w:cstheme="minorHAnsi"/>
      <w:sz w:val="18"/>
      <w:szCs w:val="18"/>
    </w:rPr>
  </w:style>
  <w:style w:type="paragraph" w:styleId="10">
    <w:name w:val="table of authorities"/>
    <w:basedOn w:val="1"/>
    <w:next w:val="1"/>
    <w:autoRedefine/>
    <w:qFormat/>
    <w:uiPriority w:val="99"/>
    <w:pPr>
      <w:ind w:left="420" w:leftChars="200"/>
    </w:pPr>
  </w:style>
  <w:style w:type="paragraph" w:styleId="11">
    <w:name w:val="Normal Indent"/>
    <w:basedOn w:val="1"/>
    <w:autoRedefine/>
    <w:qFormat/>
    <w:uiPriority w:val="0"/>
    <w:pPr>
      <w:autoSpaceDE w:val="0"/>
      <w:autoSpaceDN w:val="0"/>
      <w:spacing w:line="300" w:lineRule="auto"/>
    </w:pPr>
    <w:rPr>
      <w:rFonts w:ascii="宋体" w:hAnsi="宋体" w:cs="宋体" w:eastAsiaTheme="minorEastAsia"/>
      <w:b/>
      <w:sz w:val="44"/>
      <w:szCs w:val="22"/>
      <w:lang w:val="zh-CN" w:bidi="zh-CN"/>
    </w:rPr>
  </w:style>
  <w:style w:type="paragraph" w:styleId="12">
    <w:name w:val="Document Map"/>
    <w:basedOn w:val="1"/>
    <w:link w:val="136"/>
    <w:autoRedefine/>
    <w:unhideWhenUsed/>
    <w:qFormat/>
    <w:uiPriority w:val="0"/>
    <w:rPr>
      <w:rFonts w:ascii="宋体" w:hAnsi="Calibri"/>
      <w:sz w:val="18"/>
      <w:szCs w:val="18"/>
    </w:rPr>
  </w:style>
  <w:style w:type="paragraph" w:styleId="13">
    <w:name w:val="annotation text"/>
    <w:basedOn w:val="1"/>
    <w:link w:val="59"/>
    <w:autoRedefine/>
    <w:qFormat/>
    <w:uiPriority w:val="0"/>
    <w:pPr>
      <w:jc w:val="left"/>
    </w:pPr>
  </w:style>
  <w:style w:type="paragraph" w:styleId="14">
    <w:name w:val="Body Text 3"/>
    <w:basedOn w:val="1"/>
    <w:link w:val="102"/>
    <w:autoRedefine/>
    <w:qFormat/>
    <w:uiPriority w:val="0"/>
    <w:rPr>
      <w:rFonts w:ascii="宋体" w:hAnsi="Tahoma"/>
      <w:sz w:val="24"/>
      <w:szCs w:val="20"/>
    </w:rPr>
  </w:style>
  <w:style w:type="paragraph" w:styleId="15">
    <w:name w:val="Body Text"/>
    <w:basedOn w:val="1"/>
    <w:link w:val="60"/>
    <w:autoRedefine/>
    <w:qFormat/>
    <w:uiPriority w:val="0"/>
    <w:pPr>
      <w:autoSpaceDE w:val="0"/>
      <w:autoSpaceDN w:val="0"/>
      <w:jc w:val="left"/>
    </w:pPr>
    <w:rPr>
      <w:rFonts w:ascii="宋体" w:hAnsi="宋体" w:cs="宋体"/>
      <w:kern w:val="0"/>
      <w:sz w:val="23"/>
      <w:szCs w:val="23"/>
      <w:lang w:eastAsia="en-US"/>
    </w:rPr>
  </w:style>
  <w:style w:type="paragraph" w:styleId="16">
    <w:name w:val="Body Text Indent"/>
    <w:basedOn w:val="1"/>
    <w:autoRedefine/>
    <w:qFormat/>
    <w:uiPriority w:val="0"/>
    <w:pPr>
      <w:spacing w:line="360" w:lineRule="auto"/>
      <w:ind w:firstLine="480" w:firstLineChars="200"/>
    </w:pPr>
    <w:rPr>
      <w:rFonts w:ascii="宋体" w:hAnsi="宋体"/>
      <w:sz w:val="24"/>
    </w:rPr>
  </w:style>
  <w:style w:type="paragraph" w:styleId="17">
    <w:name w:val="Block Text"/>
    <w:basedOn w:val="1"/>
    <w:autoRedefine/>
    <w:qFormat/>
    <w:uiPriority w:val="99"/>
    <w:pPr>
      <w:spacing w:line="360" w:lineRule="auto"/>
      <w:ind w:left="119" w:right="119" w:firstLine="420"/>
    </w:pPr>
    <w:rPr>
      <w:rFonts w:ascii="宋体"/>
      <w:sz w:val="24"/>
      <w:szCs w:val="20"/>
    </w:rPr>
  </w:style>
  <w:style w:type="paragraph" w:styleId="18">
    <w:name w:val="toc 5"/>
    <w:basedOn w:val="1"/>
    <w:next w:val="1"/>
    <w:autoRedefine/>
    <w:qFormat/>
    <w:locked/>
    <w:uiPriority w:val="39"/>
    <w:pPr>
      <w:ind w:left="840"/>
      <w:jc w:val="left"/>
    </w:pPr>
    <w:rPr>
      <w:rFonts w:asciiTheme="minorHAnsi" w:hAnsiTheme="minorHAnsi" w:cstheme="minorHAnsi"/>
      <w:sz w:val="18"/>
      <w:szCs w:val="18"/>
    </w:rPr>
  </w:style>
  <w:style w:type="paragraph" w:styleId="19">
    <w:name w:val="toc 3"/>
    <w:basedOn w:val="1"/>
    <w:next w:val="1"/>
    <w:autoRedefine/>
    <w:qFormat/>
    <w:uiPriority w:val="39"/>
    <w:pPr>
      <w:ind w:left="420"/>
      <w:jc w:val="left"/>
    </w:pPr>
    <w:rPr>
      <w:rFonts w:asciiTheme="minorHAnsi" w:hAnsiTheme="minorHAnsi" w:cstheme="minorHAnsi"/>
      <w:i/>
      <w:iCs/>
      <w:sz w:val="20"/>
      <w:szCs w:val="20"/>
    </w:rPr>
  </w:style>
  <w:style w:type="paragraph" w:styleId="20">
    <w:name w:val="Plain Text"/>
    <w:basedOn w:val="1"/>
    <w:next w:val="1"/>
    <w:link w:val="61"/>
    <w:autoRedefine/>
    <w:qFormat/>
    <w:uiPriority w:val="0"/>
    <w:rPr>
      <w:rFonts w:ascii="宋体" w:hAnsi="Courier New"/>
      <w:kern w:val="0"/>
      <w:sz w:val="20"/>
      <w:szCs w:val="21"/>
    </w:rPr>
  </w:style>
  <w:style w:type="paragraph" w:styleId="21">
    <w:name w:val="toc 8"/>
    <w:basedOn w:val="1"/>
    <w:next w:val="1"/>
    <w:autoRedefine/>
    <w:qFormat/>
    <w:locked/>
    <w:uiPriority w:val="39"/>
    <w:pPr>
      <w:ind w:left="1470"/>
      <w:jc w:val="left"/>
    </w:pPr>
    <w:rPr>
      <w:rFonts w:asciiTheme="minorHAnsi" w:hAnsiTheme="minorHAnsi" w:cstheme="minorHAnsi"/>
      <w:sz w:val="18"/>
      <w:szCs w:val="18"/>
    </w:rPr>
  </w:style>
  <w:style w:type="paragraph" w:styleId="22">
    <w:name w:val="Date"/>
    <w:basedOn w:val="1"/>
    <w:next w:val="1"/>
    <w:link w:val="110"/>
    <w:autoRedefine/>
    <w:unhideWhenUsed/>
    <w:qFormat/>
    <w:uiPriority w:val="0"/>
    <w:pPr>
      <w:ind w:left="100" w:leftChars="2500"/>
    </w:pPr>
  </w:style>
  <w:style w:type="paragraph" w:styleId="23">
    <w:name w:val="Balloon Text"/>
    <w:basedOn w:val="1"/>
    <w:link w:val="62"/>
    <w:autoRedefine/>
    <w:qFormat/>
    <w:uiPriority w:val="0"/>
    <w:rPr>
      <w:sz w:val="18"/>
      <w:szCs w:val="18"/>
    </w:rPr>
  </w:style>
  <w:style w:type="paragraph" w:styleId="24">
    <w:name w:val="footer"/>
    <w:basedOn w:val="1"/>
    <w:link w:val="63"/>
    <w:autoRedefine/>
    <w:qFormat/>
    <w:uiPriority w:val="99"/>
    <w:pPr>
      <w:tabs>
        <w:tab w:val="center" w:pos="4153"/>
        <w:tab w:val="right" w:pos="8306"/>
      </w:tabs>
      <w:snapToGrid w:val="0"/>
      <w:jc w:val="left"/>
    </w:pPr>
    <w:rPr>
      <w:sz w:val="18"/>
      <w:szCs w:val="18"/>
    </w:rPr>
  </w:style>
  <w:style w:type="paragraph" w:styleId="25">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7">
    <w:name w:val="toc 4"/>
    <w:basedOn w:val="1"/>
    <w:next w:val="1"/>
    <w:autoRedefine/>
    <w:qFormat/>
    <w:locked/>
    <w:uiPriority w:val="39"/>
    <w:pPr>
      <w:ind w:left="630"/>
      <w:jc w:val="left"/>
    </w:pPr>
    <w:rPr>
      <w:rFonts w:asciiTheme="minorHAnsi" w:hAnsiTheme="minorHAnsi" w:cstheme="minorHAnsi"/>
      <w:sz w:val="18"/>
      <w:szCs w:val="18"/>
    </w:rPr>
  </w:style>
  <w:style w:type="paragraph" w:styleId="28">
    <w:name w:val="Subtitle"/>
    <w:basedOn w:val="1"/>
    <w:next w:val="1"/>
    <w:link w:val="118"/>
    <w:autoRedefine/>
    <w:qFormat/>
    <w:locked/>
    <w:uiPriority w:val="11"/>
    <w:pPr>
      <w:spacing w:before="240" w:after="60" w:line="312" w:lineRule="auto"/>
      <w:jc w:val="center"/>
      <w:outlineLvl w:val="1"/>
    </w:pPr>
    <w:rPr>
      <w:rFonts w:ascii="Calibri" w:hAnsi="Calibri"/>
      <w:sz w:val="16"/>
      <w:szCs w:val="16"/>
    </w:rPr>
  </w:style>
  <w:style w:type="paragraph" w:styleId="29">
    <w:name w:val="footnote text"/>
    <w:basedOn w:val="1"/>
    <w:link w:val="65"/>
    <w:autoRedefine/>
    <w:qFormat/>
    <w:uiPriority w:val="0"/>
    <w:pPr>
      <w:snapToGrid w:val="0"/>
      <w:jc w:val="left"/>
    </w:pPr>
    <w:rPr>
      <w:sz w:val="18"/>
      <w:szCs w:val="18"/>
    </w:rPr>
  </w:style>
  <w:style w:type="paragraph" w:styleId="30">
    <w:name w:val="toc 6"/>
    <w:basedOn w:val="1"/>
    <w:next w:val="1"/>
    <w:autoRedefine/>
    <w:qFormat/>
    <w:locked/>
    <w:uiPriority w:val="39"/>
    <w:pPr>
      <w:ind w:left="1050"/>
      <w:jc w:val="left"/>
    </w:pPr>
    <w:rPr>
      <w:rFonts w:asciiTheme="minorHAnsi" w:hAnsiTheme="minorHAnsi" w:cstheme="minorHAnsi"/>
      <w:sz w:val="18"/>
      <w:szCs w:val="18"/>
    </w:rPr>
  </w:style>
  <w:style w:type="paragraph" w:styleId="31">
    <w:name w:val="Body Text Indent 3"/>
    <w:basedOn w:val="1"/>
    <w:link w:val="138"/>
    <w:autoRedefine/>
    <w:qFormat/>
    <w:uiPriority w:val="0"/>
    <w:pPr>
      <w:spacing w:after="120"/>
      <w:ind w:left="200" w:leftChars="200"/>
    </w:pPr>
    <w:rPr>
      <w:rFonts w:ascii="Calibri" w:hAnsi="Calibri"/>
      <w:sz w:val="16"/>
      <w:szCs w:val="16"/>
    </w:rPr>
  </w:style>
  <w:style w:type="paragraph" w:styleId="32">
    <w:name w:val="index 9"/>
    <w:next w:val="1"/>
    <w:autoRedefine/>
    <w:unhideWhenUsed/>
    <w:qFormat/>
    <w:uiPriority w:val="99"/>
    <w:pPr>
      <w:spacing w:line="560" w:lineRule="exact"/>
      <w:ind w:firstLine="880"/>
      <w:jc w:val="both"/>
      <w:textAlignment w:val="baseline"/>
    </w:pPr>
    <w:rPr>
      <w:rFonts w:ascii="Calibri" w:hAnsi="Calibri" w:eastAsia="宋体" w:cs="等线"/>
      <w:kern w:val="2"/>
      <w:sz w:val="21"/>
      <w:szCs w:val="21"/>
      <w:lang w:val="en-US" w:eastAsia="zh-CN" w:bidi="ar-SA"/>
    </w:rPr>
  </w:style>
  <w:style w:type="paragraph" w:styleId="33">
    <w:name w:val="toc 2"/>
    <w:basedOn w:val="1"/>
    <w:next w:val="1"/>
    <w:autoRedefine/>
    <w:qFormat/>
    <w:uiPriority w:val="39"/>
    <w:pPr>
      <w:ind w:left="210"/>
      <w:jc w:val="left"/>
    </w:pPr>
    <w:rPr>
      <w:rFonts w:asciiTheme="minorHAnsi" w:hAnsiTheme="minorHAnsi" w:cstheme="minorHAnsi"/>
      <w:smallCaps/>
      <w:sz w:val="20"/>
      <w:szCs w:val="20"/>
    </w:rPr>
  </w:style>
  <w:style w:type="paragraph" w:styleId="34">
    <w:name w:val="toc 9"/>
    <w:basedOn w:val="1"/>
    <w:next w:val="1"/>
    <w:autoRedefine/>
    <w:qFormat/>
    <w:locked/>
    <w:uiPriority w:val="39"/>
    <w:pPr>
      <w:ind w:left="1680"/>
      <w:jc w:val="left"/>
    </w:pPr>
    <w:rPr>
      <w:rFonts w:asciiTheme="minorHAnsi" w:hAnsiTheme="minorHAnsi" w:cstheme="minorHAnsi"/>
      <w:sz w:val="18"/>
      <w:szCs w:val="18"/>
    </w:rPr>
  </w:style>
  <w:style w:type="paragraph" w:styleId="35">
    <w:name w:val="Body Text 2"/>
    <w:basedOn w:val="1"/>
    <w:link w:val="66"/>
    <w:autoRedefine/>
    <w:qFormat/>
    <w:uiPriority w:val="99"/>
    <w:rPr>
      <w:rFonts w:ascii="宋体" w:hAnsi="宋体"/>
      <w:sz w:val="28"/>
    </w:rPr>
  </w:style>
  <w:style w:type="paragraph" w:styleId="36">
    <w:name w:val="Normal (Web)"/>
    <w:basedOn w:val="1"/>
    <w:link w:val="101"/>
    <w:autoRedefine/>
    <w:qFormat/>
    <w:uiPriority w:val="0"/>
    <w:pPr>
      <w:widowControl/>
      <w:spacing w:beforeAutospacing="1" w:afterAutospacing="1"/>
      <w:jc w:val="left"/>
    </w:pPr>
    <w:rPr>
      <w:rFonts w:ascii="宋体" w:hAnsi="宋体" w:cs="宋体"/>
      <w:kern w:val="0"/>
      <w:sz w:val="24"/>
    </w:rPr>
  </w:style>
  <w:style w:type="paragraph" w:styleId="37">
    <w:name w:val="annotation subject"/>
    <w:basedOn w:val="13"/>
    <w:next w:val="13"/>
    <w:link w:val="67"/>
    <w:autoRedefine/>
    <w:qFormat/>
    <w:uiPriority w:val="0"/>
    <w:rPr>
      <w:b/>
      <w:bCs/>
    </w:rPr>
  </w:style>
  <w:style w:type="paragraph" w:styleId="38">
    <w:name w:val="Body Text First Indent"/>
    <w:basedOn w:val="15"/>
    <w:link w:val="137"/>
    <w:autoRedefine/>
    <w:qFormat/>
    <w:uiPriority w:val="99"/>
    <w:pPr>
      <w:spacing w:line="360" w:lineRule="exact"/>
      <w:ind w:firstLine="420" w:firstLineChars="200"/>
    </w:pPr>
    <w:rPr>
      <w:sz w:val="21"/>
      <w:szCs w:val="24"/>
    </w:rPr>
  </w:style>
  <w:style w:type="paragraph" w:styleId="39">
    <w:name w:val="Body Text First Indent 2"/>
    <w:basedOn w:val="16"/>
    <w:autoRedefine/>
    <w:unhideWhenUsed/>
    <w:qFormat/>
    <w:uiPriority w:val="99"/>
    <w:pPr>
      <w:ind w:firstLine="420"/>
    </w:pPr>
  </w:style>
  <w:style w:type="table" w:styleId="41">
    <w:name w:val="Table Grid"/>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locked/>
    <w:uiPriority w:val="0"/>
    <w:rPr>
      <w:rFonts w:ascii="Tahoma" w:hAnsi="Tahoma"/>
      <w:b/>
      <w:sz w:val="24"/>
    </w:rPr>
  </w:style>
  <w:style w:type="character" w:styleId="44">
    <w:name w:val="page number"/>
    <w:basedOn w:val="42"/>
    <w:autoRedefine/>
    <w:qFormat/>
    <w:uiPriority w:val="0"/>
    <w:rPr>
      <w:rFonts w:ascii="Tahoma" w:hAnsi="Tahoma"/>
      <w:sz w:val="24"/>
    </w:rPr>
  </w:style>
  <w:style w:type="character" w:styleId="45">
    <w:name w:val="Emphasis"/>
    <w:autoRedefine/>
    <w:qFormat/>
    <w:locked/>
    <w:uiPriority w:val="20"/>
    <w:rPr>
      <w:i/>
      <w:iCs/>
    </w:rPr>
  </w:style>
  <w:style w:type="character" w:styleId="46">
    <w:name w:val="Hyperlink"/>
    <w:basedOn w:val="42"/>
    <w:autoRedefine/>
    <w:qFormat/>
    <w:uiPriority w:val="99"/>
    <w:rPr>
      <w:rFonts w:cs="Times New Roman"/>
      <w:color w:val="0000FF"/>
      <w:u w:val="single"/>
    </w:rPr>
  </w:style>
  <w:style w:type="character" w:styleId="47">
    <w:name w:val="annotation reference"/>
    <w:basedOn w:val="42"/>
    <w:autoRedefine/>
    <w:qFormat/>
    <w:uiPriority w:val="0"/>
    <w:rPr>
      <w:rFonts w:cs="Times New Roman"/>
      <w:sz w:val="21"/>
      <w:szCs w:val="21"/>
    </w:rPr>
  </w:style>
  <w:style w:type="character" w:styleId="48">
    <w:name w:val="footnote reference"/>
    <w:basedOn w:val="42"/>
    <w:autoRedefine/>
    <w:qFormat/>
    <w:uiPriority w:val="0"/>
    <w:rPr>
      <w:rFonts w:cs="Times New Roman"/>
      <w:vertAlign w:val="superscript"/>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正文文本 21"/>
    <w:basedOn w:val="1"/>
    <w:autoRedefine/>
    <w:qFormat/>
    <w:uiPriority w:val="0"/>
    <w:pPr>
      <w:adjustRightInd w:val="0"/>
      <w:spacing w:line="360" w:lineRule="atLeast"/>
      <w:ind w:left="480"/>
    </w:pPr>
    <w:rPr>
      <w:rFonts w:ascii="宋体"/>
      <w:kern w:val="0"/>
      <w:sz w:val="24"/>
      <w:szCs w:val="20"/>
    </w:rPr>
  </w:style>
  <w:style w:type="paragraph" w:styleId="51">
    <w:name w:val="Intense Quote"/>
    <w:basedOn w:val="1"/>
    <w:next w:val="1"/>
    <w:link w:val="153"/>
    <w:autoRedefine/>
    <w:qFormat/>
    <w:uiPriority w:val="0"/>
    <w:pPr>
      <w:widowControl/>
      <w:wordWrap w:val="0"/>
      <w:spacing w:before="360" w:after="360"/>
      <w:ind w:left="950" w:right="950"/>
      <w:jc w:val="center"/>
    </w:pPr>
    <w:rPr>
      <w:i/>
    </w:rPr>
  </w:style>
  <w:style w:type="character" w:customStyle="1" w:styleId="52">
    <w:name w:val="标题 1 字符"/>
    <w:basedOn w:val="42"/>
    <w:link w:val="2"/>
    <w:autoRedefine/>
    <w:qFormat/>
    <w:locked/>
    <w:uiPriority w:val="9"/>
    <w:rPr>
      <w:rFonts w:ascii="Times New Roman" w:hAnsi="Times New Roman" w:eastAsia="宋体" w:cs="Times New Roman"/>
      <w:b/>
      <w:bCs/>
      <w:kern w:val="44"/>
      <w:sz w:val="44"/>
      <w:szCs w:val="44"/>
    </w:rPr>
  </w:style>
  <w:style w:type="character" w:customStyle="1" w:styleId="53">
    <w:name w:val="标题 2 字符"/>
    <w:basedOn w:val="42"/>
    <w:link w:val="3"/>
    <w:autoRedefine/>
    <w:qFormat/>
    <w:locked/>
    <w:uiPriority w:val="0"/>
    <w:rPr>
      <w:rFonts w:ascii="等线 Light" w:hAnsi="等线 Light" w:eastAsia="等线 Light" w:cs="Times New Roman"/>
      <w:b/>
      <w:bCs/>
      <w:sz w:val="32"/>
      <w:szCs w:val="32"/>
    </w:rPr>
  </w:style>
  <w:style w:type="character" w:customStyle="1" w:styleId="54">
    <w:name w:val="标题 3 字符"/>
    <w:basedOn w:val="42"/>
    <w:link w:val="4"/>
    <w:autoRedefine/>
    <w:qFormat/>
    <w:locked/>
    <w:uiPriority w:val="0"/>
    <w:rPr>
      <w:rFonts w:ascii="Times New Roman" w:hAnsi="Times New Roman" w:eastAsia="宋体" w:cs="Times New Roman"/>
      <w:b/>
      <w:bCs/>
      <w:sz w:val="32"/>
      <w:szCs w:val="32"/>
    </w:rPr>
  </w:style>
  <w:style w:type="character" w:customStyle="1" w:styleId="55">
    <w:name w:val="标题 4 字符"/>
    <w:basedOn w:val="42"/>
    <w:link w:val="5"/>
    <w:autoRedefine/>
    <w:semiHidden/>
    <w:qFormat/>
    <w:locked/>
    <w:uiPriority w:val="99"/>
    <w:rPr>
      <w:rFonts w:ascii="等线 Light" w:hAnsi="等线 Light" w:eastAsia="等线 Light" w:cs="Times New Roman"/>
      <w:b/>
      <w:bCs/>
      <w:sz w:val="28"/>
      <w:szCs w:val="28"/>
    </w:rPr>
  </w:style>
  <w:style w:type="character" w:customStyle="1" w:styleId="56">
    <w:name w:val="标题 5 字符"/>
    <w:basedOn w:val="42"/>
    <w:link w:val="6"/>
    <w:autoRedefine/>
    <w:qFormat/>
    <w:locked/>
    <w:uiPriority w:val="99"/>
    <w:rPr>
      <w:rFonts w:ascii="Times New Roman" w:hAnsi="Times New Roman" w:eastAsia="宋体" w:cs="Times New Roman"/>
      <w:b/>
      <w:bCs/>
      <w:sz w:val="28"/>
      <w:szCs w:val="28"/>
    </w:rPr>
  </w:style>
  <w:style w:type="character" w:customStyle="1" w:styleId="57">
    <w:name w:val="标题 6 字符"/>
    <w:basedOn w:val="42"/>
    <w:link w:val="7"/>
    <w:autoRedefine/>
    <w:qFormat/>
    <w:locked/>
    <w:uiPriority w:val="99"/>
    <w:rPr>
      <w:rFonts w:ascii="宋体" w:hAnsi="宋体" w:eastAsia="宋体" w:cs="宋体"/>
      <w:kern w:val="0"/>
      <w:sz w:val="29"/>
      <w:szCs w:val="29"/>
      <w:lang w:eastAsia="en-US"/>
    </w:rPr>
  </w:style>
  <w:style w:type="character" w:customStyle="1" w:styleId="58">
    <w:name w:val="标题 9 字符"/>
    <w:basedOn w:val="42"/>
    <w:link w:val="8"/>
    <w:autoRedefine/>
    <w:qFormat/>
    <w:locked/>
    <w:uiPriority w:val="0"/>
    <w:rPr>
      <w:rFonts w:ascii="等线 Light" w:hAnsi="等线 Light" w:eastAsia="等线 Light" w:cs="Times New Roman"/>
      <w:sz w:val="21"/>
      <w:szCs w:val="21"/>
    </w:rPr>
  </w:style>
  <w:style w:type="character" w:customStyle="1" w:styleId="59">
    <w:name w:val="批注文字 字符"/>
    <w:basedOn w:val="42"/>
    <w:link w:val="13"/>
    <w:autoRedefine/>
    <w:qFormat/>
    <w:locked/>
    <w:uiPriority w:val="0"/>
    <w:rPr>
      <w:rFonts w:cs="Times New Roman"/>
      <w:kern w:val="2"/>
      <w:sz w:val="24"/>
      <w:szCs w:val="24"/>
    </w:rPr>
  </w:style>
  <w:style w:type="character" w:customStyle="1" w:styleId="60">
    <w:name w:val="正文文本 字符"/>
    <w:basedOn w:val="42"/>
    <w:link w:val="15"/>
    <w:autoRedefine/>
    <w:qFormat/>
    <w:locked/>
    <w:uiPriority w:val="0"/>
    <w:rPr>
      <w:rFonts w:ascii="宋体" w:hAnsi="宋体" w:eastAsia="宋体" w:cs="宋体"/>
      <w:kern w:val="0"/>
      <w:sz w:val="23"/>
      <w:szCs w:val="23"/>
      <w:lang w:eastAsia="en-US"/>
    </w:rPr>
  </w:style>
  <w:style w:type="character" w:customStyle="1" w:styleId="61">
    <w:name w:val="纯文本 字符1"/>
    <w:basedOn w:val="42"/>
    <w:link w:val="20"/>
    <w:autoRedefine/>
    <w:qFormat/>
    <w:locked/>
    <w:uiPriority w:val="99"/>
    <w:rPr>
      <w:rFonts w:ascii="宋体" w:hAnsi="Courier New" w:eastAsia="宋体"/>
      <w:sz w:val="21"/>
    </w:rPr>
  </w:style>
  <w:style w:type="character" w:customStyle="1" w:styleId="62">
    <w:name w:val="批注框文本 字符"/>
    <w:basedOn w:val="42"/>
    <w:link w:val="23"/>
    <w:autoRedefine/>
    <w:semiHidden/>
    <w:qFormat/>
    <w:locked/>
    <w:uiPriority w:val="99"/>
    <w:rPr>
      <w:rFonts w:cs="Times New Roman"/>
      <w:kern w:val="2"/>
      <w:sz w:val="18"/>
      <w:szCs w:val="18"/>
    </w:rPr>
  </w:style>
  <w:style w:type="character" w:customStyle="1" w:styleId="63">
    <w:name w:val="页脚 字符"/>
    <w:basedOn w:val="42"/>
    <w:link w:val="24"/>
    <w:autoRedefine/>
    <w:qFormat/>
    <w:locked/>
    <w:uiPriority w:val="99"/>
    <w:rPr>
      <w:rFonts w:cs="Times New Roman"/>
      <w:sz w:val="18"/>
      <w:szCs w:val="18"/>
    </w:rPr>
  </w:style>
  <w:style w:type="character" w:customStyle="1" w:styleId="64">
    <w:name w:val="页眉 字符"/>
    <w:basedOn w:val="42"/>
    <w:link w:val="25"/>
    <w:autoRedefine/>
    <w:qFormat/>
    <w:locked/>
    <w:uiPriority w:val="99"/>
    <w:rPr>
      <w:rFonts w:cs="Times New Roman"/>
      <w:sz w:val="18"/>
      <w:szCs w:val="18"/>
    </w:rPr>
  </w:style>
  <w:style w:type="character" w:customStyle="1" w:styleId="65">
    <w:name w:val="脚注文本 字符"/>
    <w:basedOn w:val="42"/>
    <w:link w:val="29"/>
    <w:autoRedefine/>
    <w:qFormat/>
    <w:uiPriority w:val="0"/>
    <w:rPr>
      <w:rFonts w:ascii="Times New Roman" w:hAnsi="Times New Roman"/>
      <w:sz w:val="18"/>
      <w:szCs w:val="18"/>
    </w:rPr>
  </w:style>
  <w:style w:type="character" w:customStyle="1" w:styleId="66">
    <w:name w:val="正文文本 2 字符"/>
    <w:basedOn w:val="42"/>
    <w:link w:val="35"/>
    <w:autoRedefine/>
    <w:semiHidden/>
    <w:qFormat/>
    <w:uiPriority w:val="99"/>
    <w:rPr>
      <w:rFonts w:ascii="Times New Roman" w:hAnsi="Times New Roman"/>
      <w:szCs w:val="24"/>
    </w:rPr>
  </w:style>
  <w:style w:type="character" w:customStyle="1" w:styleId="67">
    <w:name w:val="批注主题 字符"/>
    <w:basedOn w:val="59"/>
    <w:link w:val="37"/>
    <w:autoRedefine/>
    <w:qFormat/>
    <w:locked/>
    <w:uiPriority w:val="99"/>
    <w:rPr>
      <w:rFonts w:cs="Times New Roman"/>
      <w:kern w:val="2"/>
      <w:sz w:val="24"/>
      <w:szCs w:val="24"/>
    </w:rPr>
  </w:style>
  <w:style w:type="paragraph" w:styleId="68">
    <w:name w:val="List Paragraph"/>
    <w:basedOn w:val="1"/>
    <w:link w:val="99"/>
    <w:autoRedefine/>
    <w:qFormat/>
    <w:uiPriority w:val="34"/>
    <w:pPr>
      <w:autoSpaceDE w:val="0"/>
      <w:autoSpaceDN w:val="0"/>
      <w:ind w:left="2640" w:hanging="598"/>
      <w:jc w:val="left"/>
    </w:pPr>
    <w:rPr>
      <w:rFonts w:ascii="宋体" w:hAnsi="宋体" w:cs="宋体"/>
      <w:kern w:val="0"/>
      <w:sz w:val="22"/>
      <w:szCs w:val="22"/>
      <w:lang w:eastAsia="en-US"/>
    </w:rPr>
  </w:style>
  <w:style w:type="paragraph" w:customStyle="1" w:styleId="69">
    <w:name w:val="目录1"/>
    <w:basedOn w:val="20"/>
    <w:autoRedefine/>
    <w:qFormat/>
    <w:uiPriority w:val="99"/>
    <w:rPr>
      <w:rFonts w:ascii="黑体" w:eastAsia="黑体"/>
      <w:sz w:val="52"/>
      <w:szCs w:val="52"/>
    </w:rPr>
  </w:style>
  <w:style w:type="paragraph" w:customStyle="1" w:styleId="70">
    <w:name w:val="正文文本 (2)"/>
    <w:basedOn w:val="1"/>
    <w:autoRedefine/>
    <w:qFormat/>
    <w:uiPriority w:val="99"/>
    <w:pPr>
      <w:shd w:val="clear" w:color="auto" w:fill="FFFFFF"/>
      <w:spacing w:before="300" w:line="439" w:lineRule="exact"/>
      <w:jc w:val="distribute"/>
    </w:pPr>
    <w:rPr>
      <w:rFonts w:ascii="宋体" w:hAnsi="宋体"/>
      <w:kern w:val="0"/>
      <w:sz w:val="22"/>
      <w:szCs w:val="22"/>
    </w:rPr>
  </w:style>
  <w:style w:type="paragraph" w:customStyle="1" w:styleId="71">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纯文本 字符"/>
    <w:basedOn w:val="42"/>
    <w:autoRedefine/>
    <w:qFormat/>
    <w:uiPriority w:val="0"/>
    <w:rPr>
      <w:rFonts w:ascii="等线" w:hAnsi="Courier New" w:cs="Courier New"/>
      <w:sz w:val="24"/>
      <w:szCs w:val="24"/>
    </w:rPr>
  </w:style>
  <w:style w:type="paragraph" w:customStyle="1" w:styleId="73">
    <w:name w:val="页眉1"/>
    <w:basedOn w:val="25"/>
    <w:autoRedefine/>
    <w:qFormat/>
    <w:uiPriority w:val="99"/>
    <w:pPr>
      <w:pBdr>
        <w:bottom w:val="double" w:color="auto" w:sz="4" w:space="0"/>
      </w:pBdr>
    </w:pPr>
    <w:rPr>
      <w:rFonts w:ascii="宋体" w:hAnsi="宋体"/>
      <w:color w:val="000000"/>
    </w:rPr>
  </w:style>
  <w:style w:type="character" w:customStyle="1" w:styleId="74">
    <w:name w:val="Char Char65"/>
    <w:autoRedefine/>
    <w:qFormat/>
    <w:uiPriority w:val="99"/>
    <w:rPr>
      <w:rFonts w:ascii="Arial" w:hAnsi="Arial" w:eastAsia="黑体"/>
      <w:kern w:val="2"/>
      <w:sz w:val="24"/>
      <w:lang w:val="en-US" w:eastAsia="zh-CN"/>
    </w:rPr>
  </w:style>
  <w:style w:type="character" w:customStyle="1" w:styleId="75">
    <w:name w:val="目录4 Char"/>
    <w:autoRedefine/>
    <w:qFormat/>
    <w:uiPriority w:val="99"/>
    <w:rPr>
      <w:rFonts w:ascii="黑体" w:eastAsia="黑体"/>
      <w:kern w:val="2"/>
      <w:sz w:val="24"/>
      <w:lang w:val="en-US" w:eastAsia="zh-CN"/>
    </w:rPr>
  </w:style>
  <w:style w:type="character" w:customStyle="1" w:styleId="76">
    <w:name w:val="目录4 Char Char"/>
    <w:link w:val="77"/>
    <w:autoRedefine/>
    <w:qFormat/>
    <w:locked/>
    <w:uiPriority w:val="99"/>
    <w:rPr>
      <w:rFonts w:ascii="黑体" w:eastAsia="黑体"/>
      <w:sz w:val="24"/>
    </w:rPr>
  </w:style>
  <w:style w:type="paragraph" w:customStyle="1" w:styleId="77">
    <w:name w:val="目录4"/>
    <w:basedOn w:val="1"/>
    <w:link w:val="76"/>
    <w:autoRedefine/>
    <w:qFormat/>
    <w:uiPriority w:val="99"/>
    <w:pPr>
      <w:spacing w:beforeLines="50" w:afterLines="50" w:line="400" w:lineRule="exact"/>
    </w:pPr>
    <w:rPr>
      <w:rFonts w:ascii="黑体" w:eastAsia="黑体"/>
      <w:kern w:val="0"/>
      <w:sz w:val="24"/>
      <w:szCs w:val="20"/>
    </w:rPr>
  </w:style>
  <w:style w:type="paragraph" w:customStyle="1" w:styleId="78">
    <w:name w:val="目录3"/>
    <w:basedOn w:val="1"/>
    <w:autoRedefine/>
    <w:qFormat/>
    <w:uiPriority w:val="99"/>
    <w:pPr>
      <w:spacing w:beforeLines="50" w:afterLines="50" w:line="400" w:lineRule="exact"/>
    </w:pPr>
    <w:rPr>
      <w:rFonts w:ascii="黑体" w:eastAsia="黑体"/>
      <w:sz w:val="24"/>
    </w:rPr>
  </w:style>
  <w:style w:type="paragraph" w:customStyle="1" w:styleId="79">
    <w:name w:val="样式"/>
    <w:link w:val="80"/>
    <w:autoRedefine/>
    <w:qFormat/>
    <w:uiPriority w:val="0"/>
    <w:pPr>
      <w:widowControl w:val="0"/>
      <w:autoSpaceDE w:val="0"/>
      <w:autoSpaceDN w:val="0"/>
      <w:adjustRightInd w:val="0"/>
    </w:pPr>
    <w:rPr>
      <w:rFonts w:ascii="宋体" w:hAnsi="Times New Roman" w:eastAsia="宋体" w:cs="Times New Roman"/>
      <w:sz w:val="24"/>
      <w:szCs w:val="22"/>
      <w:lang w:val="en-US" w:eastAsia="zh-CN" w:bidi="ar-SA"/>
    </w:rPr>
  </w:style>
  <w:style w:type="character" w:customStyle="1" w:styleId="80">
    <w:name w:val="样式 Char"/>
    <w:link w:val="79"/>
    <w:autoRedefine/>
    <w:qFormat/>
    <w:locked/>
    <w:uiPriority w:val="99"/>
    <w:rPr>
      <w:rFonts w:ascii="宋体"/>
      <w:sz w:val="24"/>
      <w:szCs w:val="22"/>
      <w:lang w:bidi="ar-SA"/>
    </w:rPr>
  </w:style>
  <w:style w:type="paragraph" w:customStyle="1" w:styleId="81">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8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character" w:customStyle="1" w:styleId="83">
    <w:name w:val="正文文本 (2) + Sylfaen"/>
    <w:autoRedefine/>
    <w:qFormat/>
    <w:uiPriority w:val="99"/>
    <w:rPr>
      <w:rFonts w:ascii="Sylfaen" w:hAnsi="Sylfaen" w:eastAsia="Times New Roman"/>
      <w:color w:val="000000"/>
      <w:spacing w:val="0"/>
      <w:w w:val="100"/>
      <w:position w:val="0"/>
      <w:sz w:val="22"/>
      <w:u w:val="none"/>
      <w:lang w:val="en-US" w:eastAsia="en-US"/>
    </w:rPr>
  </w:style>
  <w:style w:type="paragraph" w:customStyle="1" w:styleId="84">
    <w:name w:val="_Style 29"/>
    <w:basedOn w:val="1"/>
    <w:autoRedefine/>
    <w:qFormat/>
    <w:uiPriority w:val="99"/>
    <w:pPr>
      <w:ind w:firstLine="420" w:firstLineChars="200"/>
    </w:pPr>
    <w:rPr>
      <w:kern w:val="0"/>
      <w:sz w:val="34"/>
      <w:szCs w:val="22"/>
    </w:rPr>
  </w:style>
  <w:style w:type="paragraph" w:customStyle="1" w:styleId="85">
    <w:name w:val="目录4 Char Char Char Char Char"/>
    <w:basedOn w:val="1"/>
    <w:autoRedefine/>
    <w:qFormat/>
    <w:uiPriority w:val="0"/>
    <w:pPr>
      <w:spacing w:beforeLines="50" w:afterLines="50" w:line="400" w:lineRule="exact"/>
    </w:pPr>
    <w:rPr>
      <w:rFonts w:ascii="黑体" w:eastAsia="黑体"/>
      <w:sz w:val="24"/>
    </w:rPr>
  </w:style>
  <w:style w:type="paragraph" w:customStyle="1" w:styleId="86">
    <w:name w:val="p0"/>
    <w:basedOn w:val="1"/>
    <w:autoRedefine/>
    <w:qFormat/>
    <w:uiPriority w:val="0"/>
    <w:pPr>
      <w:widowControl/>
    </w:pPr>
    <w:rPr>
      <w:kern w:val="0"/>
      <w:szCs w:val="20"/>
    </w:rPr>
  </w:style>
  <w:style w:type="paragraph" w:customStyle="1" w:styleId="87">
    <w:name w:val="È¡ÀÊ¡ÎÄ¡À¾1"/>
    <w:basedOn w:val="1"/>
    <w:autoRedefine/>
    <w:qFormat/>
    <w:uiPriority w:val="99"/>
    <w:pPr>
      <w:widowControl/>
      <w:overflowPunct w:val="0"/>
      <w:autoSpaceDE w:val="0"/>
      <w:autoSpaceDN w:val="0"/>
      <w:adjustRightInd w:val="0"/>
      <w:jc w:val="left"/>
      <w:textAlignment w:val="baseline"/>
    </w:pPr>
    <w:rPr>
      <w:sz w:val="24"/>
    </w:rPr>
  </w:style>
  <w:style w:type="paragraph" w:customStyle="1" w:styleId="88">
    <w:name w:val="´¡¡¡¡¡¡ì¬¬®¸Ù(ÎÞËõ½ø)"/>
    <w:basedOn w:val="1"/>
    <w:autoRedefine/>
    <w:qFormat/>
    <w:uiPriority w:val="99"/>
    <w:pPr>
      <w:widowControl/>
      <w:overflowPunct w:val="0"/>
      <w:autoSpaceDE w:val="0"/>
      <w:autoSpaceDN w:val="0"/>
      <w:adjustRightInd w:val="0"/>
      <w:jc w:val="left"/>
      <w:textAlignment w:val="baseline"/>
    </w:pPr>
    <w:rPr>
      <w:sz w:val="24"/>
    </w:rPr>
  </w:style>
  <w:style w:type="paragraph" w:customStyle="1" w:styleId="89">
    <w:name w:val="正文文本 (5)"/>
    <w:basedOn w:val="1"/>
    <w:autoRedefine/>
    <w:qFormat/>
    <w:uiPriority w:val="99"/>
    <w:pPr>
      <w:shd w:val="clear" w:color="auto" w:fill="FFFFFF"/>
      <w:spacing w:before="5100" w:line="240" w:lineRule="atLeast"/>
      <w:jc w:val="left"/>
    </w:pPr>
    <w:rPr>
      <w:rFonts w:ascii="宋体" w:hAnsi="宋体" w:cs="宋体"/>
      <w:kern w:val="0"/>
      <w:sz w:val="20"/>
      <w:szCs w:val="20"/>
    </w:rPr>
  </w:style>
  <w:style w:type="character" w:customStyle="1" w:styleId="90">
    <w:name w:val="font51"/>
    <w:basedOn w:val="42"/>
    <w:autoRedefine/>
    <w:qFormat/>
    <w:uiPriority w:val="99"/>
    <w:rPr>
      <w:rFonts w:ascii="宋体" w:hAnsi="宋体" w:eastAsia="宋体" w:cs="宋体"/>
      <w:b/>
      <w:color w:val="000000"/>
      <w:sz w:val="21"/>
      <w:szCs w:val="21"/>
      <w:u w:val="none"/>
    </w:rPr>
  </w:style>
  <w:style w:type="character" w:customStyle="1" w:styleId="91">
    <w:name w:val="font21"/>
    <w:basedOn w:val="42"/>
    <w:autoRedefine/>
    <w:qFormat/>
    <w:uiPriority w:val="99"/>
    <w:rPr>
      <w:rFonts w:ascii="宋体" w:hAnsi="宋体" w:eastAsia="宋体" w:cs="宋体"/>
      <w:b/>
      <w:color w:val="000000"/>
      <w:sz w:val="22"/>
      <w:szCs w:val="22"/>
      <w:u w:val="none"/>
    </w:rPr>
  </w:style>
  <w:style w:type="character" w:customStyle="1" w:styleId="92">
    <w:name w:val="font11"/>
    <w:basedOn w:val="42"/>
    <w:autoRedefine/>
    <w:qFormat/>
    <w:uiPriority w:val="99"/>
    <w:rPr>
      <w:rFonts w:ascii="宋体" w:hAnsi="宋体" w:eastAsia="宋体" w:cs="宋体"/>
      <w:b/>
      <w:color w:val="000000"/>
      <w:sz w:val="20"/>
      <w:szCs w:val="20"/>
      <w:u w:val="none"/>
    </w:rPr>
  </w:style>
  <w:style w:type="paragraph" w:customStyle="1" w:styleId="93">
    <w:name w:val="Body text|1"/>
    <w:basedOn w:val="1"/>
    <w:autoRedefine/>
    <w:qFormat/>
    <w:uiPriority w:val="99"/>
    <w:pPr>
      <w:spacing w:line="415" w:lineRule="auto"/>
      <w:ind w:firstLine="400"/>
    </w:pPr>
    <w:rPr>
      <w:rFonts w:ascii="宋体" w:hAnsi="宋体" w:cs="宋体"/>
      <w:sz w:val="22"/>
      <w:szCs w:val="22"/>
      <w:lang w:val="zh-TW" w:eastAsia="zh-TW"/>
    </w:rPr>
  </w:style>
  <w:style w:type="paragraph" w:customStyle="1" w:styleId="94">
    <w:name w:val="Other|1"/>
    <w:basedOn w:val="1"/>
    <w:autoRedefine/>
    <w:qFormat/>
    <w:uiPriority w:val="99"/>
    <w:pPr>
      <w:spacing w:line="415" w:lineRule="auto"/>
      <w:ind w:firstLine="400"/>
    </w:pPr>
    <w:rPr>
      <w:rFonts w:ascii="宋体" w:hAnsi="宋体" w:cs="宋体"/>
      <w:sz w:val="22"/>
      <w:szCs w:val="22"/>
      <w:lang w:val="zh-TW" w:eastAsia="zh-TW"/>
    </w:rPr>
  </w:style>
  <w:style w:type="paragraph" w:customStyle="1" w:styleId="95">
    <w:name w:val="Table caption|1"/>
    <w:basedOn w:val="1"/>
    <w:autoRedefine/>
    <w:qFormat/>
    <w:uiPriority w:val="99"/>
    <w:rPr>
      <w:rFonts w:ascii="宋体" w:hAnsi="宋体" w:cs="宋体"/>
      <w:sz w:val="26"/>
      <w:szCs w:val="26"/>
      <w:lang w:val="zh-TW" w:eastAsia="zh-TW"/>
    </w:rPr>
  </w:style>
  <w:style w:type="table" w:customStyle="1" w:styleId="96">
    <w:name w:val="网格型1"/>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Table Paragraph"/>
    <w:basedOn w:val="1"/>
    <w:autoRedefine/>
    <w:qFormat/>
    <w:uiPriority w:val="0"/>
    <w:pPr>
      <w:jc w:val="left"/>
    </w:pPr>
    <w:rPr>
      <w:rFonts w:ascii="Calibri" w:hAnsi="Calibri"/>
      <w:kern w:val="0"/>
      <w:sz w:val="22"/>
      <w:szCs w:val="22"/>
      <w:lang w:eastAsia="en-US"/>
    </w:rPr>
  </w:style>
  <w:style w:type="character" w:customStyle="1" w:styleId="98">
    <w:name w:val="页脚 Char1"/>
    <w:autoRedefine/>
    <w:qFormat/>
    <w:locked/>
    <w:uiPriority w:val="0"/>
    <w:rPr>
      <w:rFonts w:cs="Times New Roman"/>
      <w:sz w:val="18"/>
      <w:szCs w:val="18"/>
    </w:rPr>
  </w:style>
  <w:style w:type="character" w:customStyle="1" w:styleId="99">
    <w:name w:val="列表段落 字符"/>
    <w:link w:val="68"/>
    <w:autoRedefine/>
    <w:qFormat/>
    <w:uiPriority w:val="34"/>
    <w:rPr>
      <w:rFonts w:ascii="宋体" w:hAnsi="宋体" w:cs="宋体"/>
      <w:sz w:val="22"/>
      <w:szCs w:val="22"/>
      <w:lang w:eastAsia="en-US"/>
    </w:rPr>
  </w:style>
  <w:style w:type="character" w:customStyle="1" w:styleId="100">
    <w:name w:val="未处理的提及1"/>
    <w:basedOn w:val="42"/>
    <w:autoRedefine/>
    <w:unhideWhenUsed/>
    <w:qFormat/>
    <w:uiPriority w:val="99"/>
    <w:rPr>
      <w:color w:val="605E5C"/>
      <w:shd w:val="clear" w:color="auto" w:fill="E1DFDD"/>
    </w:rPr>
  </w:style>
  <w:style w:type="character" w:customStyle="1" w:styleId="101">
    <w:name w:val="普通(网站) 字符"/>
    <w:link w:val="36"/>
    <w:autoRedefine/>
    <w:qFormat/>
    <w:uiPriority w:val="0"/>
    <w:rPr>
      <w:rFonts w:ascii="宋体" w:hAnsi="宋体" w:cs="宋体"/>
      <w:sz w:val="24"/>
      <w:szCs w:val="24"/>
    </w:rPr>
  </w:style>
  <w:style w:type="character" w:customStyle="1" w:styleId="102">
    <w:name w:val="正文文本 3 字符"/>
    <w:link w:val="14"/>
    <w:autoRedefine/>
    <w:qFormat/>
    <w:uiPriority w:val="0"/>
    <w:rPr>
      <w:rFonts w:ascii="宋体" w:hAnsi="Tahoma"/>
      <w:kern w:val="2"/>
      <w:sz w:val="24"/>
    </w:rPr>
  </w:style>
  <w:style w:type="character" w:customStyle="1" w:styleId="103">
    <w:name w:val="正文文本 3 Char"/>
    <w:basedOn w:val="42"/>
    <w:autoRedefine/>
    <w:qFormat/>
    <w:uiPriority w:val="0"/>
    <w:rPr>
      <w:kern w:val="2"/>
      <w:sz w:val="16"/>
      <w:szCs w:val="16"/>
    </w:rPr>
  </w:style>
  <w:style w:type="character" w:customStyle="1" w:styleId="104">
    <w:name w:val="未处理的提及2"/>
    <w:basedOn w:val="42"/>
    <w:autoRedefine/>
    <w:unhideWhenUsed/>
    <w:qFormat/>
    <w:uiPriority w:val="99"/>
    <w:rPr>
      <w:color w:val="605E5C"/>
      <w:shd w:val="clear" w:color="auto" w:fill="E1DFDD"/>
    </w:rPr>
  </w:style>
  <w:style w:type="paragraph" w:customStyle="1" w:styleId="105">
    <w:name w:val="样式 首行缩进:  1 厘米 行距: 固定值 25 磅"/>
    <w:basedOn w:val="1"/>
    <w:autoRedefine/>
    <w:qFormat/>
    <w:uiPriority w:val="0"/>
    <w:pPr>
      <w:adjustRightInd w:val="0"/>
      <w:spacing w:line="460" w:lineRule="exact"/>
      <w:jc w:val="left"/>
      <w:textAlignment w:val="baseline"/>
    </w:pPr>
    <w:rPr>
      <w:kern w:val="0"/>
      <w:sz w:val="24"/>
    </w:rPr>
  </w:style>
  <w:style w:type="paragraph" w:customStyle="1" w:styleId="106">
    <w:name w:val="Body text|3"/>
    <w:basedOn w:val="1"/>
    <w:autoRedefine/>
    <w:qFormat/>
    <w:uiPriority w:val="0"/>
    <w:pPr>
      <w:spacing w:line="590" w:lineRule="exact"/>
    </w:pPr>
    <w:rPr>
      <w:rFonts w:ascii="宋体" w:hAnsi="宋体" w:cs="宋体"/>
      <w:sz w:val="26"/>
      <w:szCs w:val="26"/>
      <w:lang w:val="zh-TW" w:eastAsia="zh-TW" w:bidi="zh-TW"/>
    </w:rPr>
  </w:style>
  <w:style w:type="table" w:customStyle="1" w:styleId="107">
    <w:name w:val="Table Normal"/>
    <w:autoRedefine/>
    <w:semiHidden/>
    <w:unhideWhenUsed/>
    <w:qFormat/>
    <w:uiPriority w:val="0"/>
    <w:tblPr>
      <w:tblCellMar>
        <w:top w:w="0" w:type="dxa"/>
        <w:left w:w="0" w:type="dxa"/>
        <w:bottom w:w="0" w:type="dxa"/>
        <w:right w:w="0" w:type="dxa"/>
      </w:tblCellMar>
    </w:tblPr>
  </w:style>
  <w:style w:type="paragraph" w:customStyle="1" w:styleId="108">
    <w:name w:val="１正文模板"/>
    <w:basedOn w:val="1"/>
    <w:autoRedefine/>
    <w:qFormat/>
    <w:uiPriority w:val="0"/>
    <w:pPr>
      <w:widowControl/>
      <w:wordWrap w:val="0"/>
      <w:overflowPunct w:val="0"/>
      <w:adjustRightInd w:val="0"/>
      <w:spacing w:line="360" w:lineRule="auto"/>
      <w:ind w:firstLine="420"/>
      <w:jc w:val="left"/>
    </w:pPr>
    <w:rPr>
      <w:rFonts w:ascii="微软雅黑 Light" w:hAnsi="微软雅黑 Light" w:eastAsia="微软雅黑 Light"/>
      <w:kern w:val="0"/>
      <w:szCs w:val="21"/>
    </w:rPr>
  </w:style>
  <w:style w:type="paragraph" w:customStyle="1" w:styleId="109">
    <w:name w:val="修订1"/>
    <w:autoRedefine/>
    <w:hidden/>
    <w:qFormat/>
    <w:uiPriority w:val="99"/>
    <w:rPr>
      <w:rFonts w:ascii="Times New Roman" w:hAnsi="Times New Roman" w:eastAsia="宋体" w:cs="Times New Roman"/>
      <w:kern w:val="2"/>
      <w:sz w:val="21"/>
      <w:szCs w:val="24"/>
      <w:lang w:val="en-US" w:eastAsia="zh-CN" w:bidi="ar-SA"/>
    </w:rPr>
  </w:style>
  <w:style w:type="character" w:customStyle="1" w:styleId="110">
    <w:name w:val="日期 字符"/>
    <w:basedOn w:val="42"/>
    <w:link w:val="22"/>
    <w:autoRedefine/>
    <w:semiHidden/>
    <w:qFormat/>
    <w:uiPriority w:val="99"/>
    <w:rPr>
      <w:kern w:val="2"/>
      <w:sz w:val="21"/>
      <w:szCs w:val="24"/>
    </w:rPr>
  </w:style>
  <w:style w:type="character" w:customStyle="1" w:styleId="111">
    <w:name w:val="标题 3 Char"/>
    <w:autoRedefine/>
    <w:qFormat/>
    <w:uiPriority w:val="0"/>
    <w:rPr>
      <w:rFonts w:ascii="宋体" w:hAnsi="宋体" w:cs="宋体"/>
      <w:b/>
      <w:bCs/>
      <w:kern w:val="0"/>
      <w:sz w:val="27"/>
      <w:szCs w:val="27"/>
    </w:rPr>
  </w:style>
  <w:style w:type="character" w:customStyle="1" w:styleId="112">
    <w:name w:val="批注文字 字符1"/>
    <w:autoRedefine/>
    <w:qFormat/>
    <w:uiPriority w:val="0"/>
    <w:rPr>
      <w:rFonts w:ascii="Calibri" w:hAnsi="Calibri" w:eastAsia="宋体" w:cs="Times New Roman"/>
      <w:szCs w:val="24"/>
    </w:rPr>
  </w:style>
  <w:style w:type="character" w:customStyle="1" w:styleId="113">
    <w:name w:val="日期 字符1"/>
    <w:autoRedefine/>
    <w:qFormat/>
    <w:uiPriority w:val="99"/>
    <w:rPr>
      <w:rFonts w:ascii="Calibri" w:hAnsi="Calibri" w:eastAsia="宋体" w:cs="Times New Roman"/>
      <w:szCs w:val="24"/>
    </w:rPr>
  </w:style>
  <w:style w:type="character" w:customStyle="1" w:styleId="114">
    <w:name w:val="批注框文本 字符1"/>
    <w:autoRedefine/>
    <w:semiHidden/>
    <w:qFormat/>
    <w:locked/>
    <w:uiPriority w:val="99"/>
    <w:rPr>
      <w:rFonts w:ascii="Calibri" w:hAnsi="Calibri" w:eastAsia="宋体" w:cs="Times New Roman"/>
      <w:sz w:val="18"/>
      <w:szCs w:val="18"/>
    </w:rPr>
  </w:style>
  <w:style w:type="character" w:customStyle="1" w:styleId="115">
    <w:name w:val="页脚 Char"/>
    <w:autoRedefine/>
    <w:qFormat/>
    <w:uiPriority w:val="99"/>
    <w:rPr>
      <w:sz w:val="18"/>
      <w:szCs w:val="18"/>
    </w:rPr>
  </w:style>
  <w:style w:type="character" w:customStyle="1" w:styleId="116">
    <w:name w:val="页眉 Char"/>
    <w:autoRedefine/>
    <w:qFormat/>
    <w:uiPriority w:val="99"/>
    <w:rPr>
      <w:sz w:val="18"/>
      <w:szCs w:val="18"/>
    </w:rPr>
  </w:style>
  <w:style w:type="character" w:customStyle="1" w:styleId="117">
    <w:name w:val="副标题 字符"/>
    <w:basedOn w:val="42"/>
    <w:autoRedefine/>
    <w:qFormat/>
    <w:uiPriority w:val="11"/>
    <w:rPr>
      <w:b/>
      <w:bCs/>
      <w:kern w:val="28"/>
      <w:sz w:val="32"/>
      <w:szCs w:val="32"/>
    </w:rPr>
  </w:style>
  <w:style w:type="character" w:customStyle="1" w:styleId="118">
    <w:name w:val="副标题 字符1"/>
    <w:link w:val="28"/>
    <w:autoRedefine/>
    <w:qFormat/>
    <w:uiPriority w:val="11"/>
    <w:rPr>
      <w:rFonts w:ascii="Calibri" w:hAnsi="Calibri"/>
      <w:kern w:val="2"/>
      <w:sz w:val="16"/>
      <w:szCs w:val="16"/>
    </w:rPr>
  </w:style>
  <w:style w:type="character" w:customStyle="1" w:styleId="119">
    <w:name w:val="批注主题 字符1"/>
    <w:autoRedefine/>
    <w:qFormat/>
    <w:uiPriority w:val="99"/>
    <w:rPr>
      <w:rFonts w:ascii="Calibri" w:hAnsi="Calibri" w:eastAsia="宋体" w:cs="Times New Roman"/>
      <w:b/>
      <w:bCs/>
      <w:szCs w:val="24"/>
    </w:rPr>
  </w:style>
  <w:style w:type="paragraph" w:customStyle="1" w:styleId="120">
    <w:name w:val="列表段落1"/>
    <w:basedOn w:val="1"/>
    <w:autoRedefine/>
    <w:qFormat/>
    <w:uiPriority w:val="99"/>
    <w:pPr>
      <w:ind w:firstLine="420" w:firstLineChars="200"/>
    </w:pPr>
    <w:rPr>
      <w:rFonts w:ascii="Calibri" w:hAnsi="Calibri"/>
    </w:rPr>
  </w:style>
  <w:style w:type="paragraph" w:customStyle="1" w:styleId="121">
    <w:name w:val="Normal_21"/>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2">
    <w:name w:val="Normal_2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3">
    <w:name w:val="Normal_22"/>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4">
    <w:name w:val="Normal_23"/>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5">
    <w:name w:val="1"/>
    <w:basedOn w:val="1"/>
    <w:autoRedefine/>
    <w:qFormat/>
    <w:uiPriority w:val="0"/>
    <w:pPr>
      <w:spacing w:afterLines="50" w:line="360" w:lineRule="auto"/>
      <w:ind w:firstLine="3243" w:firstLineChars="1080"/>
    </w:pPr>
    <w:rPr>
      <w:rFonts w:ascii="宋体" w:hAnsi="宋体"/>
      <w:b/>
      <w:sz w:val="30"/>
      <w:szCs w:val="21"/>
    </w:rPr>
  </w:style>
  <w:style w:type="paragraph" w:customStyle="1" w:styleId="126">
    <w:name w:val="Normal_43_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7">
    <w:name w:val="Normal_45_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8">
    <w:name w:val="Normal_9"/>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9">
    <w:name w:val="Normal_34_0"/>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130">
    <w:name w:val="font161"/>
    <w:autoRedefine/>
    <w:qFormat/>
    <w:uiPriority w:val="0"/>
    <w:rPr>
      <w:b/>
      <w:bCs/>
      <w:sz w:val="32"/>
      <w:szCs w:val="32"/>
    </w:rPr>
  </w:style>
  <w:style w:type="paragraph" w:customStyle="1" w:styleId="131">
    <w:name w:val="WPSOffice手动目录 1"/>
    <w:autoRedefine/>
    <w:qFormat/>
    <w:uiPriority w:val="0"/>
    <w:rPr>
      <w:rFonts w:ascii="Calibri" w:hAnsi="Calibri" w:eastAsia="宋体" w:cs="Times New Roman"/>
      <w:lang w:val="en-US" w:eastAsia="zh-CN" w:bidi="ar-SA"/>
    </w:rPr>
  </w:style>
  <w:style w:type="paragraph" w:customStyle="1" w:styleId="132">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33">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34">
    <w:name w:val="Normal_1"/>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135">
    <w:name w:val="文档结构图 字符"/>
    <w:basedOn w:val="42"/>
    <w:autoRedefine/>
    <w:semiHidden/>
    <w:qFormat/>
    <w:uiPriority w:val="99"/>
    <w:rPr>
      <w:rFonts w:ascii="Microsoft YaHei UI" w:eastAsia="Microsoft YaHei UI"/>
      <w:kern w:val="2"/>
      <w:sz w:val="18"/>
      <w:szCs w:val="18"/>
    </w:rPr>
  </w:style>
  <w:style w:type="character" w:customStyle="1" w:styleId="136">
    <w:name w:val="文档结构图 字符1"/>
    <w:link w:val="12"/>
    <w:autoRedefine/>
    <w:qFormat/>
    <w:uiPriority w:val="0"/>
    <w:rPr>
      <w:rFonts w:ascii="宋体" w:hAnsi="Calibri"/>
      <w:kern w:val="2"/>
      <w:sz w:val="18"/>
      <w:szCs w:val="18"/>
    </w:rPr>
  </w:style>
  <w:style w:type="character" w:customStyle="1" w:styleId="137">
    <w:name w:val="正文文本首行缩进 字符"/>
    <w:basedOn w:val="60"/>
    <w:link w:val="38"/>
    <w:autoRedefine/>
    <w:qFormat/>
    <w:uiPriority w:val="99"/>
    <w:rPr>
      <w:rFonts w:ascii="宋体" w:hAnsi="宋体" w:eastAsia="宋体" w:cs="宋体"/>
      <w:kern w:val="0"/>
      <w:sz w:val="21"/>
      <w:szCs w:val="24"/>
      <w:lang w:eastAsia="en-US"/>
    </w:rPr>
  </w:style>
  <w:style w:type="character" w:customStyle="1" w:styleId="138">
    <w:name w:val="正文文本缩进 3 字符"/>
    <w:basedOn w:val="42"/>
    <w:link w:val="31"/>
    <w:autoRedefine/>
    <w:qFormat/>
    <w:uiPriority w:val="0"/>
    <w:rPr>
      <w:rFonts w:ascii="Calibri" w:hAnsi="Calibri"/>
      <w:kern w:val="2"/>
      <w:sz w:val="16"/>
      <w:szCs w:val="16"/>
    </w:rPr>
  </w:style>
  <w:style w:type="character" w:customStyle="1" w:styleId="139">
    <w:name w:val="style_kwd"/>
    <w:autoRedefine/>
    <w:qFormat/>
    <w:uiPriority w:val="0"/>
  </w:style>
  <w:style w:type="character" w:customStyle="1" w:styleId="140">
    <w:name w:val="批注文字 Char1"/>
    <w:autoRedefine/>
    <w:qFormat/>
    <w:uiPriority w:val="0"/>
    <w:rPr>
      <w:rFonts w:ascii="Times New Roman" w:hAnsi="Times New Roman" w:eastAsia="宋体" w:cs="Times New Roman"/>
      <w:sz w:val="20"/>
      <w:szCs w:val="20"/>
      <w:lang w:bidi="ar-SA"/>
    </w:rPr>
  </w:style>
  <w:style w:type="character" w:customStyle="1" w:styleId="141">
    <w:name w:val="Comment Text Char"/>
    <w:autoRedefine/>
    <w:qFormat/>
    <w:uiPriority w:val="0"/>
  </w:style>
  <w:style w:type="paragraph" w:customStyle="1" w:styleId="142">
    <w:name w:val="修订111"/>
    <w:autoRedefine/>
    <w:qFormat/>
    <w:uiPriority w:val="99"/>
    <w:rPr>
      <w:rFonts w:ascii="Times New Roman" w:hAnsi="Times New Roman" w:eastAsia="宋体" w:cs="Times New Roman"/>
      <w:kern w:val="2"/>
      <w:sz w:val="21"/>
      <w:lang w:val="en-US" w:eastAsia="zh-CN" w:bidi="ar-SA"/>
    </w:rPr>
  </w:style>
  <w:style w:type="paragraph" w:customStyle="1" w:styleId="143">
    <w:name w:val="_Style 23"/>
    <w:basedOn w:val="1"/>
    <w:autoRedefine/>
    <w:qFormat/>
    <w:uiPriority w:val="0"/>
    <w:pPr>
      <w:widowControl/>
      <w:spacing w:after="160" w:line="240" w:lineRule="exact"/>
      <w:jc w:val="left"/>
    </w:pPr>
    <w:rPr>
      <w:rFonts w:ascii="Calibri" w:hAnsi="Calibri"/>
      <w:szCs w:val="22"/>
    </w:rPr>
  </w:style>
  <w:style w:type="paragraph" w:customStyle="1" w:styleId="144">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145">
    <w:name w:val="修订3"/>
    <w:autoRedefine/>
    <w:semiHidden/>
    <w:qFormat/>
    <w:uiPriority w:val="99"/>
    <w:rPr>
      <w:rFonts w:ascii="Calibri" w:hAnsi="Calibri" w:eastAsia="宋体" w:cs="Times New Roman"/>
      <w:kern w:val="2"/>
      <w:sz w:val="21"/>
      <w:szCs w:val="22"/>
      <w:lang w:val="en-US" w:eastAsia="zh-CN" w:bidi="ar-SA"/>
    </w:rPr>
  </w:style>
  <w:style w:type="paragraph" w:customStyle="1" w:styleId="146">
    <w:name w:val="修订4"/>
    <w:autoRedefine/>
    <w:semiHidden/>
    <w:qFormat/>
    <w:uiPriority w:val="99"/>
    <w:rPr>
      <w:rFonts w:ascii="Calibri" w:hAnsi="Calibri" w:eastAsia="宋体" w:cs="Times New Roman"/>
      <w:kern w:val="2"/>
      <w:sz w:val="21"/>
      <w:szCs w:val="22"/>
      <w:lang w:val="en-US" w:eastAsia="zh-CN" w:bidi="ar-SA"/>
    </w:rPr>
  </w:style>
  <w:style w:type="paragraph" w:customStyle="1" w:styleId="147">
    <w:name w:val="修订5"/>
    <w:autoRedefine/>
    <w:unhideWhenUsed/>
    <w:qFormat/>
    <w:uiPriority w:val="99"/>
    <w:rPr>
      <w:rFonts w:ascii="Calibri" w:hAnsi="Calibri" w:eastAsia="宋体" w:cs="Times New Roman"/>
      <w:kern w:val="2"/>
      <w:sz w:val="21"/>
      <w:szCs w:val="22"/>
      <w:lang w:val="en-US" w:eastAsia="zh-CN" w:bidi="ar-SA"/>
    </w:rPr>
  </w:style>
  <w:style w:type="paragraph" w:customStyle="1" w:styleId="148">
    <w:name w:val="修订6"/>
    <w:autoRedefine/>
    <w:unhideWhenUsed/>
    <w:qFormat/>
    <w:uiPriority w:val="99"/>
    <w:rPr>
      <w:rFonts w:ascii="Calibri" w:hAnsi="Calibri" w:eastAsia="宋体" w:cs="Times New Roman"/>
      <w:kern w:val="2"/>
      <w:sz w:val="21"/>
      <w:szCs w:val="22"/>
      <w:lang w:val="en-US" w:eastAsia="zh-CN" w:bidi="ar-SA"/>
    </w:rPr>
  </w:style>
  <w:style w:type="paragraph" w:customStyle="1" w:styleId="149">
    <w:name w:val="修订7"/>
    <w:autoRedefine/>
    <w:semiHidden/>
    <w:qFormat/>
    <w:uiPriority w:val="99"/>
    <w:rPr>
      <w:rFonts w:ascii="Calibri" w:hAnsi="Calibri" w:eastAsia="宋体" w:cs="Times New Roman"/>
      <w:kern w:val="2"/>
      <w:sz w:val="21"/>
      <w:szCs w:val="22"/>
      <w:lang w:val="en-US" w:eastAsia="zh-CN" w:bidi="ar-SA"/>
    </w:rPr>
  </w:style>
  <w:style w:type="paragraph" w:customStyle="1" w:styleId="150">
    <w:name w:val="_Style 33"/>
    <w:basedOn w:val="1"/>
    <w:autoRedefine/>
    <w:qFormat/>
    <w:uiPriority w:val="99"/>
    <w:pPr>
      <w:ind w:firstLine="420" w:firstLineChars="200"/>
    </w:pPr>
    <w:rPr>
      <w:rFonts w:ascii="Calibri" w:hAnsi="Calibri"/>
      <w:szCs w:val="22"/>
    </w:rPr>
  </w:style>
  <w:style w:type="paragraph" w:customStyle="1" w:styleId="151">
    <w:name w:val="修订11"/>
    <w:autoRedefine/>
    <w:qFormat/>
    <w:uiPriority w:val="0"/>
    <w:rPr>
      <w:rFonts w:ascii="Times New Roman" w:hAnsi="Times New Roman" w:eastAsia="宋体" w:cs="Times New Roman"/>
      <w:kern w:val="2"/>
      <w:sz w:val="21"/>
      <w:lang w:val="en-US" w:eastAsia="zh-CN" w:bidi="ar-SA"/>
    </w:rPr>
  </w:style>
  <w:style w:type="character" w:customStyle="1" w:styleId="152">
    <w:name w:val="未处理的提及3"/>
    <w:basedOn w:val="42"/>
    <w:autoRedefine/>
    <w:semiHidden/>
    <w:unhideWhenUsed/>
    <w:qFormat/>
    <w:uiPriority w:val="99"/>
    <w:rPr>
      <w:color w:val="605E5C"/>
      <w:shd w:val="clear" w:color="auto" w:fill="E1DFDD"/>
    </w:rPr>
  </w:style>
  <w:style w:type="character" w:customStyle="1" w:styleId="153">
    <w:name w:val="明显引用 字符"/>
    <w:basedOn w:val="42"/>
    <w:link w:val="51"/>
    <w:autoRedefine/>
    <w:qFormat/>
    <w:uiPriority w:val="0"/>
    <w:rPr>
      <w:i/>
      <w:kern w:val="2"/>
      <w:sz w:val="21"/>
      <w:szCs w:val="24"/>
    </w:rPr>
  </w:style>
  <w:style w:type="paragraph" w:customStyle="1" w:styleId="154">
    <w:name w:val="样式1"/>
    <w:basedOn w:val="15"/>
    <w:autoRedefine/>
    <w:qFormat/>
    <w:uiPriority w:val="0"/>
    <w:pPr>
      <w:spacing w:line="400" w:lineRule="exact"/>
      <w:ind w:firstLine="200" w:firstLineChars="200"/>
      <w:jc w:val="both"/>
    </w:pPr>
    <w:rPr>
      <w:rFonts w:ascii="Times New Roman" w:hAnsi="Times New Roman" w:cs="Times New Roman" w:eastAsiaTheme="minorEastAsia"/>
      <w:sz w:val="21"/>
      <w:szCs w:val="21"/>
      <w:lang w:eastAsia="zh-CN"/>
    </w:rPr>
  </w:style>
  <w:style w:type="table" w:customStyle="1" w:styleId="155">
    <w:name w:val="网格型2"/>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7">
    <w:name w:val="未处理的提及4"/>
    <w:basedOn w:val="42"/>
    <w:autoRedefine/>
    <w:semiHidden/>
    <w:unhideWhenUsed/>
    <w:qFormat/>
    <w:uiPriority w:val="99"/>
    <w:rPr>
      <w:color w:val="605E5C"/>
      <w:shd w:val="clear" w:color="auto" w:fill="E1DFDD"/>
    </w:rPr>
  </w:style>
  <w:style w:type="paragraph" w:customStyle="1" w:styleId="158">
    <w:name w:val="修订8"/>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修订9"/>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10"/>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修订1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62">
    <w:name w:val="未处理的提及5"/>
    <w:basedOn w:val="42"/>
    <w:autoRedefine/>
    <w:semiHidden/>
    <w:unhideWhenUsed/>
    <w:qFormat/>
    <w:uiPriority w:val="99"/>
    <w:rPr>
      <w:color w:val="605E5C"/>
      <w:shd w:val="clear" w:color="auto" w:fill="E1DFDD"/>
    </w:rPr>
  </w:style>
  <w:style w:type="paragraph" w:customStyle="1" w:styleId="163">
    <w:name w:val="修订1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4">
    <w:name w:val="修订1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65">
    <w:name w:val="font41"/>
    <w:basedOn w:val="42"/>
    <w:autoRedefine/>
    <w:qFormat/>
    <w:uiPriority w:val="0"/>
    <w:rPr>
      <w:rFonts w:hint="default" w:ascii="Arial" w:hAnsi="Arial" w:cs="Arial"/>
      <w:color w:val="000000"/>
      <w:sz w:val="20"/>
      <w:szCs w:val="20"/>
      <w:u w:val="none"/>
    </w:rPr>
  </w:style>
  <w:style w:type="character" w:customStyle="1" w:styleId="166">
    <w:name w:val="font31"/>
    <w:basedOn w:val="42"/>
    <w:autoRedefine/>
    <w:qFormat/>
    <w:uiPriority w:val="0"/>
    <w:rPr>
      <w:rFonts w:hint="eastAsia" w:ascii="宋体" w:hAnsi="宋体" w:eastAsia="宋体" w:cs="宋体"/>
      <w:color w:val="000000"/>
      <w:sz w:val="20"/>
      <w:szCs w:val="20"/>
      <w:u w:val="none"/>
    </w:rPr>
  </w:style>
  <w:style w:type="paragraph" w:customStyle="1" w:styleId="16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452C4-C43C-4D2F-AA7B-7800C4FF86BA}">
  <ds:schemaRefs/>
</ds:datastoreItem>
</file>

<file path=docProps/app.xml><?xml version="1.0" encoding="utf-8"?>
<Properties xmlns="http://schemas.openxmlformats.org/officeDocument/2006/extended-properties" xmlns:vt="http://schemas.openxmlformats.org/officeDocument/2006/docPropsVTypes">
  <Template>Normal</Template>
  <Pages>62</Pages>
  <Words>4860</Words>
  <Characters>5459</Characters>
  <Lines>204</Lines>
  <Paragraphs>57</Paragraphs>
  <TotalTime>5</TotalTime>
  <ScaleCrop>false</ScaleCrop>
  <LinksUpToDate>false</LinksUpToDate>
  <CharactersWithSpaces>5657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2023-10-25T07:34:00Z</dcterms:created>
  <dc:creator>1</dc:creator>
  <cp:lastModifiedBy> 大的</cp:lastModifiedBy>
  <cp:lastPrinted>2021-03-04T09:16:00Z</cp:lastPrinted>
  <dcterms:modified xsi:type="dcterms:W3CDTF">2025-12-17T03:17:08Z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069C7C32F0A9463D8D08B73C05BE5B03_13</vt:lpwstr>
  </property>
  <property fmtid="{D5CDD505-2E9C-101B-9397-08002B2CF9AE}" pid="4" name="KSOTemplateDocerSaveRecord">
    <vt:lpwstr>eyJoZGlkIjoiNWIwZWEwYzk0YWRiYWY4YTI4YmViYjc3ZWNiNTc4MmMiLCJ1c2VySWQiOiI0NDMxODAyODcifQ==</vt:lpwstr>
  </property>
</Properties>
</file>